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03" w:rsidRDefault="009E5F03" w:rsidP="009E5F03">
      <w:pPr>
        <w:rPr>
          <w:b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173"/>
        <w:gridCol w:w="3216"/>
      </w:tblGrid>
      <w:tr w:rsidR="009E5F03" w:rsidRPr="009A610F" w:rsidTr="00E7532F">
        <w:tc>
          <w:tcPr>
            <w:tcW w:w="1664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2B027BD6" wp14:editId="19558455">
                  <wp:extent cx="1885950" cy="1728679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5-aangepast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1" t="18017" r="2691" b="2699"/>
                          <a:stretch/>
                        </pic:blipFill>
                        <pic:spPr bwMode="auto">
                          <a:xfrm>
                            <a:off x="0" y="0"/>
                            <a:ext cx="1885950" cy="172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00C25E37" wp14:editId="3BA51356">
                  <wp:extent cx="1859827" cy="1676400"/>
                  <wp:effectExtent l="0" t="0" r="762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CA-SSCA-new-aangepast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4" t="18467" r="2201" b="3126"/>
                          <a:stretch/>
                        </pic:blipFill>
                        <pic:spPr bwMode="auto">
                          <a:xfrm>
                            <a:off x="0" y="0"/>
                            <a:ext cx="1887932" cy="170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5F03" w:rsidRPr="009A610F" w:rsidRDefault="009E5F03" w:rsidP="00E7532F"/>
        </w:tc>
        <w:tc>
          <w:tcPr>
            <w:tcW w:w="1679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46E39C4A" wp14:editId="24EFA437">
                  <wp:extent cx="1849646" cy="1676400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14-aangepast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0" t="18019" r="2670" b="3566"/>
                          <a:stretch/>
                        </pic:blipFill>
                        <pic:spPr bwMode="auto">
                          <a:xfrm>
                            <a:off x="0" y="0"/>
                            <a:ext cx="1870253" cy="1695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F03" w:rsidRPr="009A610F" w:rsidTr="00E7532F">
        <w:tc>
          <w:tcPr>
            <w:tcW w:w="1664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187BA9F3" wp14:editId="5B338C31">
                  <wp:extent cx="1866900" cy="1757674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3-CD56-aangepast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1" t="18468" r="2673" b="2208"/>
                          <a:stretch/>
                        </pic:blipFill>
                        <pic:spPr bwMode="auto">
                          <a:xfrm>
                            <a:off x="0" y="0"/>
                            <a:ext cx="1898234" cy="1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6396277D" wp14:editId="1275D1A3">
                  <wp:extent cx="1800225" cy="172228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3-CD19-aangepast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5" t="17567" r="3112" b="2239"/>
                          <a:stretch/>
                        </pic:blipFill>
                        <pic:spPr bwMode="auto">
                          <a:xfrm>
                            <a:off x="0" y="0"/>
                            <a:ext cx="1815984" cy="1737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4CF80AEB" wp14:editId="62C7B5C2">
                  <wp:extent cx="1902335" cy="1809750"/>
                  <wp:effectExtent l="0" t="0" r="3175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-CD8-aangepast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68" t="18467" r="3097" b="2634"/>
                          <a:stretch/>
                        </pic:blipFill>
                        <pic:spPr bwMode="auto">
                          <a:xfrm>
                            <a:off x="0" y="0"/>
                            <a:ext cx="1909642" cy="1816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F03" w:rsidRPr="009A610F" w:rsidTr="00E7532F">
        <w:tc>
          <w:tcPr>
            <w:tcW w:w="1664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2294ABE5" wp14:editId="3C93308E">
                  <wp:extent cx="1851405" cy="1762125"/>
                  <wp:effectExtent l="0" t="0" r="0" b="0"/>
                  <wp:docPr id="13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FACS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870" cy="177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75BA928C" wp14:editId="1194F255">
                  <wp:extent cx="1857375" cy="1781564"/>
                  <wp:effectExtent l="0" t="0" r="0" b="9525"/>
                  <wp:docPr id="14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FACS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676" cy="180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pct"/>
          </w:tcPr>
          <w:p w:rsidR="009E5F03" w:rsidRPr="009A610F" w:rsidRDefault="009E5F03" w:rsidP="00E7532F">
            <w:r w:rsidRPr="009A610F">
              <w:rPr>
                <w:noProof/>
              </w:rPr>
              <w:drawing>
                <wp:inline distT="0" distB="0" distL="0" distR="0" wp14:anchorId="1A2168E5" wp14:editId="0EC1CDA5">
                  <wp:extent cx="1905000" cy="1817302"/>
                  <wp:effectExtent l="0" t="0" r="0" b="0"/>
                  <wp:docPr id="15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FACS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049" cy="182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F03" w:rsidRPr="009A610F" w:rsidRDefault="009E5F03" w:rsidP="009E5F03">
      <w:pPr>
        <w:rPr>
          <w:b/>
        </w:rPr>
      </w:pPr>
    </w:p>
    <w:p w:rsidR="009E5F03" w:rsidRPr="009A610F" w:rsidRDefault="009E5F03" w:rsidP="009E5F03">
      <w:pPr>
        <w:rPr>
          <w:b/>
        </w:rPr>
      </w:pPr>
      <w:r w:rsidRPr="009A610F">
        <w:rPr>
          <w:b/>
        </w:rPr>
        <w:t>Supplement</w:t>
      </w:r>
      <w:r>
        <w:rPr>
          <w:b/>
        </w:rPr>
        <w:t>ary</w:t>
      </w:r>
      <w:r w:rsidRPr="009A610F">
        <w:rPr>
          <w:b/>
        </w:rPr>
        <w:t xml:space="preserve"> figure 1 – gating strategies for determination of T-cells and T-cell subsets</w:t>
      </w:r>
    </w:p>
    <w:p w:rsidR="009E5F03" w:rsidRPr="009A610F" w:rsidRDefault="009E5F03" w:rsidP="009E5F03">
      <w:pPr>
        <w:rPr>
          <w:sz w:val="20"/>
        </w:rPr>
      </w:pPr>
      <w:r w:rsidRPr="009A610F">
        <w:rPr>
          <w:sz w:val="20"/>
        </w:rPr>
        <w:t xml:space="preserve">Definition of PBMC subsets and gating strategy. </w:t>
      </w:r>
      <w:r w:rsidRPr="009A610F">
        <w:rPr>
          <w:b/>
          <w:sz w:val="20"/>
        </w:rPr>
        <w:t>(A)</w:t>
      </w:r>
      <w:r w:rsidRPr="009A610F">
        <w:rPr>
          <w:sz w:val="20"/>
        </w:rPr>
        <w:t xml:space="preserve"> Selection of leukocytes. Gating was performed on CD45+ events, excluding platelets, erythrocytes and cell debris. </w:t>
      </w:r>
      <w:r w:rsidRPr="009A610F">
        <w:rPr>
          <w:b/>
          <w:sz w:val="20"/>
        </w:rPr>
        <w:t>(B)</w:t>
      </w:r>
      <w:r w:rsidRPr="009A610F">
        <w:rPr>
          <w:sz w:val="20"/>
        </w:rPr>
        <w:t xml:space="preserve"> Selection of total lymphocytes (lower gate) and monocytes (upper gate) based of forward scatter (FSC-A) and side scatter (SSC-A). </w:t>
      </w:r>
      <w:r w:rsidRPr="009A610F">
        <w:rPr>
          <w:b/>
          <w:sz w:val="20"/>
        </w:rPr>
        <w:t>(C)</w:t>
      </w:r>
      <w:r w:rsidRPr="009A610F">
        <w:rPr>
          <w:sz w:val="20"/>
        </w:rPr>
        <w:t xml:space="preserve"> Selection of CD14+ monocytes within the monocyte gate. </w:t>
      </w:r>
      <w:r w:rsidRPr="009A610F">
        <w:rPr>
          <w:b/>
          <w:sz w:val="20"/>
        </w:rPr>
        <w:t>(D)</w:t>
      </w:r>
      <w:r w:rsidRPr="009A610F">
        <w:rPr>
          <w:sz w:val="20"/>
        </w:rPr>
        <w:t xml:space="preserve"> Selection of CD3-CD56+ natural killer cells within the lymphocyte gate. </w:t>
      </w:r>
      <w:r w:rsidRPr="009A610F">
        <w:rPr>
          <w:b/>
          <w:sz w:val="20"/>
        </w:rPr>
        <w:t>(E)</w:t>
      </w:r>
      <w:r w:rsidRPr="009A610F">
        <w:rPr>
          <w:sz w:val="20"/>
        </w:rPr>
        <w:t xml:space="preserve"> Selection of T (CD3+ events, lower right gate) and B cells (CD19+ events, upper left gate) within the lymphocyte gate. </w:t>
      </w:r>
      <w:r w:rsidRPr="009A610F">
        <w:rPr>
          <w:b/>
          <w:sz w:val="20"/>
        </w:rPr>
        <w:t>(F)</w:t>
      </w:r>
      <w:r w:rsidRPr="009A610F">
        <w:rPr>
          <w:sz w:val="20"/>
        </w:rPr>
        <w:t xml:space="preserve"> Selection of CD3+CD4+  T-helper cells (lower right gate) and CD3+CD8+ cytotoxic T cells (upper left gate).  </w:t>
      </w:r>
      <w:r w:rsidRPr="009A610F">
        <w:rPr>
          <w:b/>
          <w:sz w:val="20"/>
        </w:rPr>
        <w:t>(G)</w:t>
      </w:r>
      <w:r w:rsidRPr="009A610F">
        <w:rPr>
          <w:sz w:val="20"/>
        </w:rPr>
        <w:t xml:space="preserve"> Selection of </w:t>
      </w:r>
      <w:r w:rsidRPr="009A610F">
        <w:rPr>
          <w:sz w:val="20"/>
          <w:szCs w:val="20"/>
        </w:rPr>
        <w:t>CD3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CD4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CD25</w:t>
      </w:r>
      <w:r w:rsidRPr="009A610F">
        <w:rPr>
          <w:sz w:val="20"/>
          <w:szCs w:val="20"/>
          <w:vertAlign w:val="superscript"/>
        </w:rPr>
        <w:t>hi</w:t>
      </w:r>
      <w:r w:rsidRPr="009A610F">
        <w:rPr>
          <w:sz w:val="20"/>
          <w:szCs w:val="20"/>
        </w:rPr>
        <w:t>FoxP3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 xml:space="preserve"> T-regulatory</w:t>
      </w:r>
      <w:r w:rsidRPr="009A610F">
        <w:rPr>
          <w:sz w:val="20"/>
        </w:rPr>
        <w:t xml:space="preserve"> cells within the T cell gate. </w:t>
      </w:r>
      <w:r w:rsidRPr="009A610F">
        <w:rPr>
          <w:b/>
          <w:sz w:val="20"/>
        </w:rPr>
        <w:t>(H)</w:t>
      </w:r>
      <w:r w:rsidRPr="009A610F">
        <w:rPr>
          <w:sz w:val="20"/>
        </w:rPr>
        <w:t xml:space="preserve"> Selection of </w:t>
      </w:r>
      <w:r w:rsidRPr="009A610F">
        <w:rPr>
          <w:sz w:val="20"/>
          <w:szCs w:val="20"/>
        </w:rPr>
        <w:t>CD3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CD4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IFN-γ</w:t>
      </w:r>
      <w:r w:rsidRPr="009A610F">
        <w:rPr>
          <w:sz w:val="20"/>
          <w:szCs w:val="20"/>
          <w:vertAlign w:val="superscript"/>
        </w:rPr>
        <w:t xml:space="preserve">+ </w:t>
      </w:r>
      <w:r w:rsidRPr="009A610F">
        <w:rPr>
          <w:sz w:val="20"/>
          <w:szCs w:val="20"/>
        </w:rPr>
        <w:t xml:space="preserve">Th1 cells </w:t>
      </w:r>
      <w:r w:rsidRPr="009A610F">
        <w:rPr>
          <w:sz w:val="20"/>
        </w:rPr>
        <w:t xml:space="preserve">(upper left gate) and </w:t>
      </w:r>
      <w:r w:rsidRPr="009A610F">
        <w:rPr>
          <w:sz w:val="20"/>
          <w:szCs w:val="20"/>
        </w:rPr>
        <w:t>CD3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CD4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IL17A</w:t>
      </w:r>
      <w:r w:rsidRPr="009A610F">
        <w:rPr>
          <w:sz w:val="20"/>
          <w:szCs w:val="20"/>
          <w:vertAlign w:val="superscript"/>
        </w:rPr>
        <w:t xml:space="preserve">+ </w:t>
      </w:r>
      <w:r w:rsidRPr="009A610F">
        <w:rPr>
          <w:sz w:val="20"/>
          <w:szCs w:val="20"/>
        </w:rPr>
        <w:t xml:space="preserve"> Th17 cells </w:t>
      </w:r>
      <w:r w:rsidRPr="009A610F">
        <w:rPr>
          <w:sz w:val="20"/>
        </w:rPr>
        <w:t xml:space="preserve">(lower right gate) within the helper T cell gate. </w:t>
      </w:r>
      <w:r w:rsidRPr="009A610F">
        <w:rPr>
          <w:b/>
          <w:sz w:val="20"/>
        </w:rPr>
        <w:t>(I)</w:t>
      </w:r>
      <w:r w:rsidRPr="009A610F">
        <w:rPr>
          <w:sz w:val="20"/>
        </w:rPr>
        <w:t xml:space="preserve"> Selection of </w:t>
      </w:r>
      <w:r w:rsidRPr="009A610F">
        <w:rPr>
          <w:sz w:val="20"/>
          <w:szCs w:val="20"/>
        </w:rPr>
        <w:t>CD3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CD4</w:t>
      </w:r>
      <w:r w:rsidRPr="009A610F">
        <w:rPr>
          <w:sz w:val="20"/>
          <w:szCs w:val="20"/>
          <w:vertAlign w:val="superscript"/>
        </w:rPr>
        <w:t>+</w:t>
      </w:r>
      <w:r w:rsidRPr="009A610F">
        <w:rPr>
          <w:sz w:val="20"/>
          <w:szCs w:val="20"/>
        </w:rPr>
        <w:t>IL4</w:t>
      </w:r>
      <w:r w:rsidRPr="009A610F">
        <w:rPr>
          <w:sz w:val="20"/>
          <w:szCs w:val="20"/>
          <w:vertAlign w:val="superscript"/>
        </w:rPr>
        <w:t xml:space="preserve">+ </w:t>
      </w:r>
      <w:r w:rsidRPr="009A610F">
        <w:rPr>
          <w:sz w:val="20"/>
          <w:szCs w:val="20"/>
        </w:rPr>
        <w:t xml:space="preserve">Th2 cells </w:t>
      </w:r>
      <w:r w:rsidRPr="009A610F">
        <w:rPr>
          <w:sz w:val="20"/>
        </w:rPr>
        <w:t xml:space="preserve">within the helper T cell gate. </w:t>
      </w:r>
    </w:p>
    <w:p w:rsidR="009E5F03" w:rsidRPr="009A610F" w:rsidRDefault="009E5F03" w:rsidP="009E5F03">
      <w:r w:rsidRPr="009A610F"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22"/>
        <w:gridCol w:w="1561"/>
        <w:gridCol w:w="7164"/>
      </w:tblGrid>
      <w:tr w:rsidR="009E5F03" w:rsidRPr="005617D9" w:rsidTr="00E7532F">
        <w:trPr>
          <w:trHeight w:val="300"/>
        </w:trPr>
        <w:tc>
          <w:tcPr>
            <w:tcW w:w="9747" w:type="dxa"/>
            <w:gridSpan w:val="3"/>
            <w:shd w:val="clear" w:color="auto" w:fill="auto"/>
            <w:noWrap/>
          </w:tcPr>
          <w:p w:rsidR="009E5F03" w:rsidRDefault="009E5F03" w:rsidP="00E7532F">
            <w:pPr>
              <w:spacing w:after="0" w:line="240" w:lineRule="auto"/>
              <w:rPr>
                <w:rFonts w:cs="Times New Roman"/>
              </w:rPr>
            </w:pPr>
            <w:r w:rsidRPr="005617D9">
              <w:rPr>
                <w:rFonts w:cs="Times New Roman"/>
                <w:b/>
              </w:rPr>
              <w:lastRenderedPageBreak/>
              <w:t>Supplement</w:t>
            </w:r>
            <w:r>
              <w:rPr>
                <w:rFonts w:cs="Times New Roman"/>
                <w:b/>
              </w:rPr>
              <w:t>a</w:t>
            </w:r>
            <w:r>
              <w:rPr>
                <w:rFonts w:cs="Times New Roman"/>
                <w:b/>
              </w:rPr>
              <w:t>ry</w:t>
            </w:r>
            <w:r w:rsidRPr="005617D9">
              <w:rPr>
                <w:rFonts w:cs="Times New Roman"/>
                <w:b/>
              </w:rPr>
              <w:t xml:space="preserve"> table 1. </w:t>
            </w:r>
            <w:r w:rsidRPr="005617D9">
              <w:rPr>
                <w:rFonts w:cs="Times New Roman"/>
              </w:rPr>
              <w:t>List of genes included in qPCR for determination of monocyte gene expression</w:t>
            </w:r>
            <w:r>
              <w:rPr>
                <w:rFonts w:cs="Times New Roman"/>
              </w:rPr>
              <w:t xml:space="preserve">. </w:t>
            </w:r>
          </w:p>
          <w:p w:rsidR="009E5F03" w:rsidRPr="00275FE2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75FE2">
              <w:rPr>
                <w:rFonts w:cs="Times New Roman"/>
                <w:sz w:val="20"/>
                <w:szCs w:val="20"/>
              </w:rPr>
              <w:t xml:space="preserve">These genes have been found abnormally expressed in the monocytes in </w:t>
            </w:r>
            <w:r>
              <w:rPr>
                <w:rFonts w:cs="Times New Roman"/>
                <w:sz w:val="20"/>
                <w:szCs w:val="20"/>
              </w:rPr>
              <w:t xml:space="preserve">previous </w:t>
            </w:r>
            <w:r w:rsidRPr="00275FE2">
              <w:rPr>
                <w:rFonts w:cs="Times New Roman"/>
                <w:sz w:val="20"/>
                <w:szCs w:val="20"/>
              </w:rPr>
              <w:t xml:space="preserve"> studies on various mood disorder patient groups</w:t>
            </w:r>
            <w:r>
              <w:rPr>
                <w:rFonts w:cs="Times New Roman"/>
                <w:sz w:val="20"/>
                <w:szCs w:val="20"/>
              </w:rPr>
              <w:t xml:space="preserve"> (see text)</w:t>
            </w:r>
            <w:r w:rsidRPr="00275FE2">
              <w:rPr>
                <w:rFonts w:cs="Times New Roman"/>
                <w:sz w:val="20"/>
                <w:szCs w:val="20"/>
              </w:rPr>
              <w:t>, some consistently, other occasionally. We therefore used the genes in this study again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8" w:type="dxa"/>
            <w:shd w:val="clear" w:color="auto" w:fill="auto"/>
            <w:noWrap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A610F">
              <w:rPr>
                <w:rFonts w:eastAsia="Times New Roman" w:cs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b/>
                <w:bCs/>
                <w:sz w:val="18"/>
                <w:szCs w:val="18"/>
              </w:rPr>
              <w:t>TaqMan</w:t>
            </w:r>
            <w:proofErr w:type="spellEnd"/>
            <w:r w:rsidRPr="009A610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assay ID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A610F">
              <w:rPr>
                <w:rFonts w:eastAsia="Times New Roman" w:cs="Times New Roman"/>
                <w:b/>
                <w:bCs/>
                <w:sz w:val="18"/>
                <w:szCs w:val="18"/>
              </w:rPr>
              <w:t>Corresponding protein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ADM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Hs00181605_m1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Adrenomedulin</w:t>
            </w:r>
            <w:proofErr w:type="spellEnd"/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ATF3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Hs00231069_m1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Cyclic AMP-dependent transcription factor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BCL2A1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Hs00187845_m1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B cell lymphoma 2-related protein A1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BTG3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Hs00199064_m1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BTG family, member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CCL2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Hs00234140_m1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C-C chemokine ligand 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CCL20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Hs00355476_m1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C-C chemokine ligand 20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CCL7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Hs00171147_m1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C-C chemokine ligand 7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CD9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Hs00233521_m1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Cluster of differentiation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CDC42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Hs00741586_mH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Cell division control protein 42 homolog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CXCL2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Hs00236966_m1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C-X-C chemokine ligand 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DHRS3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Hs00191073_m1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Short-chain dehydrogenase/reductase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DUSP2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Hs00358879_m1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Dual specificity protein phosphatase 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EGR3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Hs00231780_m1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Early Growth Response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EMP1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Hs00608055_m1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Epithelial Membrane Protein 1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EREG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Hs00914313_m1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Epiregulin</w:t>
            </w:r>
            <w:proofErr w:type="spellEnd"/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HGF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Hs00300159_m1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Hepatocyte growth factor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HSPA1A/B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Hs00271229_s1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Heat shock 70kDa protein 1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IFI44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Hs00197427_m1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Interferon Induced Protein 44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IFIT3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Hs00382744_m1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 xml:space="preserve">Interferon Induced Protein With </w:t>
            </w: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Tetratricopeptide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Repeats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IL1A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Hs00174092_m1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Interleukin 1α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IL1B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Hs00174097_m1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Interleukin 1β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IL1R1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Hs00168392_m1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Interleukin 1 receptor, type 1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IL6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Hs00174131_m1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Interleukin 6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IRAK2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Hs00176394_m1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Interkeukin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1 receptor-associated kinase-like 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MAFF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Hs00202412_m1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Musculoaponeurotic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fibrosarcoma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oncogene homolog F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MAPK6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Hs00833126_g1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Mitogen-activated protein kinase 6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MXD1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Hs00231137_m1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MAD protein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NAB2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Hs00195573_m1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Nerve growth factor-induced protein A-binding protein 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NR3C1α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Hs00353740_m1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Nuclear Receptor Subfamily 3 Group C Member 1 α (glucocorticoid receptor α)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NR3C1β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Hs00354508_m1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Nuclear Receptor Subfamily 3 Group C Member 1 β (glucocorticoid receptor β)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PDE4B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Hs00387320_m1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cAMP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>-specific 3',5'-cyclic phosphodiesterase 4B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PTGS2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Hs00153133_m1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Prostoglandin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G/H synthase (cyclooxygenase)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PTPN7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Hs00160732_m1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Protein tyrosine phosphatase, non-receptor type 7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PTX3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Hs00173615_m1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Pentraxin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>-related protein 3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SERPINB2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Hs00234032_m1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Plasminogen activator inhibitor-2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STX1A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Hs00270282_m1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Syntaxin-1A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THBD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Hs00264920_s1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Thrombomodulin</w:t>
            </w:r>
            <w:proofErr w:type="spellEnd"/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Hs00174128_m1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 xml:space="preserve">Tumor </w:t>
            </w: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nectoris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factor</w:t>
            </w:r>
          </w:p>
        </w:tc>
      </w:tr>
      <w:tr w:rsidR="009E5F03" w:rsidRPr="009A610F" w:rsidTr="00E7532F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TNFAIP3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>Hs00234712_m1</w:t>
            </w:r>
          </w:p>
        </w:tc>
        <w:tc>
          <w:tcPr>
            <w:tcW w:w="6808" w:type="dxa"/>
            <w:shd w:val="clear" w:color="auto" w:fill="auto"/>
            <w:noWrap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A610F">
              <w:rPr>
                <w:rFonts w:eastAsia="Times New Roman" w:cs="Times New Roman"/>
                <w:sz w:val="18"/>
                <w:szCs w:val="18"/>
              </w:rPr>
              <w:t xml:space="preserve">Tumor </w:t>
            </w:r>
            <w:proofErr w:type="spellStart"/>
            <w:r w:rsidRPr="009A610F">
              <w:rPr>
                <w:rFonts w:eastAsia="Times New Roman" w:cs="Times New Roman"/>
                <w:sz w:val="18"/>
                <w:szCs w:val="18"/>
              </w:rPr>
              <w:t>nectoris</w:t>
            </w:r>
            <w:proofErr w:type="spellEnd"/>
            <w:r w:rsidRPr="009A610F">
              <w:rPr>
                <w:rFonts w:eastAsia="Times New Roman" w:cs="Times New Roman"/>
                <w:sz w:val="18"/>
                <w:szCs w:val="18"/>
              </w:rPr>
              <w:t xml:space="preserve"> factor, alpha-induced protein 3</w:t>
            </w:r>
          </w:p>
        </w:tc>
      </w:tr>
    </w:tbl>
    <w:p w:rsidR="009E5F03" w:rsidRPr="00E31991" w:rsidRDefault="009E5F03" w:rsidP="009E5F03">
      <w:pPr>
        <w:spacing w:after="0"/>
        <w:rPr>
          <w:rFonts w:cs="Times New Roman"/>
          <w:sz w:val="20"/>
          <w:szCs w:val="20"/>
        </w:rPr>
      </w:pPr>
      <w:r w:rsidRPr="00275FE2">
        <w:rPr>
          <w:rFonts w:cs="Times New Roman"/>
          <w:b/>
        </w:rPr>
        <w:lastRenderedPageBreak/>
        <w:t>Supplement</w:t>
      </w:r>
      <w:r>
        <w:rPr>
          <w:rFonts w:cs="Times New Roman"/>
          <w:b/>
        </w:rPr>
        <w:t>a</w:t>
      </w:r>
      <w:r>
        <w:rPr>
          <w:rFonts w:cs="Times New Roman"/>
          <w:b/>
        </w:rPr>
        <w:t>ry</w:t>
      </w:r>
      <w:r>
        <w:rPr>
          <w:rFonts w:cs="Times New Roman"/>
          <w:b/>
        </w:rPr>
        <w:t xml:space="preserve"> </w:t>
      </w:r>
      <w:r w:rsidRPr="00275FE2">
        <w:rPr>
          <w:rFonts w:cs="Times New Roman"/>
          <w:b/>
        </w:rPr>
        <w:t>table 2.</w:t>
      </w:r>
      <w:r w:rsidRPr="00275FE2">
        <w:rPr>
          <w:rFonts w:cs="Times New Roman"/>
        </w:rPr>
        <w:t xml:space="preserve"> </w:t>
      </w:r>
      <w:r w:rsidRPr="00275FE2">
        <w:rPr>
          <w:rFonts w:cs="Times New Roman"/>
          <w:b/>
        </w:rPr>
        <w:t>Principle component analysis for grouping of monocytes</w:t>
      </w:r>
      <w:r w:rsidRPr="00962E74">
        <w:rPr>
          <w:rFonts w:cs="Times New Roman"/>
          <w:b/>
          <w:sz w:val="20"/>
          <w:szCs w:val="20"/>
        </w:rPr>
        <w:t>.</w:t>
      </w:r>
      <w:r w:rsidRPr="00E31991">
        <w:rPr>
          <w:rFonts w:cs="Times New Roman"/>
          <w:sz w:val="20"/>
          <w:szCs w:val="20"/>
        </w:rPr>
        <w:t xml:space="preserve"> </w:t>
      </w:r>
    </w:p>
    <w:p w:rsidR="009E5F03" w:rsidRDefault="009E5F03" w:rsidP="009E5F03">
      <w:pPr>
        <w:pBdr>
          <w:bottom w:val="single" w:sz="12" w:space="1" w:color="auto"/>
        </w:pBdr>
        <w:spacing w:after="0"/>
        <w:jc w:val="both"/>
        <w:rPr>
          <w:rFonts w:cs="Times New Roman"/>
          <w:sz w:val="20"/>
          <w:szCs w:val="20"/>
        </w:rPr>
      </w:pPr>
      <w:r w:rsidRPr="00E31991">
        <w:rPr>
          <w:rFonts w:cs="Times New Roman"/>
          <w:sz w:val="20"/>
          <w:szCs w:val="20"/>
        </w:rPr>
        <w:t xml:space="preserve">Shown are the pattern matrices, numbers are the correlations between the genes and components. Three fixed factors were extracted for both the HC and BD analyses, using </w:t>
      </w:r>
      <w:proofErr w:type="spellStart"/>
      <w:r w:rsidRPr="00E31991">
        <w:rPr>
          <w:rFonts w:cs="Times New Roman"/>
          <w:sz w:val="20"/>
          <w:szCs w:val="20"/>
        </w:rPr>
        <w:t>oblimin</w:t>
      </w:r>
      <w:proofErr w:type="spellEnd"/>
      <w:r w:rsidRPr="00E31991">
        <w:rPr>
          <w:rFonts w:cs="Times New Roman"/>
          <w:sz w:val="20"/>
          <w:szCs w:val="20"/>
        </w:rPr>
        <w:t xml:space="preserve"> rotation with a maximum of 25 iterations and </w:t>
      </w:r>
      <w:proofErr w:type="spellStart"/>
      <w:r w:rsidRPr="00E31991">
        <w:rPr>
          <w:rFonts w:cs="Times New Roman"/>
          <w:sz w:val="20"/>
          <w:szCs w:val="20"/>
        </w:rPr>
        <w:t>listwise</w:t>
      </w:r>
      <w:proofErr w:type="spellEnd"/>
      <w:r w:rsidRPr="00E31991">
        <w:rPr>
          <w:rFonts w:cs="Times New Roman"/>
          <w:sz w:val="20"/>
          <w:szCs w:val="20"/>
        </w:rPr>
        <w:t xml:space="preserve"> deletion of participants without complete data for all included genes. </w:t>
      </w:r>
    </w:p>
    <w:p w:rsidR="009E5F03" w:rsidRPr="00E31991" w:rsidRDefault="009E5F03" w:rsidP="009E5F03">
      <w:pPr>
        <w:pBdr>
          <w:bottom w:val="single" w:sz="12" w:space="1" w:color="auto"/>
        </w:pBd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The three f</w:t>
      </w:r>
      <w:r w:rsidRPr="00962E74">
        <w:rPr>
          <w:rFonts w:cs="Times New Roman"/>
          <w:sz w:val="20"/>
          <w:szCs w:val="20"/>
        </w:rPr>
        <w:t xml:space="preserve">ound clusters in principle component analysis were largely similar </w:t>
      </w:r>
      <w:r>
        <w:rPr>
          <w:rFonts w:cs="Times New Roman"/>
          <w:sz w:val="20"/>
          <w:szCs w:val="20"/>
        </w:rPr>
        <w:t>to the clusters found in our previous studies on mood disorder patients (see text)</w:t>
      </w:r>
      <w:r w:rsidRPr="00962E74">
        <w:rPr>
          <w:rFonts w:cs="Times New Roman"/>
          <w:sz w:val="20"/>
          <w:szCs w:val="20"/>
        </w:rPr>
        <w:t xml:space="preserve">, though some of the lower ranking genes </w:t>
      </w:r>
      <w:r>
        <w:rPr>
          <w:rFonts w:cs="Times New Roman"/>
          <w:sz w:val="20"/>
          <w:szCs w:val="20"/>
        </w:rPr>
        <w:t xml:space="preserve">of cluster 1 (like </w:t>
      </w:r>
      <w:r w:rsidRPr="00962E74">
        <w:rPr>
          <w:rFonts w:cs="Times New Roman"/>
          <w:sz w:val="20"/>
          <w:szCs w:val="20"/>
        </w:rPr>
        <w:t>HSPA1A/B</w:t>
      </w:r>
      <w:r>
        <w:rPr>
          <w:rFonts w:cs="Times New Roman"/>
          <w:sz w:val="20"/>
          <w:szCs w:val="20"/>
        </w:rPr>
        <w:t>) and of cluster 2 (l</w:t>
      </w:r>
      <w:r w:rsidRPr="00962E74">
        <w:rPr>
          <w:rFonts w:cs="Times New Roman"/>
          <w:sz w:val="20"/>
          <w:szCs w:val="20"/>
        </w:rPr>
        <w:t>ike CD9</w:t>
      </w:r>
      <w:r>
        <w:rPr>
          <w:rFonts w:cs="Times New Roman"/>
          <w:sz w:val="20"/>
          <w:szCs w:val="20"/>
        </w:rPr>
        <w:t>) in</w:t>
      </w:r>
      <w:r w:rsidRPr="00962E7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the </w:t>
      </w:r>
      <w:r w:rsidRPr="00962E74">
        <w:rPr>
          <w:rFonts w:cs="Times New Roman"/>
          <w:sz w:val="20"/>
          <w:szCs w:val="20"/>
        </w:rPr>
        <w:t xml:space="preserve">previous studies did not belong to these clusters in the present study </w:t>
      </w:r>
      <w:r>
        <w:rPr>
          <w:rFonts w:cs="Times New Roman"/>
          <w:sz w:val="20"/>
          <w:szCs w:val="20"/>
        </w:rPr>
        <w:t>anymore. We assume that in this study the power is insufficient to assign these genes to the molecular pathways</w:t>
      </w:r>
      <w:r w:rsidRPr="00962E7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due to their loose connection to the pathway.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98"/>
        <w:gridCol w:w="598"/>
        <w:gridCol w:w="598"/>
      </w:tblGrid>
      <w:tr w:rsidR="009E5F03" w:rsidRPr="009A610F" w:rsidTr="00E7532F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bCs/>
                <w:szCs w:val="20"/>
                <w:lang w:eastAsia="nl-N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Component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bCs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3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IL1B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BA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5A7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CCL20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BC28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BB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BB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049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1C487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DC0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5A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TNFAIP3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8C78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777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1F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136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CXCL2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1D1A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F0E5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2C5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025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PDE4B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1A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AB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EF1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127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EREG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1A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F6F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3C5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023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ATF3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5D2A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D9D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5B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069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IL1A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CD6A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AF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5E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093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PTX3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1D8B1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1EBDA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0E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077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PTGS2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ADBB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CF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FBF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195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DUSP2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FDDB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E9D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CC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008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TNF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2DEB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D5D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EB0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094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ADM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E3C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FE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4A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128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BCL2A1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AE8D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5ECD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8E91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203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CCL7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CB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C07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FF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128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NAB2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BA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9C180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CB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046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PTPN7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9B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EC385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4C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019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CCL2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AAA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3C58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EAD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408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STX1A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DADD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7C68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969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175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THBD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0C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5CC9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929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192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MAFF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7FA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ED0A0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FCF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183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IRAK2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F6F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1A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ED1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015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MAPK6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FD7A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0C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034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DHRS3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D3D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4D9B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FC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036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BTG3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FE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ADBB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8EB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105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SERPINB2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F2E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9E1C6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5F8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150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MXD1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FE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BE2C7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CF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181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IL1R1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1E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E4C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9BB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058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CDC42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7EDD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8E7D2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332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HSPA1A/B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FAF9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727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8FB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159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CD9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EDF0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CF6F1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8C8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212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IFIT3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9B1B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C2C4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szCs w:val="20"/>
                <w:lang w:eastAsia="nl-NL"/>
              </w:rPr>
              <w:t>-</w:t>
            </w: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CC283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934</w:t>
            </w:r>
          </w:p>
        </w:tc>
      </w:tr>
      <w:tr w:rsidR="009E5F03" w:rsidRPr="009A610F" w:rsidTr="00E7532F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A610F">
              <w:rPr>
                <w:rFonts w:eastAsia="Times New Roman" w:cstheme="minorHAnsi"/>
                <w:b/>
                <w:szCs w:val="20"/>
                <w:lang w:eastAsia="nl-NL"/>
              </w:rPr>
              <w:t>IFI44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D9DC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BFBFE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AC88F"/>
            <w:noWrap/>
            <w:vAlign w:val="center"/>
            <w:hideMark/>
          </w:tcPr>
          <w:p w:rsidR="009E5F03" w:rsidRPr="009A610F" w:rsidRDefault="009E5F03" w:rsidP="00E7532F">
            <w:pPr>
              <w:spacing w:after="0" w:line="240" w:lineRule="auto"/>
              <w:rPr>
                <w:rFonts w:eastAsia="Times New Roman" w:cstheme="minorHAnsi"/>
                <w:szCs w:val="20"/>
                <w:lang w:eastAsia="nl-NL"/>
              </w:rPr>
            </w:pPr>
            <w:r>
              <w:rPr>
                <w:rFonts w:eastAsia="Times New Roman" w:cstheme="minorHAnsi"/>
                <w:szCs w:val="20"/>
                <w:lang w:eastAsia="nl-NL"/>
              </w:rPr>
              <w:t>.</w:t>
            </w:r>
            <w:r w:rsidRPr="009A610F">
              <w:rPr>
                <w:rFonts w:eastAsia="Times New Roman" w:cstheme="minorHAnsi"/>
                <w:szCs w:val="20"/>
                <w:lang w:eastAsia="nl-NL"/>
              </w:rPr>
              <w:t>861</w:t>
            </w:r>
          </w:p>
        </w:tc>
      </w:tr>
    </w:tbl>
    <w:p w:rsidR="009E5F03" w:rsidRPr="009A610F" w:rsidRDefault="009E5F03" w:rsidP="009E5F03">
      <w:pPr>
        <w:rPr>
          <w:rFonts w:ascii="Times New Roman" w:hAnsi="Times New Roman" w:cs="Times New Roman"/>
          <w:sz w:val="24"/>
        </w:rPr>
      </w:pPr>
    </w:p>
    <w:p w:rsidR="009E5F03" w:rsidRDefault="009E5F03" w:rsidP="009E5F03">
      <w:pPr>
        <w:rPr>
          <w:rFonts w:cs="Times New Roman"/>
          <w:sz w:val="20"/>
          <w:szCs w:val="20"/>
        </w:rPr>
      </w:pPr>
      <w:r w:rsidRPr="009A610F">
        <w:rPr>
          <w:rFonts w:cs="Times New Roman"/>
          <w:b/>
          <w:sz w:val="20"/>
          <w:szCs w:val="20"/>
        </w:rPr>
        <w:lastRenderedPageBreak/>
        <w:t>Supplement</w:t>
      </w:r>
      <w:r>
        <w:rPr>
          <w:rFonts w:cs="Times New Roman"/>
          <w:b/>
          <w:sz w:val="20"/>
          <w:szCs w:val="20"/>
        </w:rPr>
        <w:t>ary</w:t>
      </w:r>
      <w:r w:rsidRPr="009A610F">
        <w:rPr>
          <w:rFonts w:cs="Times New Roman"/>
          <w:b/>
          <w:sz w:val="20"/>
          <w:szCs w:val="20"/>
        </w:rPr>
        <w:t xml:space="preserve"> table 3. </w:t>
      </w:r>
      <w:r w:rsidRPr="009A610F">
        <w:rPr>
          <w:rFonts w:cs="Times New Roman"/>
          <w:sz w:val="20"/>
          <w:szCs w:val="20"/>
        </w:rPr>
        <w:t>Complete results of the comparison of monocyte gene expression between BD patients and HC. Results are expressed as fold change relative to HC.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1615"/>
        <w:gridCol w:w="1444"/>
        <w:gridCol w:w="524"/>
        <w:gridCol w:w="1974"/>
        <w:gridCol w:w="1400"/>
      </w:tblGrid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GENE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MEAN</w:t>
            </w: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95% 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P-VALUE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Cluster 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IL1B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76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CCL20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58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IL6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020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TNFAIP3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CXCL2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66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92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PDE4B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EREG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78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ATF3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210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IL1A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PTX3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PTGS2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85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030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DUSP2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TNF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ADM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590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BCL2A1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030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Cluster 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CCL7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670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NAB2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020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PTPN7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660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CCL2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700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STX1A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750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THBD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380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MAFF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IRAK2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68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82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MAPK6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010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DHRS3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BTG3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960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SERPINB2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290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MXD1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120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IL1R1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34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110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CDC42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560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Interferon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IFIT3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630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IFI44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860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5617D9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Other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HSPA1A/B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610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eastAsia="nl-NL"/>
              </w:rPr>
              <w:t>CD9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  <w:proofErr w:type="spellStart"/>
            <w:r w:rsidRPr="00C83FAC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H</w:t>
            </w:r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epatocyte</w:t>
            </w:r>
            <w:proofErr w:type="spellEnd"/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growth</w:t>
            </w:r>
            <w:proofErr w:type="spellEnd"/>
            <w:r w:rsidRPr="005617D9"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 xml:space="preserve"> factor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&lt;0.001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 xml:space="preserve">Glucocorticoïd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nl-NL" w:eastAsia="nl-NL"/>
              </w:rPr>
              <w:t>receptors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G</w:t>
            </w:r>
            <w:r w:rsidRPr="005617D9">
              <w:rPr>
                <w:rFonts w:eastAsia="Times New Roman" w:cstheme="minorHAnsi"/>
                <w:sz w:val="20"/>
                <w:szCs w:val="20"/>
                <w:lang w:val="nl-NL" w:eastAsia="nl-NL"/>
              </w:rPr>
              <w:t>R</w:t>
            </w:r>
            <w:r w:rsidRPr="005617D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α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b/>
                <w:color w:val="000000"/>
                <w:sz w:val="20"/>
                <w:szCs w:val="20"/>
                <w:lang w:val="nl-NL" w:eastAsia="nl-NL"/>
              </w:rPr>
              <w:t>040</w:t>
            </w:r>
          </w:p>
        </w:tc>
      </w:tr>
      <w:tr w:rsidR="009E5F03" w:rsidRPr="005617D9" w:rsidTr="00E7532F">
        <w:trPr>
          <w:trHeight w:val="283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GR</w:t>
            </w:r>
            <w:r w:rsidRPr="005617D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β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sz w:val="20"/>
                <w:szCs w:val="20"/>
                <w:lang w:val="nl-NL" w:eastAsia="nl-NL"/>
              </w:rPr>
              <w:t>97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F03" w:rsidRPr="005617D9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 w:rsidRPr="005617D9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03" w:rsidRPr="00C83FAC" w:rsidRDefault="009E5F03" w:rsidP="00E75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.</w:t>
            </w:r>
            <w:r w:rsidRPr="00C83FAC">
              <w:rPr>
                <w:rFonts w:eastAsia="Times New Roman" w:cstheme="minorHAnsi"/>
                <w:color w:val="000000"/>
                <w:sz w:val="20"/>
                <w:szCs w:val="20"/>
                <w:lang w:val="nl-NL" w:eastAsia="nl-NL"/>
              </w:rPr>
              <w:t>630</w:t>
            </w:r>
          </w:p>
        </w:tc>
      </w:tr>
    </w:tbl>
    <w:p w:rsidR="00981688" w:rsidRDefault="00981688">
      <w:bookmarkStart w:id="0" w:name="_GoBack"/>
      <w:bookmarkEnd w:id="0"/>
    </w:p>
    <w:sectPr w:rsidR="00981688" w:rsidSect="00235591">
      <w:pgSz w:w="12240" w:h="15840"/>
      <w:pgMar w:top="1276" w:right="1440" w:bottom="127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049"/>
    <w:multiLevelType w:val="hybridMultilevel"/>
    <w:tmpl w:val="8704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3E95"/>
    <w:multiLevelType w:val="hybridMultilevel"/>
    <w:tmpl w:val="FD241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10D6"/>
    <w:multiLevelType w:val="hybridMultilevel"/>
    <w:tmpl w:val="021A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2BC9"/>
    <w:multiLevelType w:val="hybridMultilevel"/>
    <w:tmpl w:val="8108910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A1BE3"/>
    <w:multiLevelType w:val="hybridMultilevel"/>
    <w:tmpl w:val="24DECB74"/>
    <w:lvl w:ilvl="0" w:tplc="2A7C52B4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3DB2"/>
    <w:multiLevelType w:val="hybridMultilevel"/>
    <w:tmpl w:val="F8DA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95777"/>
    <w:multiLevelType w:val="hybridMultilevel"/>
    <w:tmpl w:val="A9E40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211FC"/>
    <w:multiLevelType w:val="hybridMultilevel"/>
    <w:tmpl w:val="CC685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2712"/>
    <w:multiLevelType w:val="hybridMultilevel"/>
    <w:tmpl w:val="411C2ABC"/>
    <w:lvl w:ilvl="0" w:tplc="D99A7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03"/>
    <w:rsid w:val="00005331"/>
    <w:rsid w:val="00007825"/>
    <w:rsid w:val="00011D5A"/>
    <w:rsid w:val="00014F21"/>
    <w:rsid w:val="00016B0C"/>
    <w:rsid w:val="00020F72"/>
    <w:rsid w:val="0002570D"/>
    <w:rsid w:val="00032C0E"/>
    <w:rsid w:val="000363CD"/>
    <w:rsid w:val="00043EC0"/>
    <w:rsid w:val="00052CB2"/>
    <w:rsid w:val="00053EEE"/>
    <w:rsid w:val="00054E18"/>
    <w:rsid w:val="00056D8C"/>
    <w:rsid w:val="0006270A"/>
    <w:rsid w:val="00064CC1"/>
    <w:rsid w:val="0006698B"/>
    <w:rsid w:val="00070519"/>
    <w:rsid w:val="00081BE5"/>
    <w:rsid w:val="000832B1"/>
    <w:rsid w:val="00092121"/>
    <w:rsid w:val="00092796"/>
    <w:rsid w:val="000942A4"/>
    <w:rsid w:val="000A027F"/>
    <w:rsid w:val="000A0F22"/>
    <w:rsid w:val="000A1767"/>
    <w:rsid w:val="000A48FB"/>
    <w:rsid w:val="000A55E1"/>
    <w:rsid w:val="000B3376"/>
    <w:rsid w:val="000B4E09"/>
    <w:rsid w:val="000B4EBC"/>
    <w:rsid w:val="000B79AA"/>
    <w:rsid w:val="000C0C58"/>
    <w:rsid w:val="000C6C08"/>
    <w:rsid w:val="000D1A8B"/>
    <w:rsid w:val="000D3F1B"/>
    <w:rsid w:val="000D48B4"/>
    <w:rsid w:val="000E134A"/>
    <w:rsid w:val="000F4B05"/>
    <w:rsid w:val="001028C7"/>
    <w:rsid w:val="001040E8"/>
    <w:rsid w:val="00106C7F"/>
    <w:rsid w:val="00110E80"/>
    <w:rsid w:val="00124F75"/>
    <w:rsid w:val="00131451"/>
    <w:rsid w:val="00131EF2"/>
    <w:rsid w:val="001330C7"/>
    <w:rsid w:val="00137431"/>
    <w:rsid w:val="001375CF"/>
    <w:rsid w:val="0014057C"/>
    <w:rsid w:val="00141548"/>
    <w:rsid w:val="00143F7B"/>
    <w:rsid w:val="00144C33"/>
    <w:rsid w:val="001473D5"/>
    <w:rsid w:val="00155656"/>
    <w:rsid w:val="00157E83"/>
    <w:rsid w:val="00157FF5"/>
    <w:rsid w:val="00161FE0"/>
    <w:rsid w:val="001622D3"/>
    <w:rsid w:val="00176FD9"/>
    <w:rsid w:val="001818AF"/>
    <w:rsid w:val="00182900"/>
    <w:rsid w:val="00183D2B"/>
    <w:rsid w:val="00184181"/>
    <w:rsid w:val="001858BC"/>
    <w:rsid w:val="001864DE"/>
    <w:rsid w:val="00187EB0"/>
    <w:rsid w:val="0019033C"/>
    <w:rsid w:val="0019263A"/>
    <w:rsid w:val="0019437E"/>
    <w:rsid w:val="00194458"/>
    <w:rsid w:val="001974AF"/>
    <w:rsid w:val="001A0ADA"/>
    <w:rsid w:val="001A287B"/>
    <w:rsid w:val="001A56EB"/>
    <w:rsid w:val="001A7C1C"/>
    <w:rsid w:val="001B27B7"/>
    <w:rsid w:val="001B5C86"/>
    <w:rsid w:val="001B6198"/>
    <w:rsid w:val="001B77F6"/>
    <w:rsid w:val="001B7906"/>
    <w:rsid w:val="001C1385"/>
    <w:rsid w:val="001C22AE"/>
    <w:rsid w:val="001D2942"/>
    <w:rsid w:val="001E2A59"/>
    <w:rsid w:val="001E2CB0"/>
    <w:rsid w:val="001E363E"/>
    <w:rsid w:val="001E5AED"/>
    <w:rsid w:val="001E780F"/>
    <w:rsid w:val="001E7F65"/>
    <w:rsid w:val="001F29EA"/>
    <w:rsid w:val="001F3B71"/>
    <w:rsid w:val="001F72BD"/>
    <w:rsid w:val="001F7B39"/>
    <w:rsid w:val="001F7CC2"/>
    <w:rsid w:val="001F7F83"/>
    <w:rsid w:val="002032FC"/>
    <w:rsid w:val="002079B6"/>
    <w:rsid w:val="002136F4"/>
    <w:rsid w:val="00215EBC"/>
    <w:rsid w:val="00216545"/>
    <w:rsid w:val="0022666B"/>
    <w:rsid w:val="0023068F"/>
    <w:rsid w:val="002341DD"/>
    <w:rsid w:val="00234388"/>
    <w:rsid w:val="00235EC7"/>
    <w:rsid w:val="0024255F"/>
    <w:rsid w:val="002425C3"/>
    <w:rsid w:val="00242D5A"/>
    <w:rsid w:val="00245F1A"/>
    <w:rsid w:val="002460F7"/>
    <w:rsid w:val="00254186"/>
    <w:rsid w:val="002546BB"/>
    <w:rsid w:val="0025688F"/>
    <w:rsid w:val="00260B01"/>
    <w:rsid w:val="00261FF4"/>
    <w:rsid w:val="00263C92"/>
    <w:rsid w:val="00270C2E"/>
    <w:rsid w:val="00284F60"/>
    <w:rsid w:val="002863BF"/>
    <w:rsid w:val="002920F2"/>
    <w:rsid w:val="002936A9"/>
    <w:rsid w:val="00295415"/>
    <w:rsid w:val="002A1440"/>
    <w:rsid w:val="002A4519"/>
    <w:rsid w:val="002A60DE"/>
    <w:rsid w:val="002A60EB"/>
    <w:rsid w:val="002A6754"/>
    <w:rsid w:val="002B0A2D"/>
    <w:rsid w:val="002B0A68"/>
    <w:rsid w:val="002B1F85"/>
    <w:rsid w:val="002B20A7"/>
    <w:rsid w:val="002B27F1"/>
    <w:rsid w:val="002B4D67"/>
    <w:rsid w:val="002D1541"/>
    <w:rsid w:val="002D1608"/>
    <w:rsid w:val="002D6568"/>
    <w:rsid w:val="002E583A"/>
    <w:rsid w:val="002F2D3C"/>
    <w:rsid w:val="002F37AA"/>
    <w:rsid w:val="002F58C7"/>
    <w:rsid w:val="002F7A27"/>
    <w:rsid w:val="00300292"/>
    <w:rsid w:val="0030386D"/>
    <w:rsid w:val="003051AD"/>
    <w:rsid w:val="00311F3F"/>
    <w:rsid w:val="00314B48"/>
    <w:rsid w:val="00314D3D"/>
    <w:rsid w:val="00317B4C"/>
    <w:rsid w:val="00324F50"/>
    <w:rsid w:val="00327F7D"/>
    <w:rsid w:val="0033656A"/>
    <w:rsid w:val="0033713D"/>
    <w:rsid w:val="003406DB"/>
    <w:rsid w:val="00342FA0"/>
    <w:rsid w:val="003436B2"/>
    <w:rsid w:val="003458F8"/>
    <w:rsid w:val="00345F19"/>
    <w:rsid w:val="00356FF9"/>
    <w:rsid w:val="003573BD"/>
    <w:rsid w:val="00360D5C"/>
    <w:rsid w:val="0036301D"/>
    <w:rsid w:val="003631D8"/>
    <w:rsid w:val="00363881"/>
    <w:rsid w:val="00364F3A"/>
    <w:rsid w:val="00385091"/>
    <w:rsid w:val="0038775A"/>
    <w:rsid w:val="003879BA"/>
    <w:rsid w:val="003879C0"/>
    <w:rsid w:val="00395244"/>
    <w:rsid w:val="003A0A51"/>
    <w:rsid w:val="003A17E8"/>
    <w:rsid w:val="003A2B1F"/>
    <w:rsid w:val="003A4B56"/>
    <w:rsid w:val="003A62A8"/>
    <w:rsid w:val="003A7387"/>
    <w:rsid w:val="003A7B6F"/>
    <w:rsid w:val="003B1239"/>
    <w:rsid w:val="003B3B1B"/>
    <w:rsid w:val="003B5062"/>
    <w:rsid w:val="003B57F9"/>
    <w:rsid w:val="003C07EB"/>
    <w:rsid w:val="003C2029"/>
    <w:rsid w:val="003C7400"/>
    <w:rsid w:val="003D52E3"/>
    <w:rsid w:val="003D7781"/>
    <w:rsid w:val="003E021B"/>
    <w:rsid w:val="003E0EAD"/>
    <w:rsid w:val="003E1307"/>
    <w:rsid w:val="003E237D"/>
    <w:rsid w:val="003E2D85"/>
    <w:rsid w:val="003E6745"/>
    <w:rsid w:val="003F0A37"/>
    <w:rsid w:val="003F0C15"/>
    <w:rsid w:val="003F39CA"/>
    <w:rsid w:val="003F45E3"/>
    <w:rsid w:val="004010F0"/>
    <w:rsid w:val="004022B6"/>
    <w:rsid w:val="00402EA1"/>
    <w:rsid w:val="00404C82"/>
    <w:rsid w:val="00406726"/>
    <w:rsid w:val="004136E8"/>
    <w:rsid w:val="0041377B"/>
    <w:rsid w:val="0041377E"/>
    <w:rsid w:val="00415DFC"/>
    <w:rsid w:val="0041796B"/>
    <w:rsid w:val="00423787"/>
    <w:rsid w:val="004239AE"/>
    <w:rsid w:val="00424EF8"/>
    <w:rsid w:val="00431A0D"/>
    <w:rsid w:val="004324F8"/>
    <w:rsid w:val="00434B68"/>
    <w:rsid w:val="004369D9"/>
    <w:rsid w:val="0043761D"/>
    <w:rsid w:val="0044525C"/>
    <w:rsid w:val="00446152"/>
    <w:rsid w:val="004470EA"/>
    <w:rsid w:val="004473DF"/>
    <w:rsid w:val="00447FAD"/>
    <w:rsid w:val="0045435B"/>
    <w:rsid w:val="00456821"/>
    <w:rsid w:val="0045777F"/>
    <w:rsid w:val="00460F3C"/>
    <w:rsid w:val="0046192E"/>
    <w:rsid w:val="004621EF"/>
    <w:rsid w:val="0046263C"/>
    <w:rsid w:val="00463C7E"/>
    <w:rsid w:val="00464315"/>
    <w:rsid w:val="00465359"/>
    <w:rsid w:val="00466C86"/>
    <w:rsid w:val="00466CAB"/>
    <w:rsid w:val="00467731"/>
    <w:rsid w:val="004742B4"/>
    <w:rsid w:val="00476389"/>
    <w:rsid w:val="004807AF"/>
    <w:rsid w:val="00482314"/>
    <w:rsid w:val="00483E9C"/>
    <w:rsid w:val="0048555B"/>
    <w:rsid w:val="004875E2"/>
    <w:rsid w:val="004916EF"/>
    <w:rsid w:val="00493F80"/>
    <w:rsid w:val="004955FC"/>
    <w:rsid w:val="004956FB"/>
    <w:rsid w:val="004A6AA6"/>
    <w:rsid w:val="004B2F3F"/>
    <w:rsid w:val="004C0747"/>
    <w:rsid w:val="004D2BD9"/>
    <w:rsid w:val="004D4AB3"/>
    <w:rsid w:val="004D6420"/>
    <w:rsid w:val="004E7ACD"/>
    <w:rsid w:val="004F243A"/>
    <w:rsid w:val="004F4339"/>
    <w:rsid w:val="004F6608"/>
    <w:rsid w:val="00500617"/>
    <w:rsid w:val="00505180"/>
    <w:rsid w:val="00515635"/>
    <w:rsid w:val="00523059"/>
    <w:rsid w:val="0053112E"/>
    <w:rsid w:val="005321B6"/>
    <w:rsid w:val="0053798B"/>
    <w:rsid w:val="00542A6A"/>
    <w:rsid w:val="0055145E"/>
    <w:rsid w:val="005608FF"/>
    <w:rsid w:val="00561DF9"/>
    <w:rsid w:val="005640C9"/>
    <w:rsid w:val="0056707B"/>
    <w:rsid w:val="005766E3"/>
    <w:rsid w:val="00577CF7"/>
    <w:rsid w:val="0058671B"/>
    <w:rsid w:val="00586768"/>
    <w:rsid w:val="0059264B"/>
    <w:rsid w:val="00593CAA"/>
    <w:rsid w:val="005A57BB"/>
    <w:rsid w:val="005B4484"/>
    <w:rsid w:val="005B470A"/>
    <w:rsid w:val="005B4CDC"/>
    <w:rsid w:val="005C140F"/>
    <w:rsid w:val="005C51A8"/>
    <w:rsid w:val="005E287B"/>
    <w:rsid w:val="005E3291"/>
    <w:rsid w:val="005E397C"/>
    <w:rsid w:val="005E4003"/>
    <w:rsid w:val="005E75E6"/>
    <w:rsid w:val="005E7FA3"/>
    <w:rsid w:val="005F6177"/>
    <w:rsid w:val="00610AD9"/>
    <w:rsid w:val="006121B7"/>
    <w:rsid w:val="00615F9F"/>
    <w:rsid w:val="00620F81"/>
    <w:rsid w:val="0062302E"/>
    <w:rsid w:val="0062323F"/>
    <w:rsid w:val="00623E4A"/>
    <w:rsid w:val="00633D9D"/>
    <w:rsid w:val="00636D81"/>
    <w:rsid w:val="00637BB7"/>
    <w:rsid w:val="00642E7D"/>
    <w:rsid w:val="00643738"/>
    <w:rsid w:val="00646E1F"/>
    <w:rsid w:val="00655BAC"/>
    <w:rsid w:val="00656682"/>
    <w:rsid w:val="0066302A"/>
    <w:rsid w:val="00663E47"/>
    <w:rsid w:val="0067204B"/>
    <w:rsid w:val="00674F14"/>
    <w:rsid w:val="00675905"/>
    <w:rsid w:val="00680F57"/>
    <w:rsid w:val="00685D9B"/>
    <w:rsid w:val="006A050B"/>
    <w:rsid w:val="006A63F3"/>
    <w:rsid w:val="006B7098"/>
    <w:rsid w:val="006C0C50"/>
    <w:rsid w:val="006C1132"/>
    <w:rsid w:val="006C2652"/>
    <w:rsid w:val="006D11DC"/>
    <w:rsid w:val="006D7D55"/>
    <w:rsid w:val="006E0ABC"/>
    <w:rsid w:val="006E0DBC"/>
    <w:rsid w:val="006E3CD5"/>
    <w:rsid w:val="006F3B23"/>
    <w:rsid w:val="00704478"/>
    <w:rsid w:val="00710001"/>
    <w:rsid w:val="00710E14"/>
    <w:rsid w:val="0071130A"/>
    <w:rsid w:val="007148E7"/>
    <w:rsid w:val="00715D82"/>
    <w:rsid w:val="00715F3F"/>
    <w:rsid w:val="007165D7"/>
    <w:rsid w:val="00720EB8"/>
    <w:rsid w:val="00721A3D"/>
    <w:rsid w:val="007229D1"/>
    <w:rsid w:val="00735B6B"/>
    <w:rsid w:val="00740833"/>
    <w:rsid w:val="007415F1"/>
    <w:rsid w:val="0074782E"/>
    <w:rsid w:val="0075195C"/>
    <w:rsid w:val="00754106"/>
    <w:rsid w:val="0075516B"/>
    <w:rsid w:val="007569DC"/>
    <w:rsid w:val="00757802"/>
    <w:rsid w:val="00761716"/>
    <w:rsid w:val="0076314C"/>
    <w:rsid w:val="00764702"/>
    <w:rsid w:val="00766419"/>
    <w:rsid w:val="007721A2"/>
    <w:rsid w:val="00772BAC"/>
    <w:rsid w:val="00773BF8"/>
    <w:rsid w:val="007753E1"/>
    <w:rsid w:val="00775A63"/>
    <w:rsid w:val="00780F2E"/>
    <w:rsid w:val="0078223E"/>
    <w:rsid w:val="00782EF5"/>
    <w:rsid w:val="00787226"/>
    <w:rsid w:val="00790232"/>
    <w:rsid w:val="00791446"/>
    <w:rsid w:val="00793226"/>
    <w:rsid w:val="00793692"/>
    <w:rsid w:val="007A368B"/>
    <w:rsid w:val="007A685A"/>
    <w:rsid w:val="007A685C"/>
    <w:rsid w:val="007A6F26"/>
    <w:rsid w:val="007B212D"/>
    <w:rsid w:val="007B6B3A"/>
    <w:rsid w:val="007C0A05"/>
    <w:rsid w:val="007C1B0D"/>
    <w:rsid w:val="007C2DF4"/>
    <w:rsid w:val="007C3F70"/>
    <w:rsid w:val="007C5D9E"/>
    <w:rsid w:val="007C662C"/>
    <w:rsid w:val="007D165F"/>
    <w:rsid w:val="007D3438"/>
    <w:rsid w:val="007D380F"/>
    <w:rsid w:val="007D5A59"/>
    <w:rsid w:val="007D7DB9"/>
    <w:rsid w:val="007E1ECC"/>
    <w:rsid w:val="007E2C39"/>
    <w:rsid w:val="007F0041"/>
    <w:rsid w:val="007F0EB3"/>
    <w:rsid w:val="007F10FC"/>
    <w:rsid w:val="007F25C8"/>
    <w:rsid w:val="007F33EA"/>
    <w:rsid w:val="007F74A5"/>
    <w:rsid w:val="007F7535"/>
    <w:rsid w:val="007F7CBC"/>
    <w:rsid w:val="00806DE7"/>
    <w:rsid w:val="008135BC"/>
    <w:rsid w:val="00814084"/>
    <w:rsid w:val="008169BF"/>
    <w:rsid w:val="00821339"/>
    <w:rsid w:val="00823353"/>
    <w:rsid w:val="00824B39"/>
    <w:rsid w:val="0083296C"/>
    <w:rsid w:val="008337DF"/>
    <w:rsid w:val="00834868"/>
    <w:rsid w:val="00835212"/>
    <w:rsid w:val="00841483"/>
    <w:rsid w:val="00843752"/>
    <w:rsid w:val="008539A0"/>
    <w:rsid w:val="008569C2"/>
    <w:rsid w:val="008628A7"/>
    <w:rsid w:val="008662DB"/>
    <w:rsid w:val="00872C2F"/>
    <w:rsid w:val="00883C65"/>
    <w:rsid w:val="00884F7E"/>
    <w:rsid w:val="00890E1F"/>
    <w:rsid w:val="008917EB"/>
    <w:rsid w:val="0089194F"/>
    <w:rsid w:val="008A29A2"/>
    <w:rsid w:val="008A2CBC"/>
    <w:rsid w:val="008B567F"/>
    <w:rsid w:val="008B648A"/>
    <w:rsid w:val="008C42EF"/>
    <w:rsid w:val="008C50CB"/>
    <w:rsid w:val="008D0788"/>
    <w:rsid w:val="008D161B"/>
    <w:rsid w:val="008E08D4"/>
    <w:rsid w:val="008E4604"/>
    <w:rsid w:val="008E5A6B"/>
    <w:rsid w:val="008E7F8E"/>
    <w:rsid w:val="008F5A60"/>
    <w:rsid w:val="008F7E13"/>
    <w:rsid w:val="00900250"/>
    <w:rsid w:val="00901692"/>
    <w:rsid w:val="009033C6"/>
    <w:rsid w:val="00906303"/>
    <w:rsid w:val="0090721F"/>
    <w:rsid w:val="00914934"/>
    <w:rsid w:val="00915058"/>
    <w:rsid w:val="00920864"/>
    <w:rsid w:val="0092313A"/>
    <w:rsid w:val="00926D99"/>
    <w:rsid w:val="00930E26"/>
    <w:rsid w:val="00931DE3"/>
    <w:rsid w:val="0093517F"/>
    <w:rsid w:val="00936D63"/>
    <w:rsid w:val="00940315"/>
    <w:rsid w:val="009422C0"/>
    <w:rsid w:val="00943C72"/>
    <w:rsid w:val="0094440D"/>
    <w:rsid w:val="00945BD1"/>
    <w:rsid w:val="00963E4B"/>
    <w:rsid w:val="00970BB7"/>
    <w:rsid w:val="00970C54"/>
    <w:rsid w:val="00974B2B"/>
    <w:rsid w:val="009759CC"/>
    <w:rsid w:val="00976C96"/>
    <w:rsid w:val="009800B4"/>
    <w:rsid w:val="00981688"/>
    <w:rsid w:val="009818CF"/>
    <w:rsid w:val="0098372D"/>
    <w:rsid w:val="00991193"/>
    <w:rsid w:val="00993BE1"/>
    <w:rsid w:val="00996138"/>
    <w:rsid w:val="009A3127"/>
    <w:rsid w:val="009A6EBD"/>
    <w:rsid w:val="009B0952"/>
    <w:rsid w:val="009C0653"/>
    <w:rsid w:val="009C5475"/>
    <w:rsid w:val="009C618F"/>
    <w:rsid w:val="009D0E5A"/>
    <w:rsid w:val="009D1D1C"/>
    <w:rsid w:val="009D237C"/>
    <w:rsid w:val="009D3624"/>
    <w:rsid w:val="009D3646"/>
    <w:rsid w:val="009E40F1"/>
    <w:rsid w:val="009E5084"/>
    <w:rsid w:val="009E5F03"/>
    <w:rsid w:val="009E5F5E"/>
    <w:rsid w:val="009F2DB6"/>
    <w:rsid w:val="009F5888"/>
    <w:rsid w:val="00A01AC2"/>
    <w:rsid w:val="00A06979"/>
    <w:rsid w:val="00A07D58"/>
    <w:rsid w:val="00A07E05"/>
    <w:rsid w:val="00A10907"/>
    <w:rsid w:val="00A1136A"/>
    <w:rsid w:val="00A11BC2"/>
    <w:rsid w:val="00A11E8B"/>
    <w:rsid w:val="00A14107"/>
    <w:rsid w:val="00A1554D"/>
    <w:rsid w:val="00A159EB"/>
    <w:rsid w:val="00A23822"/>
    <w:rsid w:val="00A25860"/>
    <w:rsid w:val="00A25B3A"/>
    <w:rsid w:val="00A27637"/>
    <w:rsid w:val="00A30CE1"/>
    <w:rsid w:val="00A33FB1"/>
    <w:rsid w:val="00A34EFF"/>
    <w:rsid w:val="00A47F66"/>
    <w:rsid w:val="00A50C65"/>
    <w:rsid w:val="00A510F7"/>
    <w:rsid w:val="00A510FE"/>
    <w:rsid w:val="00A53AE5"/>
    <w:rsid w:val="00A53C6B"/>
    <w:rsid w:val="00A540B2"/>
    <w:rsid w:val="00A6210D"/>
    <w:rsid w:val="00A645E5"/>
    <w:rsid w:val="00A674B6"/>
    <w:rsid w:val="00A74AAE"/>
    <w:rsid w:val="00A756FD"/>
    <w:rsid w:val="00A76AB0"/>
    <w:rsid w:val="00A805F9"/>
    <w:rsid w:val="00A87B73"/>
    <w:rsid w:val="00A92779"/>
    <w:rsid w:val="00A92C87"/>
    <w:rsid w:val="00A94FD0"/>
    <w:rsid w:val="00A96C79"/>
    <w:rsid w:val="00A96DB3"/>
    <w:rsid w:val="00AA0160"/>
    <w:rsid w:val="00AA0CC9"/>
    <w:rsid w:val="00AA1B30"/>
    <w:rsid w:val="00AA5673"/>
    <w:rsid w:val="00AA5F91"/>
    <w:rsid w:val="00AA6916"/>
    <w:rsid w:val="00AB0E6D"/>
    <w:rsid w:val="00AC001F"/>
    <w:rsid w:val="00AC31F4"/>
    <w:rsid w:val="00AC6BA0"/>
    <w:rsid w:val="00AC7488"/>
    <w:rsid w:val="00AD4030"/>
    <w:rsid w:val="00AD41E5"/>
    <w:rsid w:val="00AD6980"/>
    <w:rsid w:val="00AE039E"/>
    <w:rsid w:val="00AE153F"/>
    <w:rsid w:val="00AE3746"/>
    <w:rsid w:val="00AE399F"/>
    <w:rsid w:val="00AF7575"/>
    <w:rsid w:val="00B00B15"/>
    <w:rsid w:val="00B1274B"/>
    <w:rsid w:val="00B12CF3"/>
    <w:rsid w:val="00B13DEC"/>
    <w:rsid w:val="00B160FE"/>
    <w:rsid w:val="00B20793"/>
    <w:rsid w:val="00B331D7"/>
    <w:rsid w:val="00B37C5D"/>
    <w:rsid w:val="00B402D7"/>
    <w:rsid w:val="00B428C5"/>
    <w:rsid w:val="00B469C7"/>
    <w:rsid w:val="00B557D1"/>
    <w:rsid w:val="00B626B1"/>
    <w:rsid w:val="00B67A00"/>
    <w:rsid w:val="00B71518"/>
    <w:rsid w:val="00B72C72"/>
    <w:rsid w:val="00B74311"/>
    <w:rsid w:val="00B779D0"/>
    <w:rsid w:val="00B85239"/>
    <w:rsid w:val="00B91D6A"/>
    <w:rsid w:val="00B96FB7"/>
    <w:rsid w:val="00BA00D5"/>
    <w:rsid w:val="00BA35D8"/>
    <w:rsid w:val="00BA71C3"/>
    <w:rsid w:val="00BA7E9A"/>
    <w:rsid w:val="00BB6C81"/>
    <w:rsid w:val="00BB6D6C"/>
    <w:rsid w:val="00BC5DF0"/>
    <w:rsid w:val="00BD08BA"/>
    <w:rsid w:val="00BD2C3D"/>
    <w:rsid w:val="00BD57CE"/>
    <w:rsid w:val="00BD798E"/>
    <w:rsid w:val="00BE01C9"/>
    <w:rsid w:val="00BE0FE7"/>
    <w:rsid w:val="00BE20C7"/>
    <w:rsid w:val="00BE3F27"/>
    <w:rsid w:val="00BE79CA"/>
    <w:rsid w:val="00BF3E0F"/>
    <w:rsid w:val="00BF3F33"/>
    <w:rsid w:val="00BF48F7"/>
    <w:rsid w:val="00C00A44"/>
    <w:rsid w:val="00C03F35"/>
    <w:rsid w:val="00C04609"/>
    <w:rsid w:val="00C056E5"/>
    <w:rsid w:val="00C10A8B"/>
    <w:rsid w:val="00C123CC"/>
    <w:rsid w:val="00C152C2"/>
    <w:rsid w:val="00C17EBA"/>
    <w:rsid w:val="00C232BC"/>
    <w:rsid w:val="00C25749"/>
    <w:rsid w:val="00C25758"/>
    <w:rsid w:val="00C273E8"/>
    <w:rsid w:val="00C36C59"/>
    <w:rsid w:val="00C407B7"/>
    <w:rsid w:val="00C53F5A"/>
    <w:rsid w:val="00C55F8F"/>
    <w:rsid w:val="00C57BAE"/>
    <w:rsid w:val="00C623B3"/>
    <w:rsid w:val="00C66773"/>
    <w:rsid w:val="00C67A11"/>
    <w:rsid w:val="00C7046B"/>
    <w:rsid w:val="00C709F5"/>
    <w:rsid w:val="00C72C3D"/>
    <w:rsid w:val="00C72D0E"/>
    <w:rsid w:val="00C72E04"/>
    <w:rsid w:val="00C80B48"/>
    <w:rsid w:val="00C85C1F"/>
    <w:rsid w:val="00C85D2A"/>
    <w:rsid w:val="00C901D7"/>
    <w:rsid w:val="00C97047"/>
    <w:rsid w:val="00CA744F"/>
    <w:rsid w:val="00CA74DB"/>
    <w:rsid w:val="00CB4BC7"/>
    <w:rsid w:val="00CB7A42"/>
    <w:rsid w:val="00CC07D9"/>
    <w:rsid w:val="00CC4325"/>
    <w:rsid w:val="00CC5F3E"/>
    <w:rsid w:val="00CD065A"/>
    <w:rsid w:val="00CD0C4A"/>
    <w:rsid w:val="00CD0DB9"/>
    <w:rsid w:val="00CD2F28"/>
    <w:rsid w:val="00CD4F47"/>
    <w:rsid w:val="00CD602F"/>
    <w:rsid w:val="00D0151C"/>
    <w:rsid w:val="00D03B44"/>
    <w:rsid w:val="00D114B2"/>
    <w:rsid w:val="00D11FD9"/>
    <w:rsid w:val="00D1714A"/>
    <w:rsid w:val="00D212EC"/>
    <w:rsid w:val="00D437A9"/>
    <w:rsid w:val="00D51C52"/>
    <w:rsid w:val="00D544CB"/>
    <w:rsid w:val="00D56D5B"/>
    <w:rsid w:val="00D618ED"/>
    <w:rsid w:val="00D66110"/>
    <w:rsid w:val="00D66F59"/>
    <w:rsid w:val="00D7072A"/>
    <w:rsid w:val="00D70E8D"/>
    <w:rsid w:val="00D7303B"/>
    <w:rsid w:val="00D84D65"/>
    <w:rsid w:val="00D85B57"/>
    <w:rsid w:val="00D91FEB"/>
    <w:rsid w:val="00D92224"/>
    <w:rsid w:val="00DA223E"/>
    <w:rsid w:val="00DA4E4C"/>
    <w:rsid w:val="00DA5B08"/>
    <w:rsid w:val="00DA724F"/>
    <w:rsid w:val="00DB37ED"/>
    <w:rsid w:val="00DB5C3F"/>
    <w:rsid w:val="00DB6B79"/>
    <w:rsid w:val="00DB6D9E"/>
    <w:rsid w:val="00DC0823"/>
    <w:rsid w:val="00DC39B1"/>
    <w:rsid w:val="00DC78E2"/>
    <w:rsid w:val="00DD2F0F"/>
    <w:rsid w:val="00DD356B"/>
    <w:rsid w:val="00DD4BE9"/>
    <w:rsid w:val="00DD635F"/>
    <w:rsid w:val="00DD6EF4"/>
    <w:rsid w:val="00DE6578"/>
    <w:rsid w:val="00DE7CBB"/>
    <w:rsid w:val="00DF728D"/>
    <w:rsid w:val="00E009FE"/>
    <w:rsid w:val="00E04C9C"/>
    <w:rsid w:val="00E0579C"/>
    <w:rsid w:val="00E05FE6"/>
    <w:rsid w:val="00E07EAE"/>
    <w:rsid w:val="00E14152"/>
    <w:rsid w:val="00E143A0"/>
    <w:rsid w:val="00E16673"/>
    <w:rsid w:val="00E2175E"/>
    <w:rsid w:val="00E2554D"/>
    <w:rsid w:val="00E33A75"/>
    <w:rsid w:val="00E33B98"/>
    <w:rsid w:val="00E417BB"/>
    <w:rsid w:val="00E4696F"/>
    <w:rsid w:val="00E46C1C"/>
    <w:rsid w:val="00E51ABC"/>
    <w:rsid w:val="00E55AAC"/>
    <w:rsid w:val="00E6290C"/>
    <w:rsid w:val="00E63C5C"/>
    <w:rsid w:val="00E651A8"/>
    <w:rsid w:val="00E70190"/>
    <w:rsid w:val="00E7128E"/>
    <w:rsid w:val="00E8141C"/>
    <w:rsid w:val="00E86E84"/>
    <w:rsid w:val="00E9383F"/>
    <w:rsid w:val="00E96E2D"/>
    <w:rsid w:val="00EA0E00"/>
    <w:rsid w:val="00EA1311"/>
    <w:rsid w:val="00EA3164"/>
    <w:rsid w:val="00EA395F"/>
    <w:rsid w:val="00EA3C46"/>
    <w:rsid w:val="00EA6D8C"/>
    <w:rsid w:val="00EB1633"/>
    <w:rsid w:val="00EC0148"/>
    <w:rsid w:val="00EC5B69"/>
    <w:rsid w:val="00EC5F40"/>
    <w:rsid w:val="00EC6D50"/>
    <w:rsid w:val="00ED1AB9"/>
    <w:rsid w:val="00ED25DE"/>
    <w:rsid w:val="00ED3375"/>
    <w:rsid w:val="00ED3A10"/>
    <w:rsid w:val="00ED46D9"/>
    <w:rsid w:val="00ED61A8"/>
    <w:rsid w:val="00EE26E2"/>
    <w:rsid w:val="00EF5BEC"/>
    <w:rsid w:val="00F01785"/>
    <w:rsid w:val="00F019C7"/>
    <w:rsid w:val="00F03A8B"/>
    <w:rsid w:val="00F06935"/>
    <w:rsid w:val="00F1023C"/>
    <w:rsid w:val="00F1082D"/>
    <w:rsid w:val="00F10A8E"/>
    <w:rsid w:val="00F119CE"/>
    <w:rsid w:val="00F12C8C"/>
    <w:rsid w:val="00F14150"/>
    <w:rsid w:val="00F27386"/>
    <w:rsid w:val="00F30CD9"/>
    <w:rsid w:val="00F3386D"/>
    <w:rsid w:val="00F34465"/>
    <w:rsid w:val="00F3468B"/>
    <w:rsid w:val="00F41101"/>
    <w:rsid w:val="00F42A54"/>
    <w:rsid w:val="00F45665"/>
    <w:rsid w:val="00F52824"/>
    <w:rsid w:val="00F57CAE"/>
    <w:rsid w:val="00F6102A"/>
    <w:rsid w:val="00F622D2"/>
    <w:rsid w:val="00F668EA"/>
    <w:rsid w:val="00F6778C"/>
    <w:rsid w:val="00F76CCE"/>
    <w:rsid w:val="00F77EA1"/>
    <w:rsid w:val="00F82EB3"/>
    <w:rsid w:val="00F95C1A"/>
    <w:rsid w:val="00F975E8"/>
    <w:rsid w:val="00FA1A2D"/>
    <w:rsid w:val="00FA4ACB"/>
    <w:rsid w:val="00FA5B04"/>
    <w:rsid w:val="00FA602C"/>
    <w:rsid w:val="00FA63B8"/>
    <w:rsid w:val="00FA6F48"/>
    <w:rsid w:val="00FB7B69"/>
    <w:rsid w:val="00FC13A1"/>
    <w:rsid w:val="00FC2E59"/>
    <w:rsid w:val="00FD0392"/>
    <w:rsid w:val="00FD7659"/>
    <w:rsid w:val="00FE0E8B"/>
    <w:rsid w:val="00FE6978"/>
    <w:rsid w:val="00FF7572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F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9E5F03"/>
    <w:pPr>
      <w:ind w:left="720"/>
      <w:contextualSpacing/>
    </w:pPr>
  </w:style>
  <w:style w:type="paragraph" w:customStyle="1" w:styleId="EndNoteBibliographyTitle">
    <w:name w:val="EndNote Bibliography Title"/>
    <w:basedOn w:val="Standaard"/>
    <w:link w:val="EndNoteBibliographyTitleChar"/>
    <w:rsid w:val="009E5F03"/>
    <w:pPr>
      <w:spacing w:after="0"/>
      <w:jc w:val="center"/>
    </w:pPr>
    <w:rPr>
      <w:rFonts w:ascii="Calibri" w:hAnsi="Calibri" w:cs="Calibri"/>
      <w:noProof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E5F03"/>
  </w:style>
  <w:style w:type="character" w:customStyle="1" w:styleId="EndNoteBibliographyTitleChar">
    <w:name w:val="EndNote Bibliography Title Char"/>
    <w:basedOn w:val="LijstalineaChar"/>
    <w:link w:val="EndNoteBibliographyTitle"/>
    <w:rsid w:val="009E5F03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ard"/>
    <w:link w:val="EndNoteBibliographyChar"/>
    <w:rsid w:val="009E5F03"/>
    <w:pPr>
      <w:numPr>
        <w:numId w:val="4"/>
      </w:num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jstalineaChar"/>
    <w:link w:val="EndNoteBibliography"/>
    <w:rsid w:val="009E5F03"/>
    <w:rPr>
      <w:rFonts w:ascii="Calibri" w:hAnsi="Calibri" w:cs="Calibri"/>
      <w:noProof/>
    </w:rPr>
  </w:style>
  <w:style w:type="character" w:styleId="Hyperlink">
    <w:name w:val="Hyperlink"/>
    <w:basedOn w:val="Standaardalinea-lettertype"/>
    <w:uiPriority w:val="99"/>
    <w:unhideWhenUsed/>
    <w:rsid w:val="009E5F0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5F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5F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5F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5F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5F0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F0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9E5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E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9E5F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F03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E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5F03"/>
  </w:style>
  <w:style w:type="paragraph" w:styleId="Voettekst">
    <w:name w:val="footer"/>
    <w:basedOn w:val="Standaard"/>
    <w:link w:val="VoettekstChar"/>
    <w:uiPriority w:val="99"/>
    <w:unhideWhenUsed/>
    <w:rsid w:val="009E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5F03"/>
  </w:style>
  <w:style w:type="paragraph" w:styleId="Geenafstand">
    <w:name w:val="No Spacing"/>
    <w:uiPriority w:val="1"/>
    <w:qFormat/>
    <w:rsid w:val="009E5F03"/>
    <w:pPr>
      <w:spacing w:after="0" w:line="240" w:lineRule="auto"/>
    </w:pPr>
  </w:style>
  <w:style w:type="paragraph" w:customStyle="1" w:styleId="xl80">
    <w:name w:val="xl80"/>
    <w:basedOn w:val="Standaard"/>
    <w:rsid w:val="009E5F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Standaard"/>
    <w:rsid w:val="009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Standaard"/>
    <w:rsid w:val="009E5F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Standaard"/>
    <w:rsid w:val="009E5F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88">
    <w:name w:val="xl88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Standaard"/>
    <w:rsid w:val="009E5F03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Standaard"/>
    <w:rsid w:val="009E5F03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Standaard"/>
    <w:rsid w:val="009E5F03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Standaard"/>
    <w:rsid w:val="009E5F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Standaard"/>
    <w:rsid w:val="009E5F03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5">
    <w:name w:val="xl95"/>
    <w:basedOn w:val="Standaard"/>
    <w:rsid w:val="009E5F03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Standaard"/>
    <w:rsid w:val="009E5F0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7">
    <w:name w:val="xl97"/>
    <w:basedOn w:val="Standaard"/>
    <w:rsid w:val="009E5F03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98">
    <w:name w:val="xl98"/>
    <w:basedOn w:val="Standaard"/>
    <w:rsid w:val="009E5F03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9">
    <w:name w:val="xl99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Standaard"/>
    <w:rsid w:val="009E5F0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Standaard"/>
    <w:rsid w:val="009E5F03"/>
    <w:pPr>
      <w:pBdr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107">
    <w:name w:val="xl107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Standaard"/>
    <w:rsid w:val="009E5F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Standaard"/>
    <w:rsid w:val="009E5F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0">
    <w:name w:val="xl110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Standaard"/>
    <w:rsid w:val="009E5F03"/>
    <w:pPr>
      <w:pBdr>
        <w:top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Standaard"/>
    <w:rsid w:val="009E5F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Standaard"/>
    <w:rsid w:val="009E5F03"/>
    <w:pPr>
      <w:pBdr>
        <w:top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6">
    <w:name w:val="xl116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Standaard"/>
    <w:rsid w:val="009E5F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1">
    <w:name w:val="xl121"/>
    <w:basedOn w:val="Standaard"/>
    <w:rsid w:val="009E5F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Standaard"/>
    <w:rsid w:val="009E5F0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6">
    <w:name w:val="xl126"/>
    <w:basedOn w:val="Standaard"/>
    <w:rsid w:val="009E5F03"/>
    <w:pPr>
      <w:pBdr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7">
    <w:name w:val="xl127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8">
    <w:name w:val="xl128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Standaard"/>
    <w:rsid w:val="009E5F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Standaard"/>
    <w:rsid w:val="009E5F03"/>
    <w:pPr>
      <w:pBdr>
        <w:top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1">
    <w:name w:val="xl131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3">
    <w:name w:val="xl133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9E5F03"/>
  </w:style>
  <w:style w:type="character" w:styleId="Regelnummer">
    <w:name w:val="line number"/>
    <w:basedOn w:val="Standaardalinea-lettertype"/>
    <w:uiPriority w:val="99"/>
    <w:semiHidden/>
    <w:unhideWhenUsed/>
    <w:rsid w:val="009E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F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9E5F03"/>
    <w:pPr>
      <w:ind w:left="720"/>
      <w:contextualSpacing/>
    </w:pPr>
  </w:style>
  <w:style w:type="paragraph" w:customStyle="1" w:styleId="EndNoteBibliographyTitle">
    <w:name w:val="EndNote Bibliography Title"/>
    <w:basedOn w:val="Standaard"/>
    <w:link w:val="EndNoteBibliographyTitleChar"/>
    <w:rsid w:val="009E5F03"/>
    <w:pPr>
      <w:spacing w:after="0"/>
      <w:jc w:val="center"/>
    </w:pPr>
    <w:rPr>
      <w:rFonts w:ascii="Calibri" w:hAnsi="Calibri" w:cs="Calibri"/>
      <w:noProof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E5F03"/>
  </w:style>
  <w:style w:type="character" w:customStyle="1" w:styleId="EndNoteBibliographyTitleChar">
    <w:name w:val="EndNote Bibliography Title Char"/>
    <w:basedOn w:val="LijstalineaChar"/>
    <w:link w:val="EndNoteBibliographyTitle"/>
    <w:rsid w:val="009E5F03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ard"/>
    <w:link w:val="EndNoteBibliographyChar"/>
    <w:rsid w:val="009E5F03"/>
    <w:pPr>
      <w:numPr>
        <w:numId w:val="4"/>
      </w:num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jstalineaChar"/>
    <w:link w:val="EndNoteBibliography"/>
    <w:rsid w:val="009E5F03"/>
    <w:rPr>
      <w:rFonts w:ascii="Calibri" w:hAnsi="Calibri" w:cs="Calibri"/>
      <w:noProof/>
    </w:rPr>
  </w:style>
  <w:style w:type="character" w:styleId="Hyperlink">
    <w:name w:val="Hyperlink"/>
    <w:basedOn w:val="Standaardalinea-lettertype"/>
    <w:uiPriority w:val="99"/>
    <w:unhideWhenUsed/>
    <w:rsid w:val="009E5F0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5F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5F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5F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5F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5F0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F0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9E5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E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9E5F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F03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E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5F03"/>
  </w:style>
  <w:style w:type="paragraph" w:styleId="Voettekst">
    <w:name w:val="footer"/>
    <w:basedOn w:val="Standaard"/>
    <w:link w:val="VoettekstChar"/>
    <w:uiPriority w:val="99"/>
    <w:unhideWhenUsed/>
    <w:rsid w:val="009E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5F03"/>
  </w:style>
  <w:style w:type="paragraph" w:styleId="Geenafstand">
    <w:name w:val="No Spacing"/>
    <w:uiPriority w:val="1"/>
    <w:qFormat/>
    <w:rsid w:val="009E5F03"/>
    <w:pPr>
      <w:spacing w:after="0" w:line="240" w:lineRule="auto"/>
    </w:pPr>
  </w:style>
  <w:style w:type="paragraph" w:customStyle="1" w:styleId="xl80">
    <w:name w:val="xl80"/>
    <w:basedOn w:val="Standaard"/>
    <w:rsid w:val="009E5F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Standaard"/>
    <w:rsid w:val="009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Standaard"/>
    <w:rsid w:val="009E5F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Standaard"/>
    <w:rsid w:val="009E5F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88">
    <w:name w:val="xl88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Standaard"/>
    <w:rsid w:val="009E5F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Standaard"/>
    <w:rsid w:val="009E5F03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Standaard"/>
    <w:rsid w:val="009E5F03"/>
    <w:pP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Standaard"/>
    <w:rsid w:val="009E5F03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Standaard"/>
    <w:rsid w:val="009E5F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Standaard"/>
    <w:rsid w:val="009E5F03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5">
    <w:name w:val="xl95"/>
    <w:basedOn w:val="Standaard"/>
    <w:rsid w:val="009E5F03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Standaard"/>
    <w:rsid w:val="009E5F0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7">
    <w:name w:val="xl97"/>
    <w:basedOn w:val="Standaard"/>
    <w:rsid w:val="009E5F03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98">
    <w:name w:val="xl98"/>
    <w:basedOn w:val="Standaard"/>
    <w:rsid w:val="009E5F03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9">
    <w:name w:val="xl99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Standaard"/>
    <w:rsid w:val="009E5F0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Standaard"/>
    <w:rsid w:val="009E5F03"/>
    <w:pPr>
      <w:pBdr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107">
    <w:name w:val="xl107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Standaard"/>
    <w:rsid w:val="009E5F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Standaard"/>
    <w:rsid w:val="009E5F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0">
    <w:name w:val="xl110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Standaard"/>
    <w:rsid w:val="009E5F03"/>
    <w:pPr>
      <w:pBdr>
        <w:top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Standaard"/>
    <w:rsid w:val="009E5F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Standaard"/>
    <w:rsid w:val="009E5F03"/>
    <w:pPr>
      <w:pBdr>
        <w:top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6">
    <w:name w:val="xl116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Standaard"/>
    <w:rsid w:val="009E5F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Standaard"/>
    <w:rsid w:val="009E5F0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1">
    <w:name w:val="xl121"/>
    <w:basedOn w:val="Standaard"/>
    <w:rsid w:val="009E5F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Standaard"/>
    <w:rsid w:val="009E5F0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Standaard"/>
    <w:rsid w:val="009E5F0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6">
    <w:name w:val="xl126"/>
    <w:basedOn w:val="Standaard"/>
    <w:rsid w:val="009E5F03"/>
    <w:pPr>
      <w:pBdr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7">
    <w:name w:val="xl127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8">
    <w:name w:val="xl128"/>
    <w:basedOn w:val="Standaard"/>
    <w:rsid w:val="009E5F0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Standaard"/>
    <w:rsid w:val="009E5F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Standaard"/>
    <w:rsid w:val="009E5F03"/>
    <w:pPr>
      <w:pBdr>
        <w:top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1">
    <w:name w:val="xl131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Standaard"/>
    <w:rsid w:val="009E5F03"/>
    <w:pPr>
      <w:pBdr>
        <w:top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3">
    <w:name w:val="xl133"/>
    <w:basedOn w:val="Standaard"/>
    <w:rsid w:val="009E5F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9E5F03"/>
  </w:style>
  <w:style w:type="character" w:styleId="Regelnummer">
    <w:name w:val="line number"/>
    <w:basedOn w:val="Standaardalinea-lettertype"/>
    <w:uiPriority w:val="99"/>
    <w:semiHidden/>
    <w:unhideWhenUsed/>
    <w:rsid w:val="009E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A79401529024D9BC1B5D1E74CBE2B" ma:contentTypeVersion="7" ma:contentTypeDescription="Create a new document." ma:contentTypeScope="" ma:versionID="12c94682e63a6e5914b7ec1d7d550ddc">
  <xsd:schema xmlns:xsd="http://www.w3.org/2001/XMLSchema" xmlns:p="http://schemas.microsoft.com/office/2006/metadata/properties" xmlns:ns2="022068b2-f8c9-4d7d-8e5e-9534645d248f" targetNamespace="http://schemas.microsoft.com/office/2006/metadata/properties" ma:root="true" ma:fieldsID="472c8ae0f469d9cb0bc9f58c6ec2cd99" ns2:_="">
    <xsd:import namespace="022068b2-f8c9-4d7d-8e5e-9534645d248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22068b2-f8c9-4d7d-8e5e-9534645d248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022068b2-f8c9-4d7d-8e5e-9534645d248f">Data Sheet 1.docx</DocumentId>
    <IsDeleted xmlns="022068b2-f8c9-4d7d-8e5e-9534645d248f">false</IsDeleted>
    <TitleName xmlns="022068b2-f8c9-4d7d-8e5e-9534645d248f">Data Sheet 1.docx</TitleName>
    <StageName xmlns="022068b2-f8c9-4d7d-8e5e-9534645d248f">Author's Proof</StageName>
    <Checked_x0020_Out_x0020_To xmlns="022068b2-f8c9-4d7d-8e5e-9534645d248f">
      <UserInfo>
        <DisplayName/>
        <AccountId xsi:nil="true"/>
        <AccountType/>
      </UserInfo>
    </Checked_x0020_Out_x0020_To>
    <FileFormat xmlns="022068b2-f8c9-4d7d-8e5e-9534645d248f">DOCX</FileFormat>
    <DocumentType xmlns="022068b2-f8c9-4d7d-8e5e-9534645d248f">Data Sheet</DocumentType>
  </documentManagement>
</p:properties>
</file>

<file path=customXml/itemProps1.xml><?xml version="1.0" encoding="utf-8"?>
<ds:datastoreItem xmlns:ds="http://schemas.openxmlformats.org/officeDocument/2006/customXml" ds:itemID="{79FF15E9-1B2D-4212-B0F7-F616FF7FA8C9}"/>
</file>

<file path=customXml/itemProps2.xml><?xml version="1.0" encoding="utf-8"?>
<ds:datastoreItem xmlns:ds="http://schemas.openxmlformats.org/officeDocument/2006/customXml" ds:itemID="{7DBE13C4-4995-426A-B8E8-C511DF5149A4}"/>
</file>

<file path=customXml/itemProps3.xml><?xml version="1.0" encoding="utf-8"?>
<ds:datastoreItem xmlns:ds="http://schemas.openxmlformats.org/officeDocument/2006/customXml" ds:itemID="{29AEDCA5-6C1C-4BC8-BAFA-44C4E0120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Drexhage</dc:creator>
  <cp:lastModifiedBy>Drexhage</cp:lastModifiedBy>
  <cp:revision>1</cp:revision>
  <dcterms:created xsi:type="dcterms:W3CDTF">2017-02-14T15:36:00Z</dcterms:created>
  <dcterms:modified xsi:type="dcterms:W3CDTF">2017-02-14T15:38:00Z</dcterms:modified>
</cp:coreProperties>
</file>