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1D" w:rsidRDefault="002A311D" w:rsidP="002A311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Fig. S1</w:t>
      </w:r>
    </w:p>
    <w:p w:rsidR="002A311D" w:rsidRDefault="002A311D" w:rsidP="002A311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US"/>
        </w:rPr>
        <w:drawing>
          <wp:inline distT="0" distB="0" distL="0" distR="0">
            <wp:extent cx="3352800" cy="3886200"/>
            <wp:effectExtent l="0" t="0" r="0" b="0"/>
            <wp:docPr id="2" name="Picture 2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F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1D" w:rsidRDefault="002A311D" w:rsidP="002A311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Fig. S1 After Nox4 siRNA pretreatment, cells were stimulated with or without AOPPs-RSA (200 </w:t>
      </w:r>
      <w:proofErr w:type="spellStart"/>
      <w:r>
        <w:rPr>
          <w:rFonts w:ascii="Times New Roman" w:hAnsi="Times New Roman"/>
          <w:sz w:val="24"/>
          <w:szCs w:val="24"/>
        </w:rPr>
        <w:t>μg</w:t>
      </w:r>
      <w:proofErr w:type="spellEnd"/>
      <w:r>
        <w:rPr>
          <w:rFonts w:ascii="Times New Roman" w:hAnsi="Times New Roman"/>
          <w:sz w:val="24"/>
          <w:szCs w:val="24"/>
        </w:rPr>
        <w:t>/mL) for 6 h, bar graph showed quantitative analysis of Nox4. Data represent mean ± SEM of at least 3 independent experiments. * P&lt;0.05 versus Control (0) group. # P&lt;0.05 versus AOPPs-RSA group.</w:t>
      </w:r>
    </w:p>
    <w:p w:rsidR="002A311D" w:rsidRDefault="002A311D" w:rsidP="002A311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2A311D" w:rsidRDefault="002A311D" w:rsidP="002A311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2A311D" w:rsidRDefault="002A311D" w:rsidP="002A311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2A311D" w:rsidRDefault="002A311D" w:rsidP="002A311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2A311D" w:rsidRDefault="002A311D" w:rsidP="002A311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2A311D" w:rsidRDefault="002A311D" w:rsidP="002A311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2A311D" w:rsidRDefault="002A311D" w:rsidP="002A311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2A311D" w:rsidRDefault="002A311D" w:rsidP="002A311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2A311D" w:rsidRDefault="002A311D" w:rsidP="002A311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2A311D" w:rsidRDefault="002A311D" w:rsidP="002A311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2A311D" w:rsidRDefault="002A311D" w:rsidP="002A311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2A311D" w:rsidRDefault="002A311D" w:rsidP="002A311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Fig. S2</w:t>
      </w:r>
    </w:p>
    <w:p w:rsidR="002A311D" w:rsidRDefault="002A311D" w:rsidP="002A311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US"/>
        </w:rPr>
        <w:drawing>
          <wp:inline distT="0" distB="0" distL="0" distR="0">
            <wp:extent cx="5276850" cy="4429125"/>
            <wp:effectExtent l="0" t="0" r="0" b="9525"/>
            <wp:docPr id="1" name="Picture 1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F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1D" w:rsidRDefault="002A311D" w:rsidP="002A311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Fig. S2 The expression levels of p38/p-p38 and p44/p42. Data represent mean ± SEM of at least 3 independent experiments. * </w:t>
      </w:r>
      <w:r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&lt;0.05 versus control (0) group. # </w:t>
      </w:r>
      <w:r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&lt;0.05 versus AOPPs-RSA group.</w:t>
      </w:r>
    </w:p>
    <w:p w:rsidR="00C92644" w:rsidRDefault="00C92644">
      <w:bookmarkStart w:id="0" w:name="_GoBack"/>
      <w:bookmarkEnd w:id="0"/>
    </w:p>
    <w:sectPr w:rsidR="00C92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1D"/>
    <w:rsid w:val="002A311D"/>
    <w:rsid w:val="00C9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75768-93F8-4B79-B59A-35EA9640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11D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>PITSOLUTIONS PVT LTD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</dc:creator>
  <cp:keywords/>
  <dc:description/>
  <cp:lastModifiedBy>Arjun</cp:lastModifiedBy>
  <cp:revision>1</cp:revision>
  <dcterms:created xsi:type="dcterms:W3CDTF">2017-06-02T10:04:00Z</dcterms:created>
  <dcterms:modified xsi:type="dcterms:W3CDTF">2017-06-02T10:05:00Z</dcterms:modified>
</cp:coreProperties>
</file>