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BE7DA" w14:textId="181A4C5F" w:rsidR="000D0F8F" w:rsidRDefault="000D0F8F" w:rsidP="000D0F8F">
      <w:pPr>
        <w:spacing w:line="480" w:lineRule="auto"/>
        <w:jc w:val="center"/>
        <w:rPr>
          <w:u w:val="single"/>
        </w:rPr>
      </w:pPr>
      <w:r>
        <w:rPr>
          <w:u w:val="single"/>
        </w:rPr>
        <w:t>Supplementary methods</w:t>
      </w:r>
    </w:p>
    <w:p w14:paraId="5618D5DA" w14:textId="77777777" w:rsidR="00697F92" w:rsidRDefault="00BC2C17" w:rsidP="00375870">
      <w:pPr>
        <w:spacing w:line="480" w:lineRule="auto"/>
        <w:jc w:val="both"/>
        <w:rPr>
          <w:u w:val="single"/>
        </w:rPr>
      </w:pPr>
      <w:r>
        <w:rPr>
          <w:u w:val="single"/>
        </w:rPr>
        <w:t xml:space="preserve">Validation </w:t>
      </w:r>
      <w:r w:rsidR="00697F92">
        <w:rPr>
          <w:u w:val="single"/>
        </w:rPr>
        <w:t>of housekeeping gene</w:t>
      </w:r>
    </w:p>
    <w:p w14:paraId="11D0F7CC" w14:textId="77777777" w:rsidR="00DC3F8E" w:rsidRDefault="00375870" w:rsidP="00375870">
      <w:pPr>
        <w:spacing w:line="480" w:lineRule="auto"/>
        <w:jc w:val="both"/>
      </w:pPr>
      <w:r>
        <w:t>A c</w:t>
      </w:r>
      <w:r w:rsidR="00697F92">
        <w:t>omplete</w:t>
      </w:r>
      <w:r>
        <w:t xml:space="preserve"> series of</w:t>
      </w:r>
      <w:r w:rsidR="00697F92">
        <w:t xml:space="preserve"> samples from one participant </w:t>
      </w:r>
      <w:r>
        <w:t xml:space="preserve">that was randomised to the exercise group </w:t>
      </w:r>
      <w:r w:rsidR="00697F92">
        <w:t>was run on an endogenous control plate (Applied Biosystems 4396840) which allows for the determination of the stability of 32 commonly used housekeeping genes ove</w:t>
      </w:r>
      <w:r w:rsidR="00A7054B">
        <w:t>r three experimental conditions</w:t>
      </w:r>
      <w:r w:rsidR="00BC2C17">
        <w:t xml:space="preserve"> (</w:t>
      </w:r>
      <w:r>
        <w:t xml:space="preserve">e.g. </w:t>
      </w:r>
      <w:r w:rsidR="00BC2C17">
        <w:t xml:space="preserve">Baseline, Untrained, Trained; </w:t>
      </w:r>
      <w:r w:rsidR="00A7054B">
        <w:t xml:space="preserve">Figure 1). </w:t>
      </w:r>
      <w:r w:rsidR="00DC3F8E">
        <w:t xml:space="preserve"> Based upon</w:t>
      </w:r>
      <w:r w:rsidR="00DC3F8E" w:rsidRPr="00DC3F8E">
        <w:t xml:space="preserve"> </w:t>
      </w:r>
      <w:r w:rsidR="00DC3F8E">
        <w:t>expression level and %CV across the three sampling times used here</w:t>
      </w:r>
      <w:r w:rsidR="00BC2C17">
        <w:t>, GAPDH, TBP and HMBS were chosen for further validation.  We tested the</w:t>
      </w:r>
      <w:r>
        <w:t xml:space="preserve"> stability of these three genes</w:t>
      </w:r>
      <w:r w:rsidR="00BC2C17">
        <w:t xml:space="preserve"> in a further 5 patients and noted %CVs of 2.4% 4.0% and 6.2% for TBP, HMBS and GAPDH respectively. Therefore TBP was chosen as an internal control for this analysis. TBP %CV over all patients analysed in the study = 2.2%</w:t>
      </w:r>
    </w:p>
    <w:p w14:paraId="18BEFA4B" w14:textId="77777777" w:rsidR="00DC3F8E" w:rsidRDefault="00DC3F8E" w:rsidP="00A7054B"/>
    <w:p w14:paraId="7194D706" w14:textId="77777777" w:rsidR="00697F92" w:rsidRDefault="00697F92" w:rsidP="00697F92"/>
    <w:p w14:paraId="760A01D4" w14:textId="77777777" w:rsidR="00697F92" w:rsidRDefault="00697F92" w:rsidP="00697F92"/>
    <w:p w14:paraId="78F51D92" w14:textId="77777777" w:rsidR="00697F92" w:rsidRDefault="00A7054B" w:rsidP="00697F92">
      <w:r>
        <w:rPr>
          <w:noProof/>
          <w:lang w:eastAsia="en-GB"/>
        </w:rPr>
        <w:drawing>
          <wp:inline distT="0" distB="0" distL="0" distR="0" wp14:anchorId="6E7C581B" wp14:editId="334CFD91">
            <wp:extent cx="5731510" cy="3735070"/>
            <wp:effectExtent l="0" t="0" r="2540" b="177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915EF86" w14:textId="2B79BDEE" w:rsidR="00BE7B8B" w:rsidRDefault="00BE7B8B" w:rsidP="00697F92">
      <w:r>
        <w:t>Figure 1. Results of endogenous control plate. Bars show % CV over the three biopsy samples in a single exercising patient.</w:t>
      </w:r>
      <w:bookmarkStart w:id="0" w:name="_GoBack"/>
      <w:bookmarkEnd w:id="0"/>
    </w:p>
    <w:sectPr w:rsidR="00BE7B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92"/>
    <w:rsid w:val="000D0F8F"/>
    <w:rsid w:val="000E3DB2"/>
    <w:rsid w:val="002E1F1E"/>
    <w:rsid w:val="0030375F"/>
    <w:rsid w:val="0034692D"/>
    <w:rsid w:val="00375870"/>
    <w:rsid w:val="005D6AE1"/>
    <w:rsid w:val="006878D5"/>
    <w:rsid w:val="00697F92"/>
    <w:rsid w:val="00A7054B"/>
    <w:rsid w:val="00BB47CB"/>
    <w:rsid w:val="00BC2C17"/>
    <w:rsid w:val="00BE7B8B"/>
    <w:rsid w:val="00C37157"/>
    <w:rsid w:val="00DC3F8E"/>
    <w:rsid w:val="00DD0DB3"/>
    <w:rsid w:val="00E815F2"/>
    <w:rsid w:val="00ED447F"/>
    <w:rsid w:val="00F11E55"/>
    <w:rsid w:val="00FA0207"/>
    <w:rsid w:val="00FB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EA98D"/>
  <w15:chartTrackingRefBased/>
  <w15:docId w15:val="{CB4398CC-FBA4-4DA8-BF89-18B9E465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11E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4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hart" Target="charts/chart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microsoft.com/office/2011/relationships/chartStyle" Target="style1.xml"/><Relationship Id="rId2" Type="http://schemas.microsoft.com/office/2011/relationships/chartColorStyle" Target="colors1.xml"/><Relationship Id="rId3" Type="http://schemas.openxmlformats.org/officeDocument/2006/relationships/oleObject" Target="file:////E:\Resistance%20training%20study\Lab%20Work\PCR\endogenous%20control%20plate%20number%203pm%20151112_dataFINAL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%CV  of potential housekeeping genes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GB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Sheet1!$B$103:$B$134</c:f>
              <c:strCache>
                <c:ptCount val="32"/>
                <c:pt idx="0">
                  <c:v>18S</c:v>
                </c:pt>
                <c:pt idx="1">
                  <c:v>GAPDH</c:v>
                </c:pt>
                <c:pt idx="2">
                  <c:v>HPRT1</c:v>
                </c:pt>
                <c:pt idx="3">
                  <c:v>GUSB</c:v>
                </c:pt>
                <c:pt idx="4">
                  <c:v>ACTB</c:v>
                </c:pt>
                <c:pt idx="5">
                  <c:v>B2M</c:v>
                </c:pt>
                <c:pt idx="6">
                  <c:v>HMBS</c:v>
                </c:pt>
                <c:pt idx="7">
                  <c:v>IPO8</c:v>
                </c:pt>
                <c:pt idx="8">
                  <c:v>PGK1</c:v>
                </c:pt>
                <c:pt idx="9">
                  <c:v>RPLPO</c:v>
                </c:pt>
                <c:pt idx="10">
                  <c:v>TBP</c:v>
                </c:pt>
                <c:pt idx="11">
                  <c:v>TFRC</c:v>
                </c:pt>
                <c:pt idx="12">
                  <c:v>UBC</c:v>
                </c:pt>
                <c:pt idx="13">
                  <c:v>YQHAZ</c:v>
                </c:pt>
                <c:pt idx="14">
                  <c:v>PPIA</c:v>
                </c:pt>
                <c:pt idx="15">
                  <c:v>POLR2A</c:v>
                </c:pt>
                <c:pt idx="16">
                  <c:v>CASC3</c:v>
                </c:pt>
                <c:pt idx="17">
                  <c:v>CDKN1A</c:v>
                </c:pt>
                <c:pt idx="18">
                  <c:v>CDKN1B</c:v>
                </c:pt>
                <c:pt idx="19">
                  <c:v>GADD45A</c:v>
                </c:pt>
                <c:pt idx="20">
                  <c:v>PUM1</c:v>
                </c:pt>
                <c:pt idx="21">
                  <c:v>PSMC4</c:v>
                </c:pt>
                <c:pt idx="22">
                  <c:v>EIF2B1</c:v>
                </c:pt>
                <c:pt idx="23">
                  <c:v>PES1</c:v>
                </c:pt>
                <c:pt idx="24">
                  <c:v>ABL1</c:v>
                </c:pt>
                <c:pt idx="25">
                  <c:v>ELF1</c:v>
                </c:pt>
                <c:pt idx="26">
                  <c:v>MT-ATP6</c:v>
                </c:pt>
                <c:pt idx="27">
                  <c:v>MRPL19</c:v>
                </c:pt>
                <c:pt idx="28">
                  <c:v>POP4</c:v>
                </c:pt>
                <c:pt idx="29">
                  <c:v>RPL37A</c:v>
                </c:pt>
                <c:pt idx="30">
                  <c:v>RPL30</c:v>
                </c:pt>
                <c:pt idx="31">
                  <c:v>RPS17</c:v>
                </c:pt>
              </c:strCache>
            </c:strRef>
          </c:cat>
          <c:val>
            <c:numRef>
              <c:f>Sheet1!$C$103:$C$134</c:f>
              <c:numCache>
                <c:formatCode>General</c:formatCode>
                <c:ptCount val="32"/>
                <c:pt idx="0">
                  <c:v>7.078467866639945</c:v>
                </c:pt>
                <c:pt idx="1">
                  <c:v>0.376386444080011</c:v>
                </c:pt>
                <c:pt idx="2">
                  <c:v>4.561479163857066</c:v>
                </c:pt>
                <c:pt idx="3">
                  <c:v>3.946509287211181</c:v>
                </c:pt>
                <c:pt idx="4">
                  <c:v>5.168934239110664</c:v>
                </c:pt>
                <c:pt idx="5">
                  <c:v>7.008659460287611</c:v>
                </c:pt>
                <c:pt idx="6">
                  <c:v>2.483506880923668</c:v>
                </c:pt>
                <c:pt idx="7">
                  <c:v>3.584436788461327</c:v>
                </c:pt>
                <c:pt idx="8">
                  <c:v>4.680652938042663</c:v>
                </c:pt>
                <c:pt idx="9">
                  <c:v>2.46243834137451</c:v>
                </c:pt>
                <c:pt idx="10">
                  <c:v>1.880956572343843</c:v>
                </c:pt>
                <c:pt idx="11">
                  <c:v>4.46112879005768</c:v>
                </c:pt>
                <c:pt idx="12">
                  <c:v>3.30756354188942</c:v>
                </c:pt>
                <c:pt idx="13">
                  <c:v>7.562592152476014</c:v>
                </c:pt>
                <c:pt idx="14">
                  <c:v>4.17087268517527</c:v>
                </c:pt>
                <c:pt idx="15">
                  <c:v>5.552783377738367</c:v>
                </c:pt>
                <c:pt idx="16">
                  <c:v>3.320609488863853</c:v>
                </c:pt>
                <c:pt idx="17">
                  <c:v>5.8852189017221</c:v>
                </c:pt>
                <c:pt idx="18">
                  <c:v>3.071363605268075</c:v>
                </c:pt>
                <c:pt idx="19">
                  <c:v>8.253487821158786</c:v>
                </c:pt>
                <c:pt idx="20">
                  <c:v>3.545674347283424</c:v>
                </c:pt>
                <c:pt idx="21">
                  <c:v>3.952886402695988</c:v>
                </c:pt>
                <c:pt idx="22">
                  <c:v>3.096257472118825</c:v>
                </c:pt>
                <c:pt idx="23">
                  <c:v>2.271582707299893</c:v>
                </c:pt>
                <c:pt idx="24">
                  <c:v>3.239200095169878</c:v>
                </c:pt>
                <c:pt idx="25">
                  <c:v>3.24850476815809</c:v>
                </c:pt>
                <c:pt idx="26">
                  <c:v>4.57502410320224</c:v>
                </c:pt>
                <c:pt idx="27">
                  <c:v>4.66640210592449</c:v>
                </c:pt>
                <c:pt idx="28">
                  <c:v>1.471416639121439</c:v>
                </c:pt>
                <c:pt idx="29">
                  <c:v>2.308256056942899</c:v>
                </c:pt>
                <c:pt idx="30">
                  <c:v>13.3233236094254</c:v>
                </c:pt>
                <c:pt idx="31">
                  <c:v>5.233794377225561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26185360"/>
        <c:axId val="609244880"/>
      </c:barChart>
      <c:catAx>
        <c:axId val="726185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GB"/>
          </a:p>
        </c:txPr>
        <c:crossAx val="609244880"/>
        <c:crosses val="autoZero"/>
        <c:auto val="1"/>
        <c:lblAlgn val="ctr"/>
        <c:lblOffset val="100"/>
        <c:noMultiLvlLbl val="0"/>
      </c:catAx>
      <c:valAx>
        <c:axId val="609244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200"/>
                  <a:t>% CV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GB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GB"/>
          </a:p>
        </c:txPr>
        <c:crossAx val="726185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GB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Emma</dc:creator>
  <cp:keywords/>
  <dc:description/>
  <cp:lastModifiedBy>Emma Watson</cp:lastModifiedBy>
  <cp:revision>3</cp:revision>
  <dcterms:created xsi:type="dcterms:W3CDTF">2017-04-28T07:27:00Z</dcterms:created>
  <dcterms:modified xsi:type="dcterms:W3CDTF">2017-04-28T07:28:00Z</dcterms:modified>
</cp:coreProperties>
</file>