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Supplementary Material</w:t>
      </w:r>
    </w:p>
    <w:p>
      <w:pPr>
        <w:pStyle w:val="15"/>
        <w:jc w:val="center"/>
        <w:rPr>
          <w:rFonts w:ascii="Times New Roman" w:hAnsi="Times New Roman" w:eastAsia="Calibri"/>
          <w:i/>
          <w:sz w:val="32"/>
          <w:szCs w:val="32"/>
        </w:rPr>
      </w:pPr>
      <w:r>
        <w:rPr>
          <w:rFonts w:ascii="Times New Roman" w:hAnsi="Times New Roman" w:eastAsia="Calibri"/>
          <w:iCs/>
          <w:sz w:val="32"/>
          <w:szCs w:val="32"/>
        </w:rPr>
        <w:t xml:space="preserve">Ten years of landscape genomics: </w:t>
      </w:r>
      <w:r>
        <w:rPr>
          <w:rFonts w:hint="eastAsia" w:ascii="Times New Roman" w:hAnsi="Times New Roman" w:eastAsia="Calibri"/>
          <w:iCs/>
          <w:sz w:val="32"/>
          <w:szCs w:val="32"/>
        </w:rPr>
        <w:t>challenges and opportunities</w:t>
      </w:r>
    </w:p>
    <w:p>
      <w:pPr>
        <w:widowControl w:val="0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  <w:lang w:eastAsia="zh-CN"/>
        </w:rPr>
        <w:t>Yong Li</w:t>
      </w:r>
      <w:r>
        <w:rPr>
          <w:rFonts w:hint="default" w:ascii="Times New Roman" w:hAnsi="Times New Roman" w:eastAsia="Calibri" w:cs="Times New Roman"/>
          <w:b/>
          <w:bCs/>
          <w:vertAlign w:val="superscript"/>
          <w:lang w:eastAsia="zh-CN"/>
        </w:rPr>
        <w:t>1</w:t>
      </w:r>
      <w:r>
        <w:rPr>
          <w:rFonts w:hint="default" w:ascii="Times New Roman" w:hAnsi="Times New Roman" w:eastAsia="Calibri" w:cs="Times New Roman"/>
          <w:b/>
          <w:bCs/>
          <w:lang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>Xue-Xia Zhang</w:t>
      </w:r>
      <w:r>
        <w:rPr>
          <w:rFonts w:hint="default" w:ascii="Times New Roman" w:hAnsi="Times New Roman" w:eastAsia="Calibri" w:cs="Times New Roman"/>
          <w:b/>
          <w:bCs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lang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>Run-Li Mao</w:t>
      </w:r>
      <w:r>
        <w:rPr>
          <w:rFonts w:hint="default" w:ascii="Times New Roman" w:hAnsi="Times New Roman" w:eastAsia="Calibri" w:cs="Times New Roman"/>
          <w:b/>
          <w:bCs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lang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>Jie Yang</w:t>
      </w:r>
      <w:r>
        <w:rPr>
          <w:rFonts w:hint="default" w:ascii="Times New Roman" w:hAnsi="Times New Roman" w:eastAsia="Calibri" w:cs="Times New Roman"/>
          <w:b/>
          <w:bCs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lang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>Cai-Yun Miao</w:t>
      </w:r>
      <w:r>
        <w:rPr>
          <w:rFonts w:hint="default" w:ascii="Times New Roman" w:hAnsi="Times New Roman" w:eastAsia="Calibri" w:cs="Times New Roman"/>
          <w:b/>
          <w:bCs/>
          <w:vertAlign w:val="superscript"/>
          <w:lang w:eastAsia="zh-CN"/>
        </w:rPr>
        <w:t>1</w:t>
      </w:r>
      <w:r>
        <w:rPr>
          <w:rFonts w:hint="default" w:ascii="Times New Roman" w:hAnsi="Times New Roman" w:eastAsia="Calibri" w:cs="Times New Roman"/>
          <w:b/>
          <w:bCs/>
          <w:vertAlign w:val="baseline"/>
          <w:lang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 Zhuo Li</w:t>
      </w:r>
      <w:r>
        <w:rPr>
          <w:rFonts w:hint="default" w:ascii="Times New Roman" w:hAnsi="Times New Roman" w:eastAsia="Calibri" w:cs="Times New Roman"/>
          <w:b/>
          <w:bCs/>
          <w:vertAlign w:val="superscript"/>
          <w:lang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 and</w:t>
      </w:r>
      <w:r>
        <w:rPr>
          <w:rFonts w:hint="default" w:ascii="Times New Roman" w:hAnsi="Times New Roman" w:cs="Times New Roman"/>
          <w:b/>
          <w:bCs/>
          <w:lang w:eastAsia="zh-CN"/>
        </w:rPr>
        <w:t xml:space="preserve"> Ying-Xiong Qiu</w:t>
      </w:r>
      <w:r>
        <w:rPr>
          <w:rFonts w:hint="default" w:ascii="Times New Roman" w:hAnsi="Times New Roman" w:cs="Times New Roman"/>
          <w:b/>
          <w:bCs/>
          <w:vertAlign w:val="superscript"/>
          <w:lang w:eastAsia="zh-CN"/>
        </w:rPr>
        <w:t>2</w:t>
      </w:r>
      <w:r>
        <w:rPr>
          <w:rFonts w:hint="default" w:ascii="Times New Roman" w:hAnsi="Times New Roman" w:eastAsia="Calibri" w:cs="Times New Roman"/>
          <w:b/>
          <w:bCs/>
          <w:lang w:eastAsia="zh-CN"/>
        </w:rPr>
        <w:t>*</w:t>
      </w:r>
    </w:p>
    <w:p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Correspondence: </w:t>
      </w:r>
      <w:r>
        <w:rPr>
          <w:rFonts w:hint="eastAsia" w:ascii="Times New Roman" w:hAnsi="Times New Roman"/>
        </w:rPr>
        <w:t>Ying-Xiong Qiu</w:t>
      </w:r>
      <w:r>
        <w:rPr>
          <w:rFonts w:hint="eastAsia" w:ascii="Times New Roman" w:hAnsi="Times New Roman"/>
          <w:lang w:val="en-US" w:eastAsia="zh-CN"/>
        </w:rPr>
        <w:t xml:space="preserve">: </w:t>
      </w:r>
      <w:r>
        <w:rPr>
          <w:rFonts w:hint="eastAsia" w:ascii="Times New Roman" w:hAnsi="Times New Roman"/>
        </w:rPr>
        <w:t>qyxhero@zju.edu.cn</w:t>
      </w:r>
    </w:p>
    <w:p>
      <w:pPr>
        <w:spacing w:before="240"/>
        <w:rPr>
          <w:rFonts w:ascii="Times New Roman" w:hAnsi="Times New Roman"/>
        </w:rPr>
      </w:pPr>
    </w:p>
    <w:p>
      <w:pPr>
        <w:pStyle w:val="2"/>
        <w:numPr>
          <w:ilvl w:val="0"/>
          <w:numId w:val="0"/>
        </w:numPr>
        <w:rPr>
          <w:rFonts w:ascii="Times New Roman" w:hAnsi="Times New Roman"/>
          <w:b w:val="0"/>
          <w:sz w:val="24"/>
        </w:rPr>
        <w:sectPr>
          <w:headerReference r:id="rId3" w:type="default"/>
          <w:pgSz w:w="11849" w:h="16781"/>
          <w:pgMar w:top="1440" w:right="1800" w:bottom="1440" w:left="1800" w:header="851" w:footer="992" w:gutter="0"/>
          <w:cols w:space="720" w:num="1"/>
          <w:docGrid w:type="lines" w:linePitch="315" w:charSpace="0"/>
        </w:sectPr>
      </w:pPr>
      <w:r>
        <w:rPr>
          <w:rFonts w:ascii="Times New Roman" w:hAnsi="Times New Roman" w:eastAsia="宋体"/>
          <w:sz w:val="24"/>
        </w:rPr>
        <w:t xml:space="preserve">1   </w:t>
      </w:r>
      <w:r>
        <w:rPr>
          <w:rFonts w:ascii="Times New Roman" w:hAnsi="Times New Roman"/>
          <w:sz w:val="24"/>
        </w:rPr>
        <w:t>Supplementary Table</w:t>
      </w:r>
    </w:p>
    <w:p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aps/>
          <w:sz w:val="24"/>
        </w:rPr>
        <w:t>Table</w:t>
      </w:r>
      <w:r>
        <w:rPr>
          <w:rFonts w:ascii="Times New Roman" w:hAnsi="Times New Roman"/>
          <w:b/>
          <w:bCs/>
          <w:sz w:val="24"/>
        </w:rPr>
        <w:t xml:space="preserve"> S1</w:t>
      </w:r>
      <w:r>
        <w:rPr>
          <w:rFonts w:ascii="Times New Roman" w:hAnsi="Times New Roman"/>
          <w:b/>
          <w:bCs/>
          <w:cap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| Review of 3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7</w:t>
      </w:r>
      <w:r>
        <w:rPr>
          <w:rFonts w:ascii="Times New Roman" w:hAnsi="Times New Roman"/>
          <w:b/>
          <w:bCs/>
          <w:sz w:val="24"/>
        </w:rPr>
        <w:t xml:space="preserve"> articles in landscape genomics from 2007 to 2016.</w:t>
      </w:r>
    </w:p>
    <w:p/>
    <w:tbl>
      <w:tblPr>
        <w:tblStyle w:val="12"/>
        <w:tblW w:w="324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"/>
        <w:gridCol w:w="450"/>
        <w:gridCol w:w="5365"/>
        <w:gridCol w:w="986"/>
        <w:gridCol w:w="2095"/>
        <w:gridCol w:w="2095"/>
        <w:gridCol w:w="3379"/>
        <w:gridCol w:w="3625"/>
        <w:gridCol w:w="141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711" w:hRule="atLeast"/>
        </w:trPr>
        <w:tc>
          <w:tcPr>
            <w:tcW w:w="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5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Title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Molecular Marker</w:t>
            </w:r>
          </w:p>
        </w:tc>
        <w:tc>
          <w:tcPr>
            <w:tcW w:w="2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Sampling strategy</w:t>
            </w:r>
          </w:p>
        </w:tc>
        <w:tc>
          <w:tcPr>
            <w:tcW w:w="2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Sequencing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Technology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Statistical methods</w:t>
            </w:r>
          </w:p>
        </w:tc>
        <w:tc>
          <w:tcPr>
            <w:tcW w:w="3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esearch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ategor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53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 spatial analysis method (SAM) to detect candidate loci for selection: towards a landscape genomics approach to adaptation.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SSRs and AFLPs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SAM, DFIST, FDIST2</w:t>
            </w:r>
          </w:p>
        </w:tc>
        <w:tc>
          <w:tcPr>
            <w:tcW w:w="36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Genome-wide association to fine-scale ecological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heterogeneity within a continuous population of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18"/>
                <w:sz w:val="21"/>
                <w:szCs w:val="21"/>
              </w:rPr>
              <w:t>Biscutella laevigata</w:t>
            </w:r>
            <w:r>
              <w:rPr>
                <w:rStyle w:val="21"/>
                <w:sz w:val="21"/>
                <w:szCs w:val="21"/>
              </w:rPr>
              <w:t xml:space="preserve"> (Brassicaceae)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AFLPs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CCA, partial Mantel tests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Landscape genomics and biased F</w:t>
            </w:r>
            <w:r>
              <w:rPr>
                <w:rStyle w:val="22"/>
                <w:sz w:val="21"/>
                <w:szCs w:val="21"/>
              </w:rPr>
              <w:t>ST</w:t>
            </w:r>
            <w:r>
              <w:rPr>
                <w:rStyle w:val="21"/>
                <w:sz w:val="21"/>
                <w:szCs w:val="21"/>
              </w:rPr>
              <w:t xml:space="preserve"> approaches reveal single nucleotide polymorphisms under selection in goat breeds of North-East Mediterranean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PCR-RFLP, SSCP, SnaPshot, or Taqman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SAM, FDIST2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Back to nature: ecological genomics of loblolly pine (</w:t>
            </w:r>
            <w:r>
              <w:rPr>
                <w:rStyle w:val="18"/>
                <w:sz w:val="21"/>
                <w:szCs w:val="21"/>
              </w:rPr>
              <w:t>Pinus taeda</w:t>
            </w:r>
            <w:r>
              <w:rPr>
                <w:rStyle w:val="21"/>
                <w:sz w:val="21"/>
                <w:szCs w:val="21"/>
              </w:rPr>
              <w:t>, Pinaceae)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Illumina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nfinium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Bayesian geographical analysis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Tracking genes of ecological relevance using a genome scan in two independent regional population samples of </w:t>
            </w:r>
            <w:r>
              <w:rPr>
                <w:rStyle w:val="18"/>
                <w:sz w:val="21"/>
                <w:szCs w:val="21"/>
              </w:rPr>
              <w:t>Arabis alpina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AFLPs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GEE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Environmental adaptation contributes to gene polymorphism across the </w:t>
            </w:r>
            <w:r>
              <w:rPr>
                <w:rStyle w:val="18"/>
                <w:sz w:val="21"/>
                <w:szCs w:val="21"/>
              </w:rPr>
              <w:t xml:space="preserve">Arabidopsis thaliana </w:t>
            </w:r>
            <w:r>
              <w:rPr>
                <w:rStyle w:val="21"/>
                <w:sz w:val="21"/>
                <w:szCs w:val="21"/>
              </w:rPr>
              <w:t>genome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individual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Illumina 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PCA, CCA, partial Mantel tests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536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Local adaptation in the flowering-time gene network of balsam poplar, </w:t>
            </w:r>
            <w:r>
              <w:rPr>
                <w:rStyle w:val="18"/>
                <w:sz w:val="21"/>
                <w:szCs w:val="21"/>
              </w:rPr>
              <w:t>Populus balsamifera</w:t>
            </w:r>
            <w:r>
              <w:rPr>
                <w:rStyle w:val="21"/>
                <w:sz w:val="21"/>
                <w:szCs w:val="21"/>
              </w:rPr>
              <w:t xml:space="preserve"> L.</w:t>
            </w:r>
          </w:p>
        </w:tc>
        <w:tc>
          <w:tcPr>
            <w:tcW w:w="986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Sequenom MassARRAY platform</w:t>
            </w:r>
          </w:p>
        </w:tc>
        <w:tc>
          <w:tcPr>
            <w:tcW w:w="3379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BayeScan, BAYENV, FDIST2</w:t>
            </w:r>
          </w:p>
        </w:tc>
        <w:tc>
          <w:tcPr>
            <w:tcW w:w="362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647" w:hRule="atLeast"/>
        </w:trPr>
        <w:tc>
          <w:tcPr>
            <w:tcW w:w="34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536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Integrating landscape genomics and spatially explicit approaches to detect loci under selection in clinal populations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AFLPs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tratified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individual level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GLMs,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GLMMs,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GAMMs,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DFDIST, BayeScan</w:t>
            </w:r>
          </w:p>
        </w:tc>
        <w:tc>
          <w:tcPr>
            <w:tcW w:w="362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Landscape genomics in Atlantic salmon (</w:t>
            </w:r>
            <w:r>
              <w:rPr>
                <w:rStyle w:val="18"/>
                <w:sz w:val="21"/>
                <w:szCs w:val="21"/>
              </w:rPr>
              <w:t>Salmo salar</w:t>
            </w:r>
            <w:r>
              <w:rPr>
                <w:rStyle w:val="21"/>
                <w:sz w:val="21"/>
                <w:szCs w:val="21"/>
              </w:rPr>
              <w:t>): searching for gene-environment interactions driving local adaptation.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CIGENE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SNP array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RDA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 role of selection in driving landscape genomic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structure of the waterflea</w:t>
            </w:r>
            <w:r>
              <w:rPr>
                <w:rStyle w:val="18"/>
                <w:sz w:val="21"/>
                <w:szCs w:val="21"/>
              </w:rPr>
              <w:t xml:space="preserve"> Daphnia magna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SSRs and 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Sequenom MassARRAY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RDA, partial Mantel tests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Adaptations to Climate-Mediated Selective Pressures in Sheep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ISGC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SNP50K BeadChip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FDIST2, SAM, LFMM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Landscape genomics of </w:t>
            </w:r>
            <w:r>
              <w:rPr>
                <w:rStyle w:val="18"/>
                <w:sz w:val="21"/>
                <w:szCs w:val="21"/>
              </w:rPr>
              <w:t>Populus trichocarpa</w:t>
            </w:r>
            <w:r>
              <w:rPr>
                <w:rStyle w:val="21"/>
                <w:sz w:val="21"/>
                <w:szCs w:val="21"/>
              </w:rPr>
              <w:t>: the role of hybridization, limited gene flow, and natural selection in shaping patterns of population structure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Infinium II assay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FDIST2, BayeScan, Bayenv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Landscape genomics and a common garden trial reveal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adaptive differentiation to temperature across Europe in the tree species </w:t>
            </w:r>
            <w:r>
              <w:rPr>
                <w:rStyle w:val="18"/>
                <w:sz w:val="21"/>
                <w:szCs w:val="21"/>
              </w:rPr>
              <w:t>Alnus glutinosa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enotyping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HiSeq 2000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BayeScan, LFMM  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Assessing The spatial dependence of adaptive loci in 43 European and Western Asian goat breeds using AFLP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markers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AFLPs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SAM, DFDIST, BayeScan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Landscape genomics of </w:t>
            </w:r>
            <w:r>
              <w:rPr>
                <w:rStyle w:val="18"/>
                <w:sz w:val="21"/>
                <w:szCs w:val="21"/>
              </w:rPr>
              <w:t>Sphaeralcea ambigua</w:t>
            </w:r>
            <w:r>
              <w:rPr>
                <w:rStyle w:val="21"/>
                <w:sz w:val="21"/>
                <w:szCs w:val="21"/>
              </w:rPr>
              <w:t xml:space="preserve"> in the Mojave Desert: a multivariate, spatially-explicit approach to guide ecological restoration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AFLPs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BayeScan, GLMs</w:t>
            </w:r>
          </w:p>
        </w:tc>
        <w:tc>
          <w:tcPr>
            <w:tcW w:w="362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682" w:hRule="atLeast"/>
        </w:trPr>
        <w:tc>
          <w:tcPr>
            <w:tcW w:w="34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Environmental adaptation in Chinook salmon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Style w:val="18"/>
                <w:sz w:val="21"/>
                <w:szCs w:val="21"/>
              </w:rPr>
              <w:t>Oncorhynchus tshawytscha</w:t>
            </w:r>
            <w:r>
              <w:rPr>
                <w:rStyle w:val="21"/>
                <w:sz w:val="21"/>
                <w:szCs w:val="21"/>
              </w:rPr>
              <w:t>) throughout their North</w:t>
            </w:r>
            <w:r>
              <w:rPr>
                <w:rStyle w:val="21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21"/>
                <w:sz w:val="21"/>
                <w:szCs w:val="21"/>
              </w:rPr>
              <w:t>American range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Restriction-site associated DNA 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platform</w:t>
            </w:r>
          </w:p>
        </w:tc>
        <w:tc>
          <w:tcPr>
            <w:tcW w:w="3379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FDIST2, RDA, </w:t>
            </w:r>
          </w:p>
        </w:tc>
        <w:tc>
          <w:tcPr>
            <w:tcW w:w="362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Landscape genomics reveal signatures of local adaptation in barley (</w:t>
            </w:r>
            <w:r>
              <w:rPr>
                <w:rStyle w:val="18"/>
                <w:sz w:val="21"/>
                <w:szCs w:val="21"/>
              </w:rPr>
              <w:t>Hordeum vulgare</w:t>
            </w:r>
            <w:r>
              <w:rPr>
                <w:rStyle w:val="21"/>
                <w:sz w:val="21"/>
                <w:szCs w:val="21"/>
              </w:rPr>
              <w:t xml:space="preserve"> L.)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individual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enotyping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HiSeq 2000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Bayenv, LFMM, RDA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Genome-wide analyses suggest parallel selection for universal traits may eclipse local environmental selection in a highly mobile carnivore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Illumina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CanineHD BeadChip microarray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BayeScan, SAM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Isolation by environment in White-breasted Nuthatches (</w:t>
            </w:r>
            <w:r>
              <w:rPr>
                <w:rStyle w:val="18"/>
                <w:sz w:val="21"/>
                <w:szCs w:val="21"/>
              </w:rPr>
              <w:t>Sitta carolinensis</w:t>
            </w:r>
            <w:r>
              <w:rPr>
                <w:rStyle w:val="21"/>
                <w:sz w:val="21"/>
                <w:szCs w:val="21"/>
              </w:rPr>
              <w:t>) of the Madrean Archipelago sky islands: a</w:t>
            </w:r>
            <w:r>
              <w:rPr>
                <w:rStyle w:val="20"/>
                <w:sz w:val="21"/>
                <w:szCs w:val="21"/>
              </w:rPr>
              <w:t xml:space="preserve"> landscape genomics approach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Restriction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site associated DNA 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HiSeq 2500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partial Mantel tests, BayeScan, Bayenv, LFMM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Adaptation to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l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ow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alinity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romotes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enomic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ivergence in Atlantic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od (</w:t>
            </w:r>
            <w:r>
              <w:rPr>
                <w:rStyle w:val="18"/>
                <w:sz w:val="21"/>
                <w:szCs w:val="21"/>
              </w:rPr>
              <w:t>Gadus morhua</w:t>
            </w:r>
            <w:r>
              <w:rPr>
                <w:rStyle w:val="21"/>
                <w:sz w:val="21"/>
                <w:szCs w:val="21"/>
              </w:rPr>
              <w:t xml:space="preserve"> L.)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Illumina SNP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chip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BayeScan, FDIST2, Bayenv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2497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Sun skink landscape genomics: assessing the roles of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micro-evolutionary processes in shaping genetic and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phenotypic diversity across a heterogeneous and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fragmented landscape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Restriction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site associated DNA 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HiSeq 2500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partial Mantel tests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(1)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Combining niche modelling and landscape genetics to study local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adaptation: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 novel approach illustrated using alpine plants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AFLPs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ot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involve</w:t>
            </w:r>
          </w:p>
        </w:tc>
        <w:tc>
          <w:tcPr>
            <w:tcW w:w="3379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GEE</w:t>
            </w:r>
          </w:p>
        </w:tc>
        <w:tc>
          <w:tcPr>
            <w:tcW w:w="362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536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Ecological genomics meets community-level modelling of biodiversity: mapping the genomic landscape of current and future environmental adaptation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Sequenom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MassARRAY platform</w:t>
            </w:r>
          </w:p>
        </w:tc>
        <w:tc>
          <w:tcPr>
            <w:tcW w:w="3379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GDM, the hierarchical model  in ARLEQUIN, BayeScan,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Bayenv</w:t>
            </w:r>
          </w:p>
        </w:tc>
        <w:tc>
          <w:tcPr>
            <w:tcW w:w="362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Landscape genomics reveals altered genome wide diversity within revegetated stands of </w:t>
            </w:r>
            <w:r>
              <w:rPr>
                <w:rStyle w:val="18"/>
                <w:sz w:val="21"/>
                <w:szCs w:val="21"/>
              </w:rPr>
              <w:t>Eucalyptus microcarpa</w:t>
            </w:r>
            <w:r>
              <w:rPr>
                <w:rStyle w:val="21"/>
                <w:sz w:val="21"/>
                <w:szCs w:val="21"/>
              </w:rPr>
              <w:t xml:space="preserve"> (Grey Box)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Diversity Arrays Technology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seqencing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PCA,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IBD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Signatures of local adaptation in candidate genes of oaks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Style w:val="18"/>
                <w:sz w:val="21"/>
                <w:szCs w:val="21"/>
              </w:rPr>
              <w:t>Quercus</w:t>
            </w:r>
            <w:r>
              <w:rPr>
                <w:rStyle w:val="21"/>
                <w:sz w:val="21"/>
                <w:szCs w:val="21"/>
              </w:rPr>
              <w:t xml:space="preserve"> spp.) with respect to present and future climatic</w:t>
            </w:r>
            <w:r>
              <w:rPr>
                <w:rStyle w:val="21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21"/>
                <w:sz w:val="21"/>
                <w:szCs w:val="21"/>
              </w:rPr>
              <w:t>conditions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SSRs and 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Illumina MiSeq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LFMM 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Genome scan reveals selection acting on genes linked to stress response in wild pearl millet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Illumina HighSeq 2000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platform 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PCA, </w:t>
            </w:r>
            <w:r>
              <w:rPr>
                <w:rStyle w:val="18"/>
                <w:sz w:val="21"/>
                <w:szCs w:val="21"/>
              </w:rPr>
              <w:t>F</w:t>
            </w:r>
            <w:r>
              <w:rPr>
                <w:rStyle w:val="21"/>
                <w:sz w:val="21"/>
                <w:szCs w:val="21"/>
              </w:rPr>
              <w:t xml:space="preserve"> </w:t>
            </w:r>
            <w:r>
              <w:rPr>
                <w:rStyle w:val="22"/>
                <w:sz w:val="21"/>
                <w:szCs w:val="21"/>
              </w:rPr>
              <w:t>ST</w:t>
            </w:r>
            <w:r>
              <w:rPr>
                <w:rStyle w:val="21"/>
                <w:sz w:val="21"/>
                <w:szCs w:val="21"/>
              </w:rPr>
              <w:t xml:space="preserve"> approach</w:t>
            </w:r>
            <w:r>
              <w:rPr>
                <w:rStyle w:val="21"/>
                <w:rFonts w:hint="eastAsia"/>
                <w:sz w:val="21"/>
                <w:szCs w:val="21"/>
              </w:rPr>
              <w:t>,</w:t>
            </w:r>
            <w:r>
              <w:rPr>
                <w:rStyle w:val="21"/>
                <w:sz w:val="21"/>
                <w:szCs w:val="21"/>
              </w:rPr>
              <w:t xml:space="preserve"> BayeScan,</w:t>
            </w:r>
            <w:r>
              <w:rPr>
                <w:rStyle w:val="21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21"/>
                <w:sz w:val="21"/>
                <w:szCs w:val="21"/>
              </w:rPr>
              <w:t>Bayenv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Seascape genomics provides evidence for thermal adaptation and current-mediated population structure in American lobster (</w:t>
            </w:r>
            <w:r>
              <w:rPr>
                <w:rStyle w:val="18"/>
                <w:sz w:val="21"/>
                <w:szCs w:val="21"/>
              </w:rPr>
              <w:t>Homarus americanus</w:t>
            </w:r>
            <w:r>
              <w:rPr>
                <w:rStyle w:val="21"/>
                <w:sz w:val="21"/>
                <w:szCs w:val="21"/>
              </w:rPr>
              <w:t>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Restriction-site associated DNA sequencing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Illumina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 infinite island model in ARLEQUIN, BayeScan, Outflank, Pearson correlation tests,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Bayenv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LFMM, RDA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Riverscape genomics of a threatened fish across a hydroclimatically heterogeneous river basin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Restriction-site associated DNA sequencing Illumina HiSeq 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 hierarchical model in ARLEQUIN, BayeScan, GLMMs, RDA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Environmental versus geographical effects on genomic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variation in wild soybean (</w:t>
            </w:r>
            <w:r>
              <w:rPr>
                <w:rStyle w:val="18"/>
                <w:sz w:val="21"/>
                <w:szCs w:val="21"/>
              </w:rPr>
              <w:t>Glycine soja</w:t>
            </w:r>
            <w:r>
              <w:rPr>
                <w:rStyle w:val="21"/>
                <w:sz w:val="21"/>
                <w:szCs w:val="21"/>
              </w:rPr>
              <w:t>) across its native</w:t>
            </w:r>
            <w:r>
              <w:rPr>
                <w:rStyle w:val="21"/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21"/>
                <w:sz w:val="21"/>
                <w:szCs w:val="21"/>
              </w:rPr>
              <w:t>range in northeast Asia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individual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Illumina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nfinium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CCA, RDA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 discovery in candidate adaptive genes using exon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capture in a free-ranging alpine ungulate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microfluidic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qPCR-based SNP chip</w:t>
            </w:r>
          </w:p>
        </w:tc>
        <w:tc>
          <w:tcPr>
            <w:tcW w:w="3379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FDIST2, BayeScan, SAM</w:t>
            </w:r>
          </w:p>
        </w:tc>
        <w:tc>
          <w:tcPr>
            <w:tcW w:w="3625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50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Patterns of neutral and adaptive genetic diversity across the natural range of sugar pine (</w:t>
            </w:r>
            <w:r>
              <w:rPr>
                <w:rStyle w:val="18"/>
                <w:sz w:val="21"/>
                <w:szCs w:val="21"/>
              </w:rPr>
              <w:t>Pinus lambertiana</w:t>
            </w:r>
            <w:r>
              <w:rPr>
                <w:rStyle w:val="21"/>
                <w:sz w:val="21"/>
                <w:szCs w:val="21"/>
              </w:rPr>
              <w:t xml:space="preserve"> Dougl.)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Illumina GoldenGate SNP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genotyping platform</w:t>
            </w:r>
          </w:p>
        </w:tc>
        <w:tc>
          <w:tcPr>
            <w:tcW w:w="3379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Bayenv, LFMM</w:t>
            </w:r>
          </w:p>
        </w:tc>
        <w:tc>
          <w:tcPr>
            <w:tcW w:w="3625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Genome-environment association study suggests local adaptation to climate at the regional scale in </w:t>
            </w:r>
            <w:r>
              <w:rPr>
                <w:rStyle w:val="18"/>
                <w:sz w:val="21"/>
                <w:szCs w:val="21"/>
              </w:rPr>
              <w:t>Fagus sylvatica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SSRs and 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tratified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KASP genotyping technology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LFMM 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572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Climate-related adaptive genetic variation and population structure in natural stands of Norway spruce in the South-Eastern Alps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Illumina GoldenGate SNP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genotyping 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BayeScan, Bayenv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264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Signatures of natural selection on </w:t>
            </w:r>
            <w:r>
              <w:rPr>
                <w:rStyle w:val="18"/>
                <w:sz w:val="21"/>
                <w:szCs w:val="21"/>
              </w:rPr>
              <w:t>Pinus cembra</w:t>
            </w:r>
            <w:r>
              <w:rPr>
                <w:rStyle w:val="21"/>
                <w:sz w:val="21"/>
                <w:szCs w:val="21"/>
              </w:rPr>
              <w:t xml:space="preserve"> and </w:t>
            </w:r>
            <w:r>
              <w:rPr>
                <w:rStyle w:val="18"/>
                <w:sz w:val="21"/>
                <w:szCs w:val="21"/>
              </w:rPr>
              <w:t>P. mugo</w:t>
            </w:r>
            <w:r>
              <w:rPr>
                <w:rStyle w:val="21"/>
                <w:sz w:val="21"/>
                <w:szCs w:val="21"/>
              </w:rPr>
              <w:t xml:space="preserve"> along elevational gradients in the Alps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Illumina GoldenGate SNP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genotyping 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BayeScan, Bayenv, LFMM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Climate variables explain neutral and adaptive variation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within salmonid metapopulations: the importance of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replication in landscape genetics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ABI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Taqman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ssays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platform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GESTE, DISTLM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5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Evidence of divergent selection for drought and cold tolerance at landscape and local scales in </w:t>
            </w:r>
            <w:r>
              <w:rPr>
                <w:rStyle w:val="18"/>
                <w:sz w:val="21"/>
                <w:szCs w:val="21"/>
              </w:rPr>
              <w:t>Abies alba</w:t>
            </w:r>
            <w:r>
              <w:rPr>
                <w:rStyle w:val="18"/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21"/>
                <w:sz w:val="21"/>
                <w:szCs w:val="21"/>
              </w:rPr>
              <w:t>Mill. in the French Mediterranean Alps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SNPs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KASP genotyping technology</w:t>
            </w:r>
          </w:p>
        </w:tc>
        <w:tc>
          <w:tcPr>
            <w:tcW w:w="3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HFDIST, BayeScan, FLK, LFMM</w:t>
            </w:r>
          </w:p>
        </w:tc>
        <w:tc>
          <w:tcPr>
            <w:tcW w:w="3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45" w:type="dxa"/>
          <w:trHeight w:val="1880" w:hRule="atLeast"/>
        </w:trPr>
        <w:tc>
          <w:tcPr>
            <w:tcW w:w="3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2016</w:t>
            </w:r>
          </w:p>
        </w:tc>
        <w:tc>
          <w:tcPr>
            <w:tcW w:w="53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Contributions of historical and contemporary geographic and environmental factors to phylogeographic structure in a Tertiary relict species, 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Cs w:val="21"/>
              </w:rPr>
              <w:t>Emmenopterys henryi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(Rubiaceae)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AFLPs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andom sampling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at population level</w:t>
            </w:r>
          </w:p>
        </w:tc>
        <w:tc>
          <w:tcPr>
            <w:tcW w:w="20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Not involve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IBD, IBE, MMRR, SEM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324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esearch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ategor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y: (1) quantifying influence of spatial environmental variables on genomic divergence; (2) 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uncovering the environmental factors that shape adaptive genetic variation and the genetic basis of adaptive change.</w:t>
            </w:r>
          </w:p>
        </w:tc>
      </w:tr>
    </w:tbl>
    <w:p>
      <w:pPr>
        <w:sectPr>
          <w:pgSz w:w="23757" w:h="16783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ectPr>
          <w:pgSz w:w="11849" w:h="16781"/>
          <w:pgMar w:top="1440" w:right="1803" w:bottom="1440" w:left="1803" w:header="851" w:footer="992" w:gutter="0"/>
          <w:cols w:space="720" w:num="1"/>
          <w:docGrid w:type="lines" w:linePitch="315" w:charSpace="0"/>
        </w:sectPr>
      </w:pPr>
    </w:p>
    <w:p>
      <w:pPr>
        <w:rPr>
          <w:rFonts w:ascii="Times New Roman" w:hAnsi="Times New Roman"/>
          <w:sz w:val="24"/>
        </w:rPr>
      </w:pPr>
      <w:r>
        <w:rPr>
          <w:rStyle w:val="10"/>
          <w:rFonts w:ascii="Times New Roman" w:hAnsi="Times New Roman"/>
          <w:b/>
          <w:color w:val="000000"/>
          <w:sz w:val="24"/>
        </w:rPr>
        <w:t>References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Abebe, T.D., Naz, A.A.,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Léon, J. (2015). Landscape genomics reveal signatures of local adaptation in barley (</w:t>
      </w:r>
      <w:r>
        <w:rPr>
          <w:rFonts w:ascii="Times New Roman" w:hAnsi="Times New Roman"/>
          <w:i/>
          <w:iCs/>
          <w:sz w:val="24"/>
        </w:rPr>
        <w:t>Hordeum vulgare</w:t>
      </w:r>
      <w:r>
        <w:rPr>
          <w:rFonts w:ascii="Times New Roman" w:hAnsi="Times New Roman"/>
          <w:sz w:val="24"/>
        </w:rPr>
        <w:t xml:space="preserve"> L.).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Front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P</w:t>
      </w:r>
      <w:r>
        <w:rPr>
          <w:rFonts w:ascii="Times New Roman" w:hAnsi="Times New Roman"/>
          <w:i/>
          <w:iCs/>
          <w:sz w:val="24"/>
        </w:rPr>
        <w:t xml:space="preserve">lant </w:t>
      </w:r>
      <w:r>
        <w:rPr>
          <w:rFonts w:hint="eastAsia" w:ascii="Times New Roman" w:hAnsi="Times New Roman"/>
          <w:i/>
          <w:iCs/>
          <w:sz w:val="24"/>
        </w:rPr>
        <w:t>S</w:t>
      </w:r>
      <w:r>
        <w:rPr>
          <w:rFonts w:ascii="Times New Roman" w:hAnsi="Times New Roman"/>
          <w:i/>
          <w:iCs/>
          <w:sz w:val="24"/>
        </w:rPr>
        <w:t>ci</w:t>
      </w:r>
      <w:r>
        <w:rPr>
          <w:rFonts w:hint="eastAsia" w:ascii="Times New Roman" w:hAnsi="Times New Roman"/>
          <w:i/>
          <w:iCs/>
          <w:sz w:val="24"/>
        </w:rPr>
        <w:t xml:space="preserve">. </w:t>
      </w:r>
      <w:r>
        <w:rPr>
          <w:rFonts w:hint="eastAsia" w:ascii="Times New Roman" w:hAnsi="Times New Roman"/>
          <w:sz w:val="24"/>
        </w:rPr>
        <w:t>6, 813</w:t>
      </w:r>
      <w:r>
        <w:rPr>
          <w:rFonts w:hint="eastAsia" w:ascii="Times New Roman" w:hAnsi="Times New Roman"/>
          <w:i/>
          <w:iCs/>
          <w:sz w:val="24"/>
        </w:rPr>
        <w:t>.</w:t>
      </w:r>
    </w:p>
    <w:p>
      <w:pPr>
        <w:tabs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Barley, A.J., Monnahan, P.J., Thomson, R.C., Grismer, L.L., and Brown, R.M. (2015). Sun skink landscape genomics: assessing the roles of micro-evolutionary processes in shaping genetic and phenotypic diversity across a heterogeneous and fragmented landscape.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24, 1696-1712.</w:t>
      </w:r>
    </w:p>
    <w:p>
      <w:pPr>
        <w:tabs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Benestan, L., Quinn, B.K., Maaroufi, H., Laporte, M., Clark, F.K., Greenwood, S.J., Rochette, R., and Bernatchez, L. (2016). Seascape genomics provides evidence for thermal adaptation and current-mediated population structure in american lobster (</w:t>
      </w:r>
      <w:r>
        <w:rPr>
          <w:rFonts w:hint="eastAsia" w:ascii="Times New Roman" w:hAnsi="Times New Roman"/>
          <w:i/>
          <w:iCs/>
          <w:sz w:val="24"/>
        </w:rPr>
        <w:t>Homarus americanus</w:t>
      </w:r>
      <w:r>
        <w:rPr>
          <w:rFonts w:hint="eastAsia" w:ascii="Times New Roman" w:hAnsi="Times New Roman"/>
          <w:sz w:val="24"/>
        </w:rPr>
        <w:t xml:space="preserve">).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25, 5073-5092.</w:t>
      </w:r>
    </w:p>
    <w:p>
      <w:pPr>
        <w:tabs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Berg, P.R., Jentoft, S., Star, B., Ring, K.H., Knutsen, H., Lien, S., Jakobsen, K.S., and Andre, C. (2015). Adaptation to low salinity promotes genomic divergence in Atlantic Cod (</w:t>
      </w:r>
      <w:r>
        <w:rPr>
          <w:rFonts w:hint="eastAsia" w:ascii="Times New Roman" w:hAnsi="Times New Roman"/>
          <w:i/>
          <w:iCs/>
          <w:sz w:val="24"/>
        </w:rPr>
        <w:t xml:space="preserve">Gadus morhua </w:t>
      </w:r>
      <w:r>
        <w:rPr>
          <w:rFonts w:hint="eastAsia" w:ascii="Times New Roman" w:hAnsi="Times New Roman"/>
          <w:sz w:val="24"/>
        </w:rPr>
        <w:t>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). </w:t>
      </w:r>
      <w:r>
        <w:rPr>
          <w:rFonts w:hint="eastAsia" w:ascii="Times New Roman" w:hAnsi="Times New Roman"/>
          <w:i/>
          <w:iCs/>
          <w:sz w:val="24"/>
        </w:rPr>
        <w:t xml:space="preserve">Genome Biol. Evol. </w:t>
      </w:r>
      <w:r>
        <w:rPr>
          <w:rFonts w:hint="eastAsia" w:ascii="Times New Roman" w:hAnsi="Times New Roman"/>
          <w:sz w:val="24"/>
        </w:rPr>
        <w:t>7, 1644-1663.</w:t>
      </w:r>
    </w:p>
    <w:p>
      <w:pPr>
        <w:tabs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Berthouly-Salazar, C., Thuillet, A.C., Rhoné, B., Mariac, C., Ousseini, I.S., Couderc, M., Tenaillon, M.I., and Vigouroux, Y. (2016). Genome scan reveals selection acting on genes linked to stress response in wild pearl millet.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25, 5500-5512.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Brauer, C.J., Hammer, M.P., and Beheregaray, L.B. (2016). Riverscape genomics of a threatened fish across a hydroclimatically heterogeneous river basin.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25, 5093-5113.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Colli, L., Joost, S., Negrini, R., Nicoloso, L., Crepaldi, P., </w:t>
      </w:r>
      <w:r>
        <w:rPr>
          <w:rFonts w:hint="eastAsia" w:ascii="Times New Roman" w:hAnsi="Times New Roman"/>
          <w:sz w:val="24"/>
        </w:rPr>
        <w:t>Ajmone-Marsan P., and ECNOGENE Consortium</w:t>
      </w:r>
      <w:r>
        <w:rPr>
          <w:rFonts w:ascii="Times New Roman" w:hAnsi="Times New Roman"/>
          <w:sz w:val="24"/>
        </w:rPr>
        <w:t>. (2014). Assessing the spatial dependence of adaptive loci in 43 European and Western Asian goat breeds using AFLP markers.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</w:t>
      </w:r>
      <w:r>
        <w:rPr>
          <w:rFonts w:hint="eastAsia" w:ascii="Times New Roman" w:hAnsi="Times New Roman"/>
          <w:i/>
          <w:iCs/>
          <w:sz w:val="24"/>
        </w:rPr>
        <w:t>L</w:t>
      </w:r>
      <w:r>
        <w:rPr>
          <w:rFonts w:ascii="Times New Roman" w:hAnsi="Times New Roman"/>
          <w:i/>
          <w:iCs/>
          <w:sz w:val="24"/>
        </w:rPr>
        <w:t xml:space="preserve">oS </w:t>
      </w:r>
      <w:r>
        <w:rPr>
          <w:rFonts w:hint="eastAsia" w:ascii="Times New Roman" w:hAnsi="Times New Roman"/>
          <w:i/>
          <w:iCs/>
          <w:sz w:val="24"/>
        </w:rPr>
        <w:t>One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e86668.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Kort, H., Vandepitte, K., Bruun, H.H., Closset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Kopp, D., Honnay, O.,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Mergeay, J. (2014). Landscape genomics and a common garden trial reveal adaptive differentiation to temperature across Europe in the tree species </w:t>
      </w:r>
      <w:r>
        <w:rPr>
          <w:rFonts w:ascii="Times New Roman" w:hAnsi="Times New Roman"/>
          <w:i/>
          <w:iCs/>
          <w:sz w:val="24"/>
        </w:rPr>
        <w:t>Alnus glutinosa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23, 4709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4721.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Di Pierro, E.A., Mosca, E., Rocchini, D., Binelli, G., Neale, D.B., and La Porta, N. (2016). Climate-related adaptive genetic variation and population structure in natural stands of Norway spruce in the South-Eastern Alps. </w:t>
      </w:r>
      <w:r>
        <w:rPr>
          <w:rFonts w:hint="eastAsia" w:ascii="Times New Roman" w:hAnsi="Times New Roman"/>
          <w:i/>
          <w:iCs/>
          <w:sz w:val="24"/>
        </w:rPr>
        <w:t>Tree Genet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i/>
          <w:iCs/>
          <w:sz w:val="24"/>
        </w:rPr>
        <w:t xml:space="preserve"> Genomes</w:t>
      </w:r>
      <w:r>
        <w:rPr>
          <w:rFonts w:hint="eastAsia" w:ascii="Times New Roman" w:hAnsi="Times New Roman"/>
          <w:sz w:val="24"/>
        </w:rPr>
        <w:t xml:space="preserve"> 12, 16.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Eckert, A.J., Bower, A.D., </w:t>
      </w:r>
      <w:r>
        <w:rPr>
          <w:rFonts w:hint="eastAsia" w:ascii="Times New Roman" w:hAnsi="Times New Roman"/>
          <w:sz w:val="24"/>
        </w:rPr>
        <w:t>Gonzalez-Martinez</w:t>
      </w:r>
      <w:r>
        <w:rPr>
          <w:rFonts w:ascii="Times New Roman" w:hAnsi="Times New Roman"/>
          <w:sz w:val="24"/>
        </w:rPr>
        <w:t xml:space="preserve">, S.C., Wegrzyn, J.L., Coop, G.,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Neale, D.B. (2010). Back to nature: ecological genomics of loblolly pine (</w:t>
      </w:r>
      <w:r>
        <w:rPr>
          <w:rFonts w:ascii="Times New Roman" w:hAnsi="Times New Roman"/>
          <w:i/>
          <w:iCs/>
          <w:sz w:val="24"/>
        </w:rPr>
        <w:t>Pinus taeda</w:t>
      </w:r>
      <w:r>
        <w:rPr>
          <w:rFonts w:ascii="Times New Roman" w:hAnsi="Times New Roman"/>
          <w:sz w:val="24"/>
        </w:rPr>
        <w:t>, Pinaceae).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19, 3789-3805.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Fitzpatrick, M.C., and Keller, S.R. (2015). Ecological genomics meets community-level modelling of biodiversity: mapping the genomic landscape of current and future environmental adaptation. </w:t>
      </w:r>
      <w:r>
        <w:rPr>
          <w:rFonts w:hint="eastAsia" w:ascii="Times New Roman" w:hAnsi="Times New Roman"/>
          <w:i/>
          <w:iCs/>
          <w:sz w:val="24"/>
        </w:rPr>
        <w:t>Ecol. Lett.</w:t>
      </w:r>
      <w:r>
        <w:rPr>
          <w:rFonts w:hint="eastAsia" w:ascii="Times New Roman" w:hAnsi="Times New Roman"/>
          <w:sz w:val="24"/>
        </w:rPr>
        <w:t xml:space="preserve"> 18, 1-16.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Geraldes, A., Farzaneh, N., Grassa, C.J., McKown, A.D., Guy, R.D., Mansfield, S.</w:t>
      </w:r>
      <w:r>
        <w:rPr>
          <w:rFonts w:hint="eastAsia" w:ascii="Times New Roman" w:hAnsi="Times New Roman"/>
          <w:sz w:val="24"/>
        </w:rPr>
        <w:t>D.,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Douglas, C.J., and Cronk, Q.C.</w:t>
      </w:r>
      <w:r>
        <w:rPr>
          <w:rFonts w:ascii="Times New Roman" w:hAnsi="Times New Roman"/>
          <w:sz w:val="24"/>
        </w:rPr>
        <w:t xml:space="preserve"> (2014). Landscape genomics of </w:t>
      </w:r>
      <w:r>
        <w:rPr>
          <w:rFonts w:ascii="Times New Roman" w:hAnsi="Times New Roman"/>
          <w:i/>
          <w:iCs/>
          <w:sz w:val="24"/>
        </w:rPr>
        <w:t>Populus trichocarpa</w:t>
      </w:r>
      <w:r>
        <w:rPr>
          <w:rFonts w:ascii="Times New Roman" w:hAnsi="Times New Roman"/>
          <w:sz w:val="24"/>
        </w:rPr>
        <w:t>: the role of hybridization, limited gene flow, and natural selection in shaping patterns of population structure.</w:t>
      </w:r>
      <w:r>
        <w:rPr>
          <w:rFonts w:hint="eastAsia"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Evolution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68, 3260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3280.</w:t>
      </w:r>
    </w:p>
    <w:p>
      <w:pPr>
        <w:tabs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Hand, B.K., Muhlfeld, C.C., Wade, A.A., Kovach, R.P., Whited, D.C., Narum, S.R., Matala, A.P., Ackerman, M.W., Garner, B.A., Kimball, J.S., Stanford, J.A., and Luikart, G. (2016). Climate variables explain neutral and adaptive variation within salmonid metapopulations: the importance of replication in landscape genetics.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25, 689-705.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Hecht, B.C., Matala, A.P., Hess, J.E.,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Narum, S.R. (2015). Environmental adaptation in Chinook salmon (</w:t>
      </w:r>
      <w:r>
        <w:rPr>
          <w:rFonts w:ascii="Times New Roman" w:hAnsi="Times New Roman"/>
          <w:i/>
          <w:iCs/>
          <w:sz w:val="24"/>
        </w:rPr>
        <w:t>Oncorhynchus tshawytscha</w:t>
      </w:r>
      <w:r>
        <w:rPr>
          <w:rFonts w:ascii="Times New Roman" w:hAnsi="Times New Roman"/>
          <w:sz w:val="24"/>
        </w:rPr>
        <w:t>) throughout their North American range.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24, 5573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5595.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Jones, M.R., Forester, B.R., Teufel, A.I., Adams, R.V., Anstett, D.N., Goodrich, B.A., </w:t>
      </w:r>
      <w:r>
        <w:rPr>
          <w:rFonts w:hint="eastAsia" w:ascii="Times New Roman" w:hAnsi="Times New Roman"/>
          <w:sz w:val="24"/>
        </w:rPr>
        <w:t>Landguth, E.L., Joost, S., and Manel, S</w:t>
      </w:r>
      <w:r>
        <w:rPr>
          <w:rFonts w:ascii="Times New Roman" w:hAnsi="Times New Roman"/>
          <w:sz w:val="24"/>
        </w:rPr>
        <w:t>. (2013). Integrating landscape genomics and spatially explicit approaches to detect loci under selection in clinal populations.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Evolution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67, 3455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3468.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Joost, S., Bonin, A., Bruford, M.W., Després, L., Conord, C., Erhardt, G.,</w:t>
      </w:r>
      <w:r>
        <w:rPr>
          <w:rFonts w:hint="eastAsia" w:ascii="Times New Roman" w:hAnsi="Times New Roman"/>
          <w:sz w:val="24"/>
        </w:rPr>
        <w:t xml:space="preserve"> and Taberlet, P.</w:t>
      </w:r>
      <w:r>
        <w:rPr>
          <w:rFonts w:ascii="Times New Roman" w:hAnsi="Times New Roman"/>
          <w:sz w:val="24"/>
        </w:rPr>
        <w:t xml:space="preserve"> (2007). A spatial analysis method (SAM) to detect candidate loci for selection: towards a landscape genomics approach to adaptation.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16, 3955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3969.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Jordan, R., Dillon, S.K., Prober, S.M., and Hoffmann, A.A. (2016). Landscape genomics reveals altered genome wide diversity within revegetated stands of </w:t>
      </w:r>
      <w:r>
        <w:rPr>
          <w:rFonts w:hint="eastAsia" w:ascii="Times New Roman" w:hAnsi="Times New Roman"/>
          <w:i/>
          <w:iCs/>
          <w:sz w:val="24"/>
        </w:rPr>
        <w:t>Eucalyptus microcarpa</w:t>
      </w:r>
      <w:r>
        <w:rPr>
          <w:rFonts w:hint="eastAsia" w:ascii="Times New Roman" w:hAnsi="Times New Roman"/>
          <w:sz w:val="24"/>
        </w:rPr>
        <w:t xml:space="preserve"> (Grey Box). </w:t>
      </w:r>
      <w:r>
        <w:rPr>
          <w:rFonts w:hint="eastAsia" w:ascii="Times New Roman" w:hAnsi="Times New Roman"/>
          <w:i/>
          <w:iCs/>
          <w:sz w:val="24"/>
        </w:rPr>
        <w:t>New Phytol.</w:t>
      </w:r>
      <w:r>
        <w:rPr>
          <w:rFonts w:hint="eastAsia" w:ascii="Times New Roman" w:hAnsi="Times New Roman"/>
          <w:sz w:val="24"/>
        </w:rPr>
        <w:t xml:space="preserve"> 212, 992-1006.</w:t>
      </w:r>
    </w:p>
    <w:p>
      <w:pPr>
        <w:tabs>
          <w:tab w:val="left" w:pos="1980"/>
          <w:tab w:val="left" w:pos="399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Keller, S.R., Levsen, N., Olson, M.S.,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Tiffin, P. (2012). Local adaptation in the flowering-time gene network of balsam poplar, </w:t>
      </w:r>
      <w:r>
        <w:rPr>
          <w:rFonts w:ascii="Times New Roman" w:hAnsi="Times New Roman"/>
          <w:i/>
          <w:iCs/>
          <w:sz w:val="24"/>
        </w:rPr>
        <w:t>Populus balsamifera</w:t>
      </w:r>
      <w:r>
        <w:rPr>
          <w:rFonts w:ascii="Times New Roman" w:hAnsi="Times New Roman"/>
          <w:sz w:val="24"/>
        </w:rPr>
        <w:t xml:space="preserve"> L.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Mol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Biol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Evol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29, 3143-3152.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Leamy, L.J., Lee, C.R., Song, Q.J., Mujacic, I., Luo, Y., Chen, C.Y., Li, C.B., Kjemtrup, S., and Song, B.H. (2016). Environmental versus geographical effects on genomic variation in wild soybean (</w:t>
      </w:r>
      <w:r>
        <w:rPr>
          <w:rFonts w:hint="eastAsia" w:ascii="Times New Roman" w:hAnsi="Times New Roman"/>
          <w:i/>
          <w:iCs/>
          <w:sz w:val="24"/>
        </w:rPr>
        <w:t>Glycine soja</w:t>
      </w:r>
      <w:r>
        <w:rPr>
          <w:rFonts w:hint="eastAsia" w:ascii="Times New Roman" w:hAnsi="Times New Roman"/>
          <w:sz w:val="24"/>
        </w:rPr>
        <w:t xml:space="preserve">) across its native range in northeast Asia. </w:t>
      </w:r>
      <w:r>
        <w:rPr>
          <w:rFonts w:hint="eastAsia" w:ascii="Times New Roman" w:hAnsi="Times New Roman"/>
          <w:i/>
          <w:iCs/>
          <w:sz w:val="24"/>
        </w:rPr>
        <w:t>Ecol. Evol.</w:t>
      </w:r>
      <w:r>
        <w:rPr>
          <w:rFonts w:hint="eastAsia" w:ascii="Times New Roman" w:hAnsi="Times New Roman"/>
          <w:sz w:val="24"/>
        </w:rPr>
        <w:t xml:space="preserve"> 6, 6332-6344.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Lee, C.R.,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Mitchell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Olds, T. (2012). Environmental adaptation contributes to gene polymorphism across the </w:t>
      </w:r>
      <w:r>
        <w:rPr>
          <w:rFonts w:ascii="Times New Roman" w:hAnsi="Times New Roman"/>
          <w:i/>
          <w:iCs/>
          <w:sz w:val="24"/>
        </w:rPr>
        <w:t>Arabidopsis thaliana</w:t>
      </w:r>
      <w:r>
        <w:rPr>
          <w:rFonts w:ascii="Times New Roman" w:hAnsi="Times New Roman"/>
          <w:sz w:val="24"/>
        </w:rPr>
        <w:t xml:space="preserve"> genome.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Mol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Biol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Evol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29, 3721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3728.</w:t>
      </w:r>
    </w:p>
    <w:p>
      <w:pPr>
        <w:tabs>
          <w:tab w:val="left" w:pos="198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Lv, F.H., Agha, S., Kantanen, J., Colli, L., Stucki, S., Kijas, J.W., </w:t>
      </w:r>
      <w:r>
        <w:rPr>
          <w:rFonts w:hint="eastAsia" w:ascii="Times New Roman" w:hAnsi="Times New Roman"/>
          <w:sz w:val="24"/>
        </w:rPr>
        <w:t>Joost, S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, Li, M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Marsan, P.</w:t>
      </w:r>
      <w:r>
        <w:rPr>
          <w:rFonts w:hint="eastAsia"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. (2014). Adaptations to climate-mediated selective pressures in sheep.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Mol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Biol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Evol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31, 3324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3343.</w:t>
      </w:r>
    </w:p>
    <w:p>
      <w:pPr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Manthey, J.D., and Moyle, R.G. (2015). Isolation by environment in White-breasted Nuthatches (S</w:t>
      </w:r>
      <w:r>
        <w:rPr>
          <w:rFonts w:hint="eastAsia" w:ascii="Times New Roman" w:hAnsi="Times New Roman"/>
          <w:i/>
          <w:iCs/>
          <w:sz w:val="24"/>
        </w:rPr>
        <w:t>itta carolinensis</w:t>
      </w:r>
      <w:r>
        <w:rPr>
          <w:rFonts w:hint="eastAsia" w:ascii="Times New Roman" w:hAnsi="Times New Roman"/>
          <w:sz w:val="24"/>
        </w:rPr>
        <w:t xml:space="preserve">) of the Madrean Archipelago sky islands: a landscape genomics approach.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24, 3628-3638.</w:t>
      </w:r>
    </w:p>
    <w:p>
      <w:pPr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Mosca, E., Gugerli, F., Eckert, A.J., and Neale, D.B. (2016). Signatures of natural selection on </w:t>
      </w:r>
      <w:r>
        <w:rPr>
          <w:rFonts w:hint="eastAsia" w:ascii="Times New Roman" w:hAnsi="Times New Roman"/>
          <w:i/>
          <w:iCs/>
          <w:sz w:val="24"/>
        </w:rPr>
        <w:t>Pinus cembra</w:t>
      </w:r>
      <w:r>
        <w:rPr>
          <w:rFonts w:hint="eastAsia" w:ascii="Times New Roman" w:hAnsi="Times New Roman"/>
          <w:sz w:val="24"/>
        </w:rPr>
        <w:t xml:space="preserve">, and </w:t>
      </w:r>
      <w:r>
        <w:rPr>
          <w:rFonts w:hint="eastAsia" w:ascii="Times New Roman" w:hAnsi="Times New Roman"/>
          <w:i/>
          <w:iCs/>
          <w:sz w:val="24"/>
        </w:rPr>
        <w:t>P. mugo</w:t>
      </w:r>
      <w:r>
        <w:rPr>
          <w:rFonts w:hint="eastAsia" w:ascii="Times New Roman" w:hAnsi="Times New Roman"/>
          <w:sz w:val="24"/>
        </w:rPr>
        <w:t xml:space="preserve">, along elevational gradients in the Alps. </w:t>
      </w:r>
      <w:r>
        <w:rPr>
          <w:rFonts w:hint="eastAsia" w:ascii="Times New Roman" w:hAnsi="Times New Roman"/>
          <w:i/>
          <w:iCs/>
          <w:sz w:val="24"/>
        </w:rPr>
        <w:t>Tree Genet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i/>
          <w:iCs/>
          <w:sz w:val="24"/>
        </w:rPr>
        <w:t xml:space="preserve"> Genomes</w:t>
      </w:r>
      <w:r>
        <w:rPr>
          <w:rFonts w:hint="eastAsia" w:ascii="Times New Roman" w:hAnsi="Times New Roman"/>
          <w:sz w:val="24"/>
        </w:rPr>
        <w:t xml:space="preserve"> 12:9</w:t>
      </w:r>
    </w:p>
    <w:p>
      <w:pPr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Orsini, L., Mergeay, J., Vanoverbeke, J.,</w:t>
      </w:r>
      <w:r>
        <w:rPr>
          <w:rFonts w:hint="eastAsia" w:ascii="Times New Roman" w:hAnsi="Times New Roman"/>
          <w:sz w:val="24"/>
        </w:rPr>
        <w:t xml:space="preserve"> and De</w:t>
      </w:r>
      <w:r>
        <w:rPr>
          <w:rFonts w:ascii="Times New Roman" w:hAnsi="Times New Roman"/>
          <w:sz w:val="24"/>
        </w:rPr>
        <w:t xml:space="preserve"> Meester, L. (2013). The role of selection in driving landscape genomic structure of the waterflea </w:t>
      </w:r>
      <w:r>
        <w:rPr>
          <w:rFonts w:ascii="Times New Roman" w:hAnsi="Times New Roman"/>
          <w:i/>
          <w:iCs/>
          <w:sz w:val="24"/>
        </w:rPr>
        <w:t>daphnia magna</w:t>
      </w:r>
      <w:r>
        <w:rPr>
          <w:rFonts w:ascii="Times New Roman" w:hAnsi="Times New Roman"/>
          <w:sz w:val="24"/>
        </w:rPr>
        <w:t xml:space="preserve">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ascii="Times New Roman" w:hAnsi="Times New Roman"/>
          <w:sz w:val="24"/>
        </w:rPr>
        <w:t xml:space="preserve"> 22, 583</w:t>
      </w:r>
      <w:r>
        <w:rPr>
          <w:rFonts w:hint="eastAsia" w:ascii="Times New Roman" w:hAnsi="Times New Roman"/>
          <w:sz w:val="24"/>
        </w:rPr>
        <w:t>-601</w:t>
      </w:r>
      <w:r>
        <w:rPr>
          <w:rFonts w:ascii="Times New Roman" w:hAnsi="Times New Roman"/>
          <w:sz w:val="24"/>
        </w:rPr>
        <w:t>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Pariset, L., Joost, S., Marsan, P.A.,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Valentini, A. (2009). Landscape genomics and biased F</w:t>
      </w:r>
      <w:r>
        <w:rPr>
          <w:rFonts w:ascii="Times New Roman" w:hAnsi="Times New Roman"/>
          <w:sz w:val="24"/>
          <w:vertAlign w:val="subscript"/>
        </w:rPr>
        <w:t>ST</w:t>
      </w:r>
      <w:r>
        <w:rPr>
          <w:rFonts w:ascii="Times New Roman" w:hAnsi="Times New Roman"/>
          <w:sz w:val="24"/>
        </w:rPr>
        <w:t xml:space="preserve"> approaches reveal single nucleotide polymorphisms under selection in goat breeds of North-East Mediterranean.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BMC </w:t>
      </w:r>
      <w:r>
        <w:rPr>
          <w:rFonts w:hint="eastAsia" w:ascii="Times New Roman" w:hAnsi="Times New Roman"/>
          <w:i/>
          <w:iCs/>
          <w:sz w:val="24"/>
        </w:rPr>
        <w:t>G</w:t>
      </w:r>
      <w:r>
        <w:rPr>
          <w:rFonts w:ascii="Times New Roman" w:hAnsi="Times New Roman"/>
          <w:i/>
          <w:iCs/>
          <w:sz w:val="24"/>
        </w:rPr>
        <w:t>enet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7.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Parisod, C.,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Christin, P.A. (2008). Genome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wide association to fine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scale ecological heterogeneity within a continuous population of </w:t>
      </w:r>
      <w:r>
        <w:rPr>
          <w:rFonts w:ascii="Times New Roman" w:hAnsi="Times New Roman"/>
          <w:i/>
          <w:iCs/>
          <w:sz w:val="24"/>
        </w:rPr>
        <w:t>Biscutella laevigata</w:t>
      </w:r>
      <w:r>
        <w:rPr>
          <w:rFonts w:ascii="Times New Roman" w:hAnsi="Times New Roman"/>
          <w:sz w:val="24"/>
        </w:rPr>
        <w:t xml:space="preserve"> (Brassicaceae).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New Phytol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178, 436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447.</w:t>
      </w:r>
    </w:p>
    <w:p>
      <w:pPr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Pluess, A.R., Frank, A., Heiri, C., Lalagüe, H., Vendramin, G.G., and Oddoumuratorio, S. (2016). Genome-environment association study suggests local adaptation to climate at the regional scale in </w:t>
      </w:r>
      <w:r>
        <w:rPr>
          <w:rFonts w:hint="eastAsia" w:ascii="Times New Roman" w:hAnsi="Times New Roman"/>
          <w:i/>
          <w:iCs/>
          <w:sz w:val="24"/>
        </w:rPr>
        <w:t>Fagus sylvatica</w:t>
      </w:r>
      <w:r>
        <w:rPr>
          <w:rFonts w:hint="eastAsia" w:ascii="Times New Roman" w:hAnsi="Times New Roman"/>
          <w:sz w:val="24"/>
        </w:rPr>
        <w:t xml:space="preserve">. </w:t>
      </w:r>
      <w:r>
        <w:rPr>
          <w:rFonts w:hint="eastAsia" w:ascii="Times New Roman" w:hAnsi="Times New Roman"/>
          <w:i/>
          <w:iCs/>
          <w:sz w:val="24"/>
        </w:rPr>
        <w:t>New Phytol</w:t>
      </w:r>
      <w:r>
        <w:rPr>
          <w:rFonts w:hint="eastAsia" w:ascii="Times New Roman" w:hAnsi="Times New Roman"/>
          <w:sz w:val="24"/>
        </w:rPr>
        <w:t>. 210, 589-601.</w:t>
      </w:r>
    </w:p>
    <w:p>
      <w:pPr>
        <w:tabs>
          <w:tab w:val="left" w:pos="198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Poncet, B.N., Herrmann, D., Gugerli, F., Taberlet, P., Holderegger, R., Gielly, L., </w:t>
      </w:r>
      <w:r>
        <w:rPr>
          <w:rFonts w:hint="eastAsia" w:ascii="Times New Roman" w:hAnsi="Times New Roman"/>
          <w:sz w:val="24"/>
        </w:rPr>
        <w:t>Rloux, D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, Thuiller, W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, Aubert, S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Manel, S. (2010). Tracking genes of ecological relevance using a genome scan in two independent regional population samples of </w:t>
      </w:r>
      <w:r>
        <w:rPr>
          <w:rFonts w:ascii="Times New Roman" w:hAnsi="Times New Roman"/>
          <w:i/>
          <w:iCs/>
          <w:sz w:val="24"/>
        </w:rPr>
        <w:t>Arabis alpina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19, 2896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2907.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Rellstab, C., </w:t>
      </w:r>
      <w:r>
        <w:rPr>
          <w:rFonts w:hint="eastAsia" w:ascii="Times New Roman" w:hAnsi="Times New Roman"/>
          <w:sz w:val="24"/>
        </w:rPr>
        <w:t>Zoller</w:t>
      </w:r>
      <w:r>
        <w:rPr>
          <w:rFonts w:ascii="Times New Roman" w:hAnsi="Times New Roman"/>
          <w:sz w:val="24"/>
        </w:rPr>
        <w:t xml:space="preserve">, 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., Walthert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L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Lesur, </w:t>
      </w:r>
      <w:r>
        <w:rPr>
          <w:rFonts w:hint="eastAsia"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., Pluess</w:t>
      </w:r>
      <w:r>
        <w:rPr>
          <w:rFonts w:hint="eastAsia" w:ascii="Times New Roman" w:hAnsi="Times New Roman"/>
          <w:sz w:val="24"/>
        </w:rPr>
        <w:t>, A.E., Graf, R., Bodénès, C., Sperisen, C., Kremer, A.,</w:t>
      </w:r>
      <w:r>
        <w:rPr>
          <w:rFonts w:ascii="Times New Roman" w:hAnsi="Times New Roman"/>
          <w:sz w:val="24"/>
        </w:rPr>
        <w:t xml:space="preserve">and Gugerli, </w:t>
      </w:r>
      <w:r>
        <w:rPr>
          <w:rFonts w:hint="eastAsia"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. (2015). Signatures of local adaptation in candidate genes of oaks (</w:t>
      </w:r>
      <w:r>
        <w:rPr>
          <w:rFonts w:ascii="Times New Roman" w:hAnsi="Times New Roman"/>
          <w:i/>
          <w:iCs/>
          <w:sz w:val="24"/>
        </w:rPr>
        <w:t>Quercus spp.</w:t>
      </w:r>
      <w:r>
        <w:rPr>
          <w:rFonts w:ascii="Times New Roman" w:hAnsi="Times New Roman"/>
          <w:sz w:val="24"/>
        </w:rPr>
        <w:t xml:space="preserve">) with respect to present and future climatic conditions.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ascii="Times New Roman" w:hAnsi="Times New Roman"/>
          <w:sz w:val="24"/>
        </w:rPr>
        <w:t xml:space="preserve"> 2</w:t>
      </w: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</w:t>
      </w:r>
      <w:r>
        <w:rPr>
          <w:rFonts w:hint="eastAsia" w:ascii="Times New Roman" w:hAnsi="Times New Roman"/>
          <w:sz w:val="24"/>
        </w:rPr>
        <w:t>5907-5924</w:t>
      </w:r>
      <w:r>
        <w:rPr>
          <w:rFonts w:ascii="Times New Roman" w:hAnsi="Times New Roman"/>
          <w:sz w:val="24"/>
        </w:rPr>
        <w:t>.</w:t>
      </w:r>
    </w:p>
    <w:p>
      <w:pPr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Roffler, G.H., Amish, S.J., Smith, S., Cosart, T., Kardos, M., Schwartz, M.K., and Luikart, G. (2016). SNP discovery in candidate adaptive genes using exon capture in a free-ranging alpine ungulate. </w:t>
      </w:r>
      <w:r>
        <w:rPr>
          <w:rFonts w:hint="eastAsia" w:ascii="Times New Roman" w:hAnsi="Times New Roman"/>
          <w:i/>
          <w:iCs/>
          <w:sz w:val="24"/>
        </w:rPr>
        <w:t xml:space="preserve">Mol. Ecol. Resour. </w:t>
      </w:r>
      <w:r>
        <w:rPr>
          <w:rFonts w:hint="eastAsia" w:ascii="Times New Roman" w:hAnsi="Times New Roman"/>
          <w:sz w:val="24"/>
        </w:rPr>
        <w:t>16, 1147-1164.</w:t>
      </w:r>
    </w:p>
    <w:p>
      <w:pPr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Rolland, J., Lavergne, S., and Manel, S. (2015). Combining niche modelling and landscape genetics to study local adaptation: A novel approach illustrated using alpine plants. </w:t>
      </w:r>
      <w:r>
        <w:rPr>
          <w:rFonts w:hint="eastAsia" w:ascii="Times New Roman" w:hAnsi="Times New Roman"/>
          <w:i/>
          <w:iCs/>
          <w:sz w:val="24"/>
        </w:rPr>
        <w:t>Perspect. Plant Ecol Evol. Syst.</w:t>
      </w:r>
      <w:r>
        <w:rPr>
          <w:rFonts w:hint="eastAsia" w:ascii="Times New Roman" w:hAnsi="Times New Roman"/>
          <w:sz w:val="24"/>
        </w:rPr>
        <w:t xml:space="preserve"> 17, 491-499.</w:t>
      </w:r>
    </w:p>
    <w:p>
      <w:pPr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Roschanski, A.M., Csilléry, K., Liepelt, S., Oddou-Muratorio, S., Ziegenhagen, B., Huard, F., Ullrich, K.K., Postolache, D., Vendramin, G.G., and Fady, B. (2016). Evidence of divergent selection for drought and cold tolerance at landscape and local scales in </w:t>
      </w:r>
      <w:r>
        <w:rPr>
          <w:rFonts w:hint="eastAsia" w:ascii="Times New Roman" w:hAnsi="Times New Roman"/>
          <w:i/>
          <w:iCs/>
          <w:sz w:val="24"/>
        </w:rPr>
        <w:t>Abies alba</w:t>
      </w:r>
      <w:r>
        <w:rPr>
          <w:rFonts w:hint="eastAsia" w:ascii="Times New Roman" w:hAnsi="Times New Roman"/>
          <w:sz w:val="24"/>
        </w:rPr>
        <w:t xml:space="preserve"> Mill. in the French Mediterranean Alps. </w:t>
      </w:r>
      <w:r>
        <w:rPr>
          <w:rFonts w:hint="eastAsia" w:ascii="Times New Roman" w:hAnsi="Times New Roman"/>
          <w:i/>
          <w:iCs/>
          <w:sz w:val="24"/>
        </w:rPr>
        <w:t>Mol. Ecol.</w:t>
      </w:r>
      <w:r>
        <w:rPr>
          <w:rFonts w:hint="eastAsia" w:ascii="Times New Roman" w:hAnsi="Times New Roman"/>
          <w:sz w:val="24"/>
        </w:rPr>
        <w:t xml:space="preserve"> 25, 776-794.</w:t>
      </w:r>
    </w:p>
    <w:p>
      <w:pPr>
        <w:tabs>
          <w:tab w:val="left" w:pos="1980"/>
        </w:tabs>
        <w:ind w:left="420" w:hanging="420" w:hangingChars="175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Shryock, D.F., Havrilla, C.A., DeFalco, L., Esque, T.C., Custer, N.,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Wood, T.E. (2015). Landscape genomics of </w:t>
      </w:r>
      <w:r>
        <w:rPr>
          <w:rFonts w:ascii="Times New Roman" w:hAnsi="Times New Roman"/>
          <w:i/>
          <w:iCs/>
          <w:sz w:val="24"/>
        </w:rPr>
        <w:t>Sphaeralcea ambigua</w:t>
      </w:r>
      <w:r>
        <w:rPr>
          <w:rFonts w:ascii="Times New Roman" w:hAnsi="Times New Roman"/>
          <w:sz w:val="24"/>
        </w:rPr>
        <w:t xml:space="preserve"> in the Mojave Desert: a multivariate, spatially-explicit approach to guide ecological restoration.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Conserv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G</w:t>
      </w:r>
      <w:r>
        <w:rPr>
          <w:rFonts w:ascii="Times New Roman" w:hAnsi="Times New Roman"/>
          <w:i/>
          <w:iCs/>
          <w:sz w:val="24"/>
        </w:rPr>
        <w:t>enet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16, 1303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1317.</w:t>
      </w:r>
    </w:p>
    <w:p>
      <w:pPr>
        <w:tabs>
          <w:tab w:val="left" w:pos="1980"/>
        </w:tabs>
        <w:ind w:left="420" w:hanging="420" w:hangingChars="1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Stronen, A.V., Jędrzejewska, B., Pertoldi, C., Demontis, D., Randi, E., Niedziałkowska, M., </w:t>
      </w:r>
      <w:r>
        <w:rPr>
          <w:rFonts w:hint="eastAsia" w:ascii="Times New Roman" w:hAnsi="Times New Roman"/>
          <w:sz w:val="24"/>
        </w:rPr>
        <w:t>Sidorovich, V.E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, Kusak, J., Kojola, I., </w:t>
      </w:r>
      <w:r>
        <w:rPr>
          <w:rFonts w:ascii="Times New Roman" w:hAnsi="Times New Roman"/>
          <w:sz w:val="24"/>
        </w:rPr>
        <w:t>Karamanlidis, A.A.</w:t>
      </w:r>
      <w:r>
        <w:rPr>
          <w:rFonts w:hint="eastAsia" w:ascii="Times New Roman" w:hAnsi="Times New Roman"/>
          <w:sz w:val="24"/>
        </w:rPr>
        <w:t xml:space="preserve">, Ozolins, J., Dumenko, V., and Czarnomska, S.D. </w:t>
      </w:r>
      <w:r>
        <w:rPr>
          <w:rFonts w:ascii="Times New Roman" w:hAnsi="Times New Roman"/>
          <w:sz w:val="24"/>
        </w:rPr>
        <w:t>(2015). Genome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wide analyses suggest parallel selection for universal traits may eclipse local environmental selection in a highly mobile carnivore.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Ecol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hint="eastAsia"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i/>
          <w:iCs/>
          <w:sz w:val="24"/>
        </w:rPr>
        <w:t>vol</w:t>
      </w:r>
      <w:r>
        <w:rPr>
          <w:rFonts w:hint="eastAsia" w:ascii="Times New Roman" w:hAnsi="Times New Roman"/>
          <w:i/>
          <w:iCs/>
          <w:sz w:val="24"/>
        </w:rPr>
        <w:t>.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5, 4410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4425.</w:t>
      </w:r>
    </w:p>
    <w:p>
      <w:pPr>
        <w:ind w:left="420" w:hanging="420" w:hangingChars="17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Vangestel, C., Vázquez-Lobo, A., Martínez-García, P.J., Calic, I., Wegrzyn, J.L., and Neale, D.B. (2016). Patterns of neutral and adaptive genetic diversity across the natural range of sugar pine (</w:t>
      </w:r>
      <w:r>
        <w:rPr>
          <w:rFonts w:hint="eastAsia" w:ascii="Times New Roman" w:hAnsi="Times New Roman"/>
          <w:i/>
          <w:iCs/>
          <w:sz w:val="24"/>
        </w:rPr>
        <w:t>Pinus lambertiana, Dougl.</w:t>
      </w:r>
      <w:r>
        <w:rPr>
          <w:rFonts w:hint="eastAsia" w:ascii="Times New Roman" w:hAnsi="Times New Roman"/>
          <w:sz w:val="24"/>
        </w:rPr>
        <w:t xml:space="preserve">). </w:t>
      </w:r>
      <w:r>
        <w:rPr>
          <w:rFonts w:hint="eastAsia" w:ascii="Times New Roman" w:hAnsi="Times New Roman"/>
          <w:i/>
          <w:iCs/>
          <w:sz w:val="24"/>
        </w:rPr>
        <w:t xml:space="preserve">Tree Genet.Genomes </w:t>
      </w:r>
      <w:r>
        <w:rPr>
          <w:rFonts w:hint="eastAsia" w:ascii="Times New Roman" w:hAnsi="Times New Roman"/>
          <w:sz w:val="24"/>
        </w:rPr>
        <w:t>12, 51.</w:t>
      </w:r>
    </w:p>
    <w:p>
      <w:pPr>
        <w:tabs>
          <w:tab w:val="left" w:pos="1980"/>
        </w:tabs>
        <w:ind w:left="420" w:hanging="420" w:hangingChars="175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Vincent, B., Dionne, M., Kent, M.P., Lien, S., </w:t>
      </w:r>
      <w:r>
        <w:rPr>
          <w:rFonts w:hint="eastAsia"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Bernatchez, L. (2013). Landscape genomics in Atlantic salmon (</w:t>
      </w:r>
      <w:r>
        <w:rPr>
          <w:rFonts w:ascii="Times New Roman" w:hAnsi="Times New Roman"/>
          <w:i/>
          <w:iCs/>
          <w:sz w:val="24"/>
        </w:rPr>
        <w:t>Salmo salar</w:t>
      </w:r>
      <w:r>
        <w:rPr>
          <w:rFonts w:ascii="Times New Roman" w:hAnsi="Times New Roman"/>
          <w:sz w:val="24"/>
        </w:rPr>
        <w:t>): searching for gene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environment </w:t>
      </w:r>
      <w:r>
        <w:rPr>
          <w:rFonts w:hint="default" w:ascii="Times New Roman" w:hAnsi="Times New Roman" w:cs="Times New Roman"/>
          <w:sz w:val="24"/>
          <w:szCs w:val="24"/>
        </w:rPr>
        <w:t xml:space="preserve">interactions driving local adaptation.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Evolution</w:t>
      </w:r>
      <w:r>
        <w:rPr>
          <w:rFonts w:hint="default" w:ascii="Times New Roman" w:hAnsi="Times New Roman" w:cs="Times New Roman"/>
          <w:sz w:val="24"/>
          <w:szCs w:val="24"/>
        </w:rPr>
        <w:t xml:space="preserve"> 67, 3469-3487.</w:t>
      </w:r>
    </w:p>
    <w:p>
      <w:pPr>
        <w:tabs>
          <w:tab w:val="left" w:pos="1980"/>
        </w:tabs>
        <w:ind w:left="420" w:hanging="420" w:hangingChars="175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Zhang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 Y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H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, Wang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 I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J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, Comes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 H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P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, Peng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 H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Qiu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 Y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X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. (2016). 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Contributions of historical and contemporary geographic and environmental factors to phylogeographic structure in a Tertiary relict species, </w:t>
      </w:r>
      <w:r>
        <w:rPr>
          <w:rFonts w:hint="default" w:ascii="Times New Roman" w:hAnsi="Times New Roman" w:cs="Times New Roman" w:eastAsiaTheme="minorEastAsia"/>
          <w:i/>
          <w:iCs/>
          <w:sz w:val="24"/>
          <w:szCs w:val="24"/>
          <w:lang w:eastAsia="zh-CN"/>
        </w:rPr>
        <w:t>Emmenopterys henryi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 (Rubiaceae).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z w:val="24"/>
          <w:szCs w:val="24"/>
          <w:lang w:val="en-US" w:eastAsia="zh-CN"/>
        </w:rPr>
        <w:t>Sci. Rep.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6, 24041.</w:t>
      </w:r>
    </w:p>
    <w:p>
      <w:pPr>
        <w:rPr>
          <w:rFonts w:hint="eastAsia"/>
        </w:rPr>
      </w:pPr>
    </w:p>
    <w:sectPr>
      <w:type w:val="continuous"/>
      <w:pgSz w:w="11849" w:h="16781"/>
      <w:pgMar w:top="1440" w:right="1803" w:bottom="1440" w:left="1803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ionPro-Regular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Minion P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raphPalatino-Roman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Pro-Semi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vPSPAL-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EuclidSymbo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Pro-It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GraphPalatin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dvOT863180fb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dvTT5274fc9b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SPAL-R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r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Swis721 Lt B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b/>
        <w:color w:val="A5A5A5"/>
        <w:lang w:val="en-GB" w:eastAsia="en-GB"/>
      </w:rPr>
      <w:drawing>
        <wp:inline distT="0" distB="0" distL="114300" distR="114300">
          <wp:extent cx="1382395" cy="496570"/>
          <wp:effectExtent l="0" t="0" r="8255" b="1778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25B23"/>
    <w:rsid w:val="00413818"/>
    <w:rsid w:val="00927691"/>
    <w:rsid w:val="009466A1"/>
    <w:rsid w:val="009618C8"/>
    <w:rsid w:val="009863A7"/>
    <w:rsid w:val="00D474D4"/>
    <w:rsid w:val="00DC6CA7"/>
    <w:rsid w:val="02D16464"/>
    <w:rsid w:val="04494F9B"/>
    <w:rsid w:val="05716E17"/>
    <w:rsid w:val="05972D4E"/>
    <w:rsid w:val="075609C1"/>
    <w:rsid w:val="09030077"/>
    <w:rsid w:val="093E5B6C"/>
    <w:rsid w:val="0991491A"/>
    <w:rsid w:val="0D812940"/>
    <w:rsid w:val="17725B23"/>
    <w:rsid w:val="18AC2FE5"/>
    <w:rsid w:val="1F144F58"/>
    <w:rsid w:val="25A70804"/>
    <w:rsid w:val="37E1255D"/>
    <w:rsid w:val="3D9A13BF"/>
    <w:rsid w:val="47AA4B61"/>
    <w:rsid w:val="48DF1EE5"/>
    <w:rsid w:val="49793E6A"/>
    <w:rsid w:val="4AE671A5"/>
    <w:rsid w:val="50BA36A0"/>
    <w:rsid w:val="56597822"/>
    <w:rsid w:val="565A51F6"/>
    <w:rsid w:val="579C5DB4"/>
    <w:rsid w:val="5AD8387A"/>
    <w:rsid w:val="5D276D88"/>
    <w:rsid w:val="60BA5CE0"/>
    <w:rsid w:val="62E9794A"/>
    <w:rsid w:val="64172621"/>
    <w:rsid w:val="650C6690"/>
    <w:rsid w:val="65157A0E"/>
    <w:rsid w:val="6A2E5BCC"/>
    <w:rsid w:val="6BB405FF"/>
    <w:rsid w:val="6D9A71EF"/>
    <w:rsid w:val="6E8D2013"/>
    <w:rsid w:val="714B58B7"/>
    <w:rsid w:val="7DB60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1"/>
      </w:numPr>
      <w:contextualSpacing/>
    </w:pPr>
    <w:rPr>
      <w:rFonts w:eastAsia="Cambria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/>
    </w:pPr>
    <w:rPr>
      <w:rFonts w:cs="Times New Roman"/>
      <w:b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8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10">
    <w:name w:val="Emphasis"/>
    <w:qFormat/>
    <w:uiPriority w:val="0"/>
    <w:rPr>
      <w:color w:val="CC0033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样式2"/>
    <w:basedOn w:val="2"/>
    <w:qFormat/>
    <w:uiPriority w:val="0"/>
    <w:rPr>
      <w:rFonts w:ascii="Times New Roman" w:hAnsi="Times New Roman" w:eastAsia="黑体" w:cs="Times New Roman"/>
      <w:b w:val="0"/>
      <w:sz w:val="28"/>
      <w:szCs w:val="22"/>
    </w:rPr>
  </w:style>
  <w:style w:type="paragraph" w:customStyle="1" w:styleId="14">
    <w:name w:val="Supplementary Material"/>
    <w:basedOn w:val="8"/>
    <w:next w:val="8"/>
    <w:qFormat/>
    <w:uiPriority w:val="0"/>
    <w:pPr>
      <w:spacing w:after="120"/>
    </w:pPr>
    <w:rPr>
      <w:i/>
    </w:rPr>
  </w:style>
  <w:style w:type="paragraph" w:customStyle="1" w:styleId="15">
    <w:name w:val="Author List"/>
    <w:basedOn w:val="6"/>
    <w:next w:val="1"/>
    <w:qFormat/>
    <w:uiPriority w:val="1"/>
  </w:style>
  <w:style w:type="character" w:customStyle="1" w:styleId="16">
    <w:name w:val="16"/>
    <w:basedOn w:val="9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i/>
      <w:color w:val="000000"/>
      <w:sz w:val="12"/>
      <w:szCs w:val="12"/>
      <w:u w:val="none"/>
    </w:rPr>
  </w:style>
  <w:style w:type="character" w:customStyle="1" w:styleId="19">
    <w:name w:val="17"/>
    <w:basedOn w:val="9"/>
    <w:qFormat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333333"/>
      <w:sz w:val="12"/>
      <w:szCs w:val="12"/>
      <w:u w:val="none"/>
    </w:rPr>
  </w:style>
  <w:style w:type="character" w:customStyle="1" w:styleId="2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2">
    <w:name w:val="font41"/>
    <w:basedOn w:val="9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4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0BC7601BDF4381AEBA82A541CD8E" ma:contentTypeVersion="7" ma:contentTypeDescription="Create a new document." ma:contentTypeScope="" ma:versionID="0049d2e134c42a8ee3ae76c0399ca04f">
  <xsd:schema xmlns:xsd="http://www.w3.org/2001/XMLSchema" xmlns:p="http://schemas.microsoft.com/office/2006/metadata/properties" xmlns:ns2="fb88adc0-4a92-421d-b04d-61347b390d81" targetNamespace="http://schemas.microsoft.com/office/2006/metadata/properties" ma:root="true" ma:fieldsID="2720a871a74a338bdba61be8a406ee4a" ns2:_="">
    <xsd:import namespace="fb88adc0-4a92-421d-b04d-61347b390d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b88adc0-4a92-421d-b04d-61347b390d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fb88adc0-4a92-421d-b04d-61347b390d81">Table</DocumentType>
    <FileFormat xmlns="fb88adc0-4a92-421d-b04d-61347b390d81">DOCX</FileFormat>
    <IsDeleted xmlns="fb88adc0-4a92-421d-b04d-61347b390d81">false</IsDeleted>
    <DocumentId xmlns="fb88adc0-4a92-421d-b04d-61347b390d81">Table 1.DOCX</DocumentId>
    <TitleName xmlns="fb88adc0-4a92-421d-b04d-61347b390d81">Table 1.DOCX</TitleName>
    <Checked_x0020_Out_x0020_To xmlns="fb88adc0-4a92-421d-b04d-61347b390d81">
      <UserInfo>
        <DisplayName/>
        <AccountId xsi:nil="true"/>
        <AccountType/>
      </UserInfo>
    </Checked_x0020_Out_x0020_To>
    <StageName xmlns="fb88adc0-4a92-421d-b04d-61347b390d81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EDB0D73A-1E0A-41D3-BACF-0009B6AD48AC}"/>
</file>

<file path=customXml/itemProps3.xml><?xml version="1.0" encoding="utf-8"?>
<ds:datastoreItem xmlns:ds="http://schemas.openxmlformats.org/officeDocument/2006/customXml" ds:itemID="{D12743CC-ECE4-4893-BE48-E4ED51003544}"/>
</file>

<file path=customXml/itemProps4.xml><?xml version="1.0" encoding="utf-8"?>
<ds:datastoreItem xmlns:ds="http://schemas.openxmlformats.org/officeDocument/2006/customXml" ds:itemID="{483C46EA-5D27-4A4B-A37F-B996150E3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2711</Words>
  <Characters>15455</Characters>
  <Lines>128</Lines>
  <Paragraphs>36</Paragraphs>
  <ScaleCrop>false</ScaleCrop>
  <LinksUpToDate>false</LinksUpToDate>
  <CharactersWithSpaces>18130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2016-10-11T08:44:00Z</dcterms:created>
  <dcterms:modified xsi:type="dcterms:W3CDTF">2017-11-23T12:00:17Z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