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31C92" w:rsidRDefault="00C23321" w:rsidP="0001436A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Desiccation</w:t>
      </w:r>
      <w:r w:rsidR="005F4DF6">
        <w:rPr>
          <w:rFonts w:hint="eastAsia"/>
          <w:sz w:val="32"/>
          <w:szCs w:val="32"/>
          <w:lang w:eastAsia="zh-CN"/>
        </w:rPr>
        <w:t xml:space="preserve"> treatment</w:t>
      </w:r>
      <w:r w:rsidR="00C31C92" w:rsidRPr="00C31C92">
        <w:rPr>
          <w:sz w:val="32"/>
          <w:szCs w:val="32"/>
        </w:rPr>
        <w:t xml:space="preserve"> and endogenous IAA levels are key factors influencing high frequency somatic embryogenesis in </w:t>
      </w:r>
      <w:proofErr w:type="spellStart"/>
      <w:r w:rsidR="00C31C92" w:rsidRPr="00827743">
        <w:rPr>
          <w:i/>
          <w:sz w:val="32"/>
          <w:szCs w:val="32"/>
        </w:rPr>
        <w:t>Cunninghamia</w:t>
      </w:r>
      <w:proofErr w:type="spellEnd"/>
      <w:r w:rsidR="00C31C92" w:rsidRPr="00827743">
        <w:rPr>
          <w:i/>
          <w:sz w:val="32"/>
          <w:szCs w:val="32"/>
        </w:rPr>
        <w:t xml:space="preserve"> </w:t>
      </w:r>
      <w:proofErr w:type="spellStart"/>
      <w:r w:rsidR="00C31C92" w:rsidRPr="00827743">
        <w:rPr>
          <w:i/>
          <w:sz w:val="32"/>
          <w:szCs w:val="32"/>
        </w:rPr>
        <w:t>lanceolata</w:t>
      </w:r>
      <w:proofErr w:type="spellEnd"/>
      <w:r w:rsidR="00C31C92" w:rsidRPr="00C31C92">
        <w:rPr>
          <w:sz w:val="32"/>
          <w:szCs w:val="32"/>
        </w:rPr>
        <w:t xml:space="preserve"> (Lamb.) Hook</w:t>
      </w:r>
    </w:p>
    <w:p w:rsidR="002868E2" w:rsidRPr="00994A3D" w:rsidRDefault="00C31C92" w:rsidP="0001436A">
      <w:pPr>
        <w:pStyle w:val="AuthorList"/>
      </w:pPr>
      <w:r w:rsidRPr="00C31C92">
        <w:t xml:space="preserve">Xiaohong </w:t>
      </w:r>
      <w:proofErr w:type="spellStart"/>
      <w:r w:rsidRPr="00C31C92">
        <w:t>Zhou</w:t>
      </w:r>
      <w:r w:rsidRPr="00C31C92">
        <w:rPr>
          <w:vertAlign w:val="superscript"/>
        </w:rPr>
        <w:t>1</w:t>
      </w:r>
      <w:proofErr w:type="gramStart"/>
      <w:r w:rsidRPr="00C31C92">
        <w:rPr>
          <w:vertAlign w:val="superscript"/>
        </w:rPr>
        <w:t>,2</w:t>
      </w:r>
      <w:proofErr w:type="spellEnd"/>
      <w:proofErr w:type="gram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Renhua</w:t>
      </w:r>
      <w:proofErr w:type="spellEnd"/>
      <w:r w:rsidRPr="00C31C92">
        <w:t xml:space="preserve"> </w:t>
      </w:r>
      <w:proofErr w:type="spellStart"/>
      <w:r w:rsidRPr="00C31C92">
        <w:t>Zheng</w:t>
      </w:r>
      <w:r w:rsidRPr="00C31C92">
        <w:rPr>
          <w:vertAlign w:val="superscript"/>
        </w:rPr>
        <w:t>3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Guangxin</w:t>
      </w:r>
      <w:proofErr w:type="spellEnd"/>
      <w:r w:rsidRPr="00C31C92">
        <w:t xml:space="preserve"> </w:t>
      </w:r>
      <w:proofErr w:type="spellStart"/>
      <w:r w:rsidRPr="00C31C92">
        <w:t>Liu</w:t>
      </w:r>
      <w:r w:rsidRPr="00C31C92">
        <w:rPr>
          <w:vertAlign w:val="superscript"/>
        </w:rPr>
        <w:t>1,2</w:t>
      </w:r>
      <w:proofErr w:type="spellEnd"/>
      <w:r w:rsidRPr="00C31C92">
        <w:t xml:space="preserve">, Yang </w:t>
      </w:r>
      <w:proofErr w:type="spellStart"/>
      <w:r w:rsidRPr="00C31C92">
        <w:t>Xu</w:t>
      </w:r>
      <w:r w:rsidRPr="00C31C92">
        <w:rPr>
          <w:vertAlign w:val="superscript"/>
        </w:rPr>
        <w:t>1</w:t>
      </w:r>
      <w:proofErr w:type="spellEnd"/>
      <w:r w:rsidRPr="00C31C92">
        <w:rPr>
          <w:vertAlign w:val="superscript"/>
        </w:rPr>
        <w:t>‡</w:t>
      </w:r>
      <w:r w:rsidRPr="00C31C92">
        <w:t xml:space="preserve">, </w:t>
      </w:r>
      <w:proofErr w:type="spellStart"/>
      <w:r w:rsidRPr="00C31C92">
        <w:t>Yanwei</w:t>
      </w:r>
      <w:proofErr w:type="spellEnd"/>
      <w:r w:rsidRPr="00C31C92">
        <w:t xml:space="preserve">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t xml:space="preserve">, Thomas </w:t>
      </w:r>
      <w:proofErr w:type="spellStart"/>
      <w:r w:rsidRPr="00C31C92">
        <w:t>Laux</w:t>
      </w:r>
      <w:r w:rsidRPr="00C31C92">
        <w:rPr>
          <w:vertAlign w:val="superscript"/>
        </w:rPr>
        <w:t>4</w:t>
      </w:r>
      <w:proofErr w:type="spellEnd"/>
      <w:r w:rsidRPr="00C31C92">
        <w:t xml:space="preserve">, Yan </w:t>
      </w:r>
      <w:proofErr w:type="spellStart"/>
      <w:r w:rsidRPr="00C31C92">
        <w:t>Zhen</w:t>
      </w:r>
      <w:r w:rsidRPr="00C31C92">
        <w:rPr>
          <w:vertAlign w:val="superscript"/>
        </w:rPr>
        <w:t>1,2</w:t>
      </w:r>
      <w:proofErr w:type="spellEnd"/>
      <w:r w:rsidRPr="00C31C92">
        <w:t>,</w:t>
      </w:r>
      <w:r w:rsidR="00C26ABB">
        <w:t xml:space="preserve"> Scott A. </w:t>
      </w:r>
      <w:proofErr w:type="spellStart"/>
      <w:r w:rsidR="00C26ABB">
        <w:t>Harding</w:t>
      </w:r>
      <w:r w:rsidR="00C26ABB" w:rsidRPr="00A26824">
        <w:rPr>
          <w:vertAlign w:val="superscript"/>
        </w:rPr>
        <w:t>5</w:t>
      </w:r>
      <w:proofErr w:type="spellEnd"/>
      <w:r w:rsidR="00C26ABB">
        <w:t>,</w:t>
      </w:r>
      <w:r w:rsidRPr="00C31C92">
        <w:t xml:space="preserve"> </w:t>
      </w:r>
      <w:proofErr w:type="spellStart"/>
      <w:r w:rsidRPr="00C31C92">
        <w:t>Jisen</w:t>
      </w:r>
      <w:proofErr w:type="spellEnd"/>
      <w:r w:rsidRPr="00C31C92">
        <w:t xml:space="preserve"> </w:t>
      </w:r>
      <w:proofErr w:type="spellStart"/>
      <w:r w:rsidRPr="00C31C92">
        <w:t>Shi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  <w:r w:rsidRPr="00C31C92">
        <w:t>,</w:t>
      </w:r>
      <w:r w:rsidR="00DF4FC5">
        <w:t xml:space="preserve"> and</w:t>
      </w:r>
      <w:r w:rsidRPr="00C31C92">
        <w:t xml:space="preserve"> </w:t>
      </w:r>
      <w:proofErr w:type="spellStart"/>
      <w:r w:rsidRPr="00C31C92">
        <w:t>Jinhui</w:t>
      </w:r>
      <w:proofErr w:type="spellEnd"/>
      <w:r w:rsidRPr="00C31C92">
        <w:t xml:space="preserve"> </w:t>
      </w:r>
      <w:proofErr w:type="spellStart"/>
      <w:r w:rsidRPr="00C31C92">
        <w:t>Chen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</w:p>
    <w:p w:rsidR="00C26ABB" w:rsidRDefault="00C26ABB" w:rsidP="00C26ABB">
      <w:pPr>
        <w:spacing w:before="0" w:after="0"/>
        <w:rPr>
          <w:rFonts w:cs="Times New Roman"/>
          <w:szCs w:val="24"/>
        </w:rPr>
      </w:pP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>* Correspondence:</w:t>
      </w:r>
      <w:r w:rsidR="00CD5F9B">
        <w:rPr>
          <w:rFonts w:cs="Times New Roman"/>
          <w:b/>
        </w:rPr>
        <w:t xml:space="preserve"> </w:t>
      </w:r>
      <w:r w:rsidR="00CD5F9B" w:rsidRPr="00853CE8">
        <w:rPr>
          <w:rFonts w:cs="Times New Roman"/>
        </w:rPr>
        <w:t>Dr.</w:t>
      </w:r>
      <w:r w:rsidRPr="00994A3D">
        <w:rPr>
          <w:rFonts w:cs="Times New Roman"/>
          <w:b/>
        </w:rPr>
        <w:t xml:space="preserve"> </w:t>
      </w:r>
      <w:proofErr w:type="spellStart"/>
      <w:r w:rsidR="00C31C92" w:rsidRPr="00C31C92">
        <w:rPr>
          <w:rFonts w:cs="Times New Roman"/>
        </w:rPr>
        <w:t>Jinhui</w:t>
      </w:r>
      <w:proofErr w:type="spellEnd"/>
      <w:r w:rsidR="00C31C92" w:rsidRPr="00C31C92">
        <w:rPr>
          <w:rFonts w:cs="Times New Roman"/>
        </w:rPr>
        <w:t xml:space="preserve"> Chen: Tel.: +86 25 85428817; E-mail: chenjh@njfu.edu.cn; </w:t>
      </w:r>
      <w:r w:rsidR="00CD5F9B" w:rsidRPr="00853CE8">
        <w:rPr>
          <w:rFonts w:cs="Times New Roman"/>
        </w:rPr>
        <w:t>Dr.</w:t>
      </w:r>
      <w:r w:rsidR="00CD5F9B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Jisen</w:t>
      </w:r>
      <w:proofErr w:type="spellEnd"/>
      <w:r w:rsidR="00C31C92" w:rsidRPr="00C31C92">
        <w:rPr>
          <w:rFonts w:cs="Times New Roman"/>
        </w:rPr>
        <w:t xml:space="preserve"> Shi: Tel.: +86 25 85428948; Fax: +86 25 85428948; E-mail: jshi@njfu.edu.cn.</w:t>
      </w:r>
    </w:p>
    <w:p w:rsidR="00505C37" w:rsidRDefault="00505C37" w:rsidP="00827743">
      <w:pPr>
        <w:pStyle w:val="2"/>
        <w:numPr>
          <w:ilvl w:val="0"/>
          <w:numId w:val="0"/>
        </w:numPr>
        <w:tabs>
          <w:tab w:val="left" w:pos="0"/>
          <w:tab w:val="left" w:pos="270"/>
        </w:tabs>
        <w:spacing w:before="0" w:after="0"/>
      </w:pP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p w:rsidR="00505C37" w:rsidRDefault="00DE5C57" w:rsidP="004D4376">
      <w:pPr>
        <w:pStyle w:val="2"/>
        <w:numPr>
          <w:ilvl w:val="0"/>
          <w:numId w:val="0"/>
        </w:numPr>
        <w:tabs>
          <w:tab w:val="left" w:pos="0"/>
          <w:tab w:val="left" w:pos="270"/>
        </w:tabs>
      </w:pPr>
      <w:r>
        <w:t>Supplementary T</w:t>
      </w:r>
      <w:r w:rsidR="00505C37">
        <w:t>ables</w:t>
      </w: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C92AA2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color w:val="222222"/>
          <w:szCs w:val="24"/>
        </w:rPr>
      </w:pPr>
      <w:proofErr w:type="gramStart"/>
      <w:r w:rsidRPr="00827743">
        <w:rPr>
          <w:rFonts w:cs="Times New Roman"/>
          <w:b/>
          <w:szCs w:val="24"/>
        </w:rPr>
        <w:t xml:space="preserve">Supplementary Table </w:t>
      </w:r>
      <w:proofErr w:type="spellStart"/>
      <w:r w:rsidR="00C92AA2" w:rsidRPr="005214A4">
        <w:rPr>
          <w:rFonts w:cs="Times New Roman"/>
          <w:b/>
          <w:bCs/>
          <w:szCs w:val="24"/>
        </w:rPr>
        <w:t>S2</w:t>
      </w:r>
      <w:proofErr w:type="spellEnd"/>
      <w:r w:rsidR="00C92AA2" w:rsidRPr="005214A4">
        <w:rPr>
          <w:rFonts w:cs="Times New Roman"/>
          <w:b/>
          <w:bCs/>
          <w:szCs w:val="24"/>
        </w:rPr>
        <w:t>.</w:t>
      </w:r>
      <w:proofErr w:type="gramEnd"/>
      <w:r w:rsidR="00C92AA2" w:rsidRPr="005214A4">
        <w:rPr>
          <w:rFonts w:cs="Times New Roman"/>
          <w:b/>
          <w:bCs/>
          <w:szCs w:val="24"/>
        </w:rPr>
        <w:t xml:space="preserve"> </w:t>
      </w:r>
      <w:r w:rsidR="00C92AA2" w:rsidRPr="005214A4">
        <w:rPr>
          <w:rFonts w:cs="Times New Roman"/>
          <w:szCs w:val="24"/>
        </w:rPr>
        <w:t xml:space="preserve">Accession numbers of the </w:t>
      </w:r>
      <w:proofErr w:type="spellStart"/>
      <w:r w:rsidR="00C92AA2" w:rsidRPr="005214A4">
        <w:rPr>
          <w:rFonts w:cs="Times New Roman"/>
          <w:szCs w:val="24"/>
        </w:rPr>
        <w:t>SERK</w:t>
      </w:r>
      <w:proofErr w:type="spellEnd"/>
      <w:r w:rsidR="00C92AA2" w:rsidRPr="005214A4">
        <w:rPr>
          <w:rFonts w:cs="Times New Roman"/>
          <w:szCs w:val="24"/>
        </w:rPr>
        <w:t xml:space="preserve"> protein sequences used for phylogenetic analysis. At: </w:t>
      </w:r>
      <w:r w:rsidR="00C92AA2" w:rsidRPr="005214A4">
        <w:rPr>
          <w:rFonts w:cs="Times New Roman"/>
          <w:i/>
          <w:iCs/>
          <w:szCs w:val="24"/>
        </w:rPr>
        <w:t>Arabidopsis thaliana</w:t>
      </w:r>
      <w:r w:rsidR="00C92AA2" w:rsidRPr="005214A4">
        <w:rPr>
          <w:rFonts w:cs="Times New Roman"/>
          <w:szCs w:val="24"/>
        </w:rPr>
        <w:t xml:space="preserve">, Mt: </w:t>
      </w:r>
      <w:proofErr w:type="spellStart"/>
      <w:r w:rsidR="00C92AA2" w:rsidRPr="005214A4">
        <w:rPr>
          <w:rFonts w:cs="Times New Roman"/>
          <w:i/>
          <w:iCs/>
          <w:szCs w:val="24"/>
        </w:rPr>
        <w:t>Medicago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</w:t>
      </w:r>
      <w:proofErr w:type="spellStart"/>
      <w:r w:rsidR="00C92AA2" w:rsidRPr="005214A4">
        <w:rPr>
          <w:rFonts w:cs="Times New Roman"/>
          <w:i/>
          <w:iCs/>
          <w:szCs w:val="24"/>
        </w:rPr>
        <w:t>truncatula</w:t>
      </w:r>
      <w:proofErr w:type="spellEnd"/>
      <w:r w:rsidR="00C92AA2" w:rsidRPr="005214A4">
        <w:rPr>
          <w:rFonts w:cs="Times New Roman"/>
          <w:szCs w:val="24"/>
        </w:rPr>
        <w:t xml:space="preserve">, </w:t>
      </w:r>
      <w:proofErr w:type="spellStart"/>
      <w:r w:rsidR="00C92AA2" w:rsidRPr="005214A4">
        <w:rPr>
          <w:rFonts w:cs="Times New Roman"/>
          <w:szCs w:val="24"/>
        </w:rPr>
        <w:t>Os</w:t>
      </w:r>
      <w:proofErr w:type="spellEnd"/>
      <w:r w:rsidR="00C92AA2" w:rsidRPr="005214A4">
        <w:rPr>
          <w:rFonts w:cs="Times New Roman"/>
          <w:szCs w:val="24"/>
        </w:rPr>
        <w:t xml:space="preserve">: </w:t>
      </w:r>
      <w:proofErr w:type="spellStart"/>
      <w:r w:rsidR="00C92AA2" w:rsidRPr="005214A4">
        <w:rPr>
          <w:rFonts w:cs="Times New Roman"/>
          <w:i/>
          <w:iCs/>
          <w:szCs w:val="24"/>
        </w:rPr>
        <w:t>Oryza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sativa</w:t>
      </w:r>
      <w:r w:rsidR="00C92AA2" w:rsidRPr="005214A4">
        <w:rPr>
          <w:rFonts w:cs="Times New Roman"/>
          <w:szCs w:val="24"/>
        </w:rPr>
        <w:t xml:space="preserve">, </w:t>
      </w:r>
      <w:proofErr w:type="spellStart"/>
      <w:r w:rsidR="00C92AA2" w:rsidRPr="005214A4">
        <w:rPr>
          <w:rFonts w:cs="Times New Roman"/>
          <w:szCs w:val="24"/>
        </w:rPr>
        <w:t>Zm</w:t>
      </w:r>
      <w:proofErr w:type="spellEnd"/>
      <w:r w:rsidR="00C92AA2" w:rsidRPr="005214A4">
        <w:rPr>
          <w:rFonts w:cs="Times New Roman"/>
          <w:szCs w:val="24"/>
        </w:rPr>
        <w:t xml:space="preserve">: </w:t>
      </w:r>
      <w:proofErr w:type="spellStart"/>
      <w:r w:rsidR="00C92AA2" w:rsidRPr="005214A4">
        <w:rPr>
          <w:rFonts w:cs="Times New Roman"/>
          <w:i/>
          <w:iCs/>
          <w:szCs w:val="24"/>
        </w:rPr>
        <w:t>Zea</w:t>
      </w:r>
      <w:proofErr w:type="spellEnd"/>
      <w:r w:rsidR="00C92AA2" w:rsidRPr="005214A4">
        <w:rPr>
          <w:rFonts w:cs="Times New Roman"/>
          <w:i/>
          <w:iCs/>
          <w:szCs w:val="24"/>
        </w:rPr>
        <w:t xml:space="preserve"> mays</w:t>
      </w:r>
      <w:r w:rsidR="00C92AA2" w:rsidRPr="005214A4">
        <w:rPr>
          <w:rFonts w:cs="Times New Roman"/>
          <w:szCs w:val="24"/>
        </w:rPr>
        <w:t>.</w:t>
      </w:r>
      <w:r w:rsidR="00C92AA2" w:rsidRPr="005214A4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noProof/>
          <w:color w:val="222222"/>
          <w:szCs w:val="24"/>
        </w:rPr>
        <w:t>(Nolan et al., 2003; Hu et al., 2005; Singla et al., 2009; Nolan et al., 2011)</w:t>
      </w: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color w:val="222222"/>
          <w:szCs w:val="24"/>
        </w:rPr>
      </w:pPr>
    </w:p>
    <w:tbl>
      <w:tblPr>
        <w:tblStyle w:val="afc"/>
        <w:tblW w:w="8352" w:type="dxa"/>
        <w:tblInd w:w="51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728"/>
        <w:gridCol w:w="2448"/>
        <w:gridCol w:w="1728"/>
      </w:tblGrid>
      <w:tr w:rsidR="00C92AA2" w:rsidRPr="005214A4" w:rsidTr="00505C37">
        <w:trPr>
          <w:trHeight w:val="332"/>
        </w:trPr>
        <w:tc>
          <w:tcPr>
            <w:tcW w:w="2448" w:type="dxa"/>
            <w:tcBorders>
              <w:bottom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bCs/>
                <w:iCs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 xml:space="preserve">Gene name 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Accession no.</w:t>
            </w:r>
          </w:p>
        </w:tc>
        <w:tc>
          <w:tcPr>
            <w:tcW w:w="2448" w:type="dxa"/>
            <w:tcBorders>
              <w:bottom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bCs/>
                <w:iCs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 xml:space="preserve">Gene name </w:t>
            </w: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Accession no.</w:t>
            </w:r>
          </w:p>
        </w:tc>
      </w:tr>
      <w:tr w:rsidR="00C92AA2" w:rsidRPr="005214A4" w:rsidTr="00505C37">
        <w:tc>
          <w:tcPr>
            <w:tcW w:w="2448" w:type="dxa"/>
            <w:tcBorders>
              <w:top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At_SERK1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AEE35238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Mt_SERK1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</w:tcBorders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AAN64293</w:t>
            </w:r>
            <w:proofErr w:type="spellEnd"/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At_SERK2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AEE31686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Mt_SERK2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ADO15291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At_SERK3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AF384970</w:t>
            </w:r>
            <w:proofErr w:type="spellEnd"/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Mt_SERK3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ADO15298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At_SERK4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AEC06259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Mt_SERK4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ADO15292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At_SERK5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AEC06260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Mt_SERK5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ADO15293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Zm_SERK-LIKE1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CAC37640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Mt_SERK6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ADO15294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Zm_SERK-LIKE2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CAC37641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Mt_SERK-LIKE1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ADO15295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Zm_SERK-LIKE3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CAC37642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Mt_SERK-LIKE2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ADO15296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Os_SERK1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color w:val="444444"/>
                <w:szCs w:val="24"/>
                <w:shd w:val="clear" w:color="auto" w:fill="FFFFFF"/>
              </w:rPr>
              <w:t>AAU88198</w:t>
            </w:r>
            <w:proofErr w:type="spellEnd"/>
            <w:r w:rsidRPr="005214A4">
              <w:rPr>
                <w:rFonts w:cs="Times New Roman"/>
                <w:color w:val="44444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Mt_SERK-LIKE3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ADO15297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</w:tr>
      <w:tr w:rsidR="00C92AA2" w:rsidRPr="005214A4" w:rsidTr="00505C37"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iCs/>
                <w:szCs w:val="24"/>
              </w:rPr>
              <w:t>Os_SERK2</w:t>
            </w:r>
            <w:proofErr w:type="spellEnd"/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BAD86793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28" w:type="dxa"/>
          </w:tcPr>
          <w:p w:rsidR="00C92AA2" w:rsidRPr="005214A4" w:rsidRDefault="00C92AA2" w:rsidP="00827743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</w:tbl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C92AA2" w:rsidRPr="00827743" w:rsidRDefault="00827743" w:rsidP="00827743">
      <w:pPr>
        <w:keepNext/>
        <w:spacing w:before="240"/>
        <w:rPr>
          <w:rFonts w:cs="Times New Roman"/>
          <w:b/>
          <w:szCs w:val="24"/>
        </w:rPr>
      </w:pPr>
      <w:r w:rsidRPr="00827743">
        <w:rPr>
          <w:rFonts w:cs="Times New Roman"/>
          <w:b/>
          <w:szCs w:val="24"/>
        </w:rPr>
        <w:t>Reference</w:t>
      </w:r>
    </w:p>
    <w:p w:rsidR="00827743" w:rsidRPr="00827743" w:rsidRDefault="00827743" w:rsidP="00827743">
      <w:pPr>
        <w:pStyle w:val="EndNoteBibliography"/>
        <w:spacing w:after="0"/>
        <w:ind w:left="720" w:hanging="720"/>
        <w:rPr>
          <w:sz w:val="22"/>
        </w:rPr>
      </w:pPr>
      <w:r w:rsidRPr="00827743">
        <w:rPr>
          <w:sz w:val="22"/>
        </w:rPr>
        <w:t xml:space="preserve">Hu, H., Xiong, L., and Yang, Y. (2005). Rice </w:t>
      </w:r>
      <w:r w:rsidRPr="00827743">
        <w:rPr>
          <w:i/>
          <w:sz w:val="22"/>
        </w:rPr>
        <w:t xml:space="preserve">SERK1 </w:t>
      </w:r>
      <w:r w:rsidRPr="00827743">
        <w:rPr>
          <w:sz w:val="22"/>
        </w:rPr>
        <w:t xml:space="preserve">gene positively regulates somatic embryogenesis of cultured cell and host defense response against fungal infection. </w:t>
      </w:r>
      <w:r w:rsidRPr="00827743">
        <w:rPr>
          <w:i/>
          <w:sz w:val="22"/>
        </w:rPr>
        <w:t>Planta</w:t>
      </w:r>
      <w:r w:rsidRPr="00827743">
        <w:rPr>
          <w:sz w:val="22"/>
        </w:rPr>
        <w:t xml:space="preserve"> 222(1)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107-117. </w:t>
      </w:r>
    </w:p>
    <w:p w:rsidR="00827743" w:rsidRPr="00827743" w:rsidRDefault="00827743" w:rsidP="00827743">
      <w:pPr>
        <w:pStyle w:val="EndNoteBibliography"/>
        <w:spacing w:after="0"/>
        <w:ind w:left="720" w:hanging="720"/>
        <w:rPr>
          <w:sz w:val="22"/>
        </w:rPr>
      </w:pPr>
      <w:r w:rsidRPr="00827743">
        <w:rPr>
          <w:sz w:val="22"/>
        </w:rPr>
        <w:t xml:space="preserve">Nolan, K.E., Irwanto, R.R., and Rose, R.J. (2003). Auxin up-regulates </w:t>
      </w:r>
      <w:r w:rsidRPr="00827743">
        <w:rPr>
          <w:i/>
          <w:sz w:val="22"/>
        </w:rPr>
        <w:t>MtSERK1</w:t>
      </w:r>
      <w:r w:rsidRPr="00827743">
        <w:rPr>
          <w:sz w:val="22"/>
        </w:rPr>
        <w:t xml:space="preserve"> expression in both </w:t>
      </w:r>
      <w:r w:rsidRPr="00827743">
        <w:rPr>
          <w:i/>
          <w:sz w:val="22"/>
        </w:rPr>
        <w:t>Medicago truncatula</w:t>
      </w:r>
      <w:r w:rsidRPr="00827743">
        <w:rPr>
          <w:sz w:val="22"/>
        </w:rPr>
        <w:t xml:space="preserve"> root-forming and embryogenic cultures. </w:t>
      </w:r>
      <w:r w:rsidRPr="00827743">
        <w:rPr>
          <w:i/>
          <w:sz w:val="22"/>
        </w:rPr>
        <w:t>Plant Physiology</w:t>
      </w:r>
      <w:r w:rsidRPr="00827743">
        <w:rPr>
          <w:sz w:val="22"/>
        </w:rPr>
        <w:t xml:space="preserve"> 133(1)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218-230. </w:t>
      </w:r>
    </w:p>
    <w:p w:rsidR="00827743" w:rsidRPr="00827743" w:rsidRDefault="00827743" w:rsidP="00827743">
      <w:pPr>
        <w:pStyle w:val="EndNoteBibliography"/>
        <w:spacing w:after="0"/>
        <w:ind w:left="720" w:hanging="720"/>
        <w:rPr>
          <w:sz w:val="22"/>
        </w:rPr>
      </w:pPr>
      <w:r w:rsidRPr="00827743">
        <w:rPr>
          <w:sz w:val="22"/>
        </w:rPr>
        <w:t xml:space="preserve">Nolan, K.E., Kurdyukov, S., and Rose, R.J. (2011). Characterisation of the legume </w:t>
      </w:r>
      <w:r w:rsidRPr="00827743">
        <w:rPr>
          <w:i/>
          <w:sz w:val="22"/>
        </w:rPr>
        <w:t>SERK-NIK</w:t>
      </w:r>
      <w:r w:rsidRPr="00827743">
        <w:rPr>
          <w:sz w:val="22"/>
        </w:rPr>
        <w:t xml:space="preserve"> gene superfamily including splice variants: implications for development and defence. </w:t>
      </w:r>
      <w:r w:rsidRPr="00827743">
        <w:rPr>
          <w:i/>
          <w:sz w:val="22"/>
        </w:rPr>
        <w:t>BMC Plant Biol</w:t>
      </w:r>
      <w:r w:rsidRPr="00827743">
        <w:rPr>
          <w:sz w:val="22"/>
        </w:rPr>
        <w:t xml:space="preserve"> 11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44. </w:t>
      </w:r>
    </w:p>
    <w:p w:rsidR="00DE23E8" w:rsidRPr="001549D3" w:rsidRDefault="00827743" w:rsidP="00C26ABB">
      <w:pPr>
        <w:pStyle w:val="EndNoteBibliography"/>
        <w:spacing w:after="0"/>
        <w:ind w:left="720" w:hanging="720"/>
      </w:pPr>
      <w:r w:rsidRPr="00827743">
        <w:rPr>
          <w:sz w:val="22"/>
        </w:rPr>
        <w:t>Singla, B., Khurana, J.P., and Khurana, P. (2009). Structural characterization and expression analysis of the</w:t>
      </w:r>
      <w:r w:rsidRPr="00827743">
        <w:rPr>
          <w:i/>
          <w:sz w:val="22"/>
        </w:rPr>
        <w:t xml:space="preserve"> SERK/SERL</w:t>
      </w:r>
      <w:r w:rsidRPr="00827743">
        <w:rPr>
          <w:sz w:val="22"/>
        </w:rPr>
        <w:t xml:space="preserve"> gene family in rice (</w:t>
      </w:r>
      <w:r w:rsidRPr="00827743">
        <w:rPr>
          <w:i/>
          <w:sz w:val="22"/>
        </w:rPr>
        <w:t>Oryza sativa</w:t>
      </w:r>
      <w:r w:rsidRPr="00827743">
        <w:rPr>
          <w:sz w:val="22"/>
        </w:rPr>
        <w:t xml:space="preserve">). </w:t>
      </w:r>
      <w:r w:rsidRPr="00827743">
        <w:rPr>
          <w:i/>
          <w:sz w:val="22"/>
        </w:rPr>
        <w:t>Int J Plant Genomics</w:t>
      </w:r>
      <w:r w:rsidRPr="00827743">
        <w:rPr>
          <w:sz w:val="22"/>
        </w:rPr>
        <w:t xml:space="preserve"> 2009</w:t>
      </w:r>
      <w:r w:rsidRPr="00827743">
        <w:rPr>
          <w:b/>
          <w:sz w:val="22"/>
        </w:rPr>
        <w:t>,</w:t>
      </w:r>
      <w:r w:rsidRPr="00827743">
        <w:rPr>
          <w:sz w:val="22"/>
        </w:rPr>
        <w:t xml:space="preserve"> 539402. </w:t>
      </w:r>
      <w:bookmarkStart w:id="0" w:name="_GoBack"/>
      <w:bookmarkEnd w:id="0"/>
    </w:p>
    <w:sectPr w:rsidR="00DE23E8" w:rsidRPr="001549D3" w:rsidSect="00505C37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32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76" w:rsidRDefault="006B2F76" w:rsidP="00117666">
      <w:pPr>
        <w:spacing w:after="0"/>
      </w:pPr>
      <w:r>
        <w:separator/>
      </w:r>
    </w:p>
  </w:endnote>
  <w:endnote w:type="continuationSeparator" w:id="0">
    <w:p w:rsidR="006B2F76" w:rsidRDefault="006B2F7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F4DF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F4DF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A4B6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A4B6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76" w:rsidRDefault="006B2F76" w:rsidP="00117666">
      <w:pPr>
        <w:spacing w:after="0"/>
      </w:pPr>
      <w:r>
        <w:separator/>
      </w:r>
    </w:p>
  </w:footnote>
  <w:footnote w:type="continuationSeparator" w:id="0">
    <w:p w:rsidR="006B2F76" w:rsidRDefault="006B2F7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1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746AE"/>
    <w:multiLevelType w:val="hybridMultilevel"/>
    <w:tmpl w:val="874E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rEwNDYwMjYyNDFU0lEKTi0uzszPAykwqgUAHofue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0sx5af9xrsnerrrmxvd2yezrwa9swaz2d&quot;&gt;Zoe-Saved-Saved-Saved&lt;record-ids&gt;&lt;item&gt;55&lt;/item&gt;&lt;item&gt;66&lt;/item&gt;&lt;item&gt;68&lt;/item&gt;&lt;item&gt;119&lt;/item&gt;&lt;item&gt;232&lt;/item&gt;&lt;item&gt;533&lt;/item&gt;&lt;item&gt;553&lt;/item&gt;&lt;item&gt;562&lt;/item&gt;&lt;/record-ids&gt;&lt;/item&gt;&lt;/Libraries&gt;"/>
  </w:docVars>
  <w:rsids>
    <w:rsidRoot w:val="00316C51"/>
    <w:rsid w:val="0001436A"/>
    <w:rsid w:val="00034304"/>
    <w:rsid w:val="00035434"/>
    <w:rsid w:val="00052A14"/>
    <w:rsid w:val="00077D53"/>
    <w:rsid w:val="00105FD9"/>
    <w:rsid w:val="001061A5"/>
    <w:rsid w:val="00117666"/>
    <w:rsid w:val="001340CF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16C51"/>
    <w:rsid w:val="003544FB"/>
    <w:rsid w:val="003D2F2D"/>
    <w:rsid w:val="003F2FA8"/>
    <w:rsid w:val="00401590"/>
    <w:rsid w:val="00447801"/>
    <w:rsid w:val="00452E9C"/>
    <w:rsid w:val="004735C8"/>
    <w:rsid w:val="00477443"/>
    <w:rsid w:val="004961FF"/>
    <w:rsid w:val="004D4376"/>
    <w:rsid w:val="00505C37"/>
    <w:rsid w:val="00517A89"/>
    <w:rsid w:val="005250F2"/>
    <w:rsid w:val="005315A8"/>
    <w:rsid w:val="00545808"/>
    <w:rsid w:val="00593EEA"/>
    <w:rsid w:val="005A5EEE"/>
    <w:rsid w:val="005E693C"/>
    <w:rsid w:val="005F4DF6"/>
    <w:rsid w:val="006375C7"/>
    <w:rsid w:val="00654E8F"/>
    <w:rsid w:val="00660D05"/>
    <w:rsid w:val="006820B1"/>
    <w:rsid w:val="006B2F76"/>
    <w:rsid w:val="006B7D14"/>
    <w:rsid w:val="006C3526"/>
    <w:rsid w:val="00701727"/>
    <w:rsid w:val="0070566C"/>
    <w:rsid w:val="0071015A"/>
    <w:rsid w:val="00714C50"/>
    <w:rsid w:val="00725A7D"/>
    <w:rsid w:val="007501BE"/>
    <w:rsid w:val="00790BB3"/>
    <w:rsid w:val="007C206C"/>
    <w:rsid w:val="007E7CAA"/>
    <w:rsid w:val="00817DD6"/>
    <w:rsid w:val="00827743"/>
    <w:rsid w:val="00840983"/>
    <w:rsid w:val="00885156"/>
    <w:rsid w:val="008E4E89"/>
    <w:rsid w:val="009151AA"/>
    <w:rsid w:val="0093429D"/>
    <w:rsid w:val="00943573"/>
    <w:rsid w:val="00970F7D"/>
    <w:rsid w:val="00994A3D"/>
    <w:rsid w:val="009A5E74"/>
    <w:rsid w:val="009C2B12"/>
    <w:rsid w:val="009D4218"/>
    <w:rsid w:val="00A174D9"/>
    <w:rsid w:val="00AA4B6E"/>
    <w:rsid w:val="00AB6715"/>
    <w:rsid w:val="00B1671E"/>
    <w:rsid w:val="00B25EB8"/>
    <w:rsid w:val="00B37F4D"/>
    <w:rsid w:val="00C23321"/>
    <w:rsid w:val="00C26ABB"/>
    <w:rsid w:val="00C31C92"/>
    <w:rsid w:val="00C52A7B"/>
    <w:rsid w:val="00C56BAF"/>
    <w:rsid w:val="00C679AA"/>
    <w:rsid w:val="00C75972"/>
    <w:rsid w:val="00C92AA2"/>
    <w:rsid w:val="00CD066B"/>
    <w:rsid w:val="00CD5F9B"/>
    <w:rsid w:val="00CE4FEE"/>
    <w:rsid w:val="00D36E1D"/>
    <w:rsid w:val="00DB59C3"/>
    <w:rsid w:val="00DC259A"/>
    <w:rsid w:val="00DE23E8"/>
    <w:rsid w:val="00DE470E"/>
    <w:rsid w:val="00DE5C57"/>
    <w:rsid w:val="00DF067B"/>
    <w:rsid w:val="00DF370B"/>
    <w:rsid w:val="00DF4FC5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ropbox\REVISED-SE\Fronties_S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2.DOCX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2.DOCX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FF271D22-08C7-4F55-910C-CC20B0F13230}"/>
</file>

<file path=customXml/itemProps2.xml><?xml version="1.0" encoding="utf-8"?>
<ds:datastoreItem xmlns:ds="http://schemas.openxmlformats.org/officeDocument/2006/customXml" ds:itemID="{16AC36A0-C5A7-45FB-94AE-B7AF9D4C8AC0}"/>
</file>

<file path=customXml/itemProps3.xml><?xml version="1.0" encoding="utf-8"?>
<ds:datastoreItem xmlns:ds="http://schemas.openxmlformats.org/officeDocument/2006/customXml" ds:itemID="{857DB5DD-8478-4051-A1C3-646529310A90}"/>
</file>

<file path=customXml/itemProps4.xml><?xml version="1.0" encoding="utf-8"?>
<ds:datastoreItem xmlns:ds="http://schemas.openxmlformats.org/officeDocument/2006/customXml" ds:itemID="{9E46B830-7C0E-463D-8004-026D5A54661D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8</cp:revision>
  <cp:lastPrinted>2013-10-03T12:51:00Z</cp:lastPrinted>
  <dcterms:created xsi:type="dcterms:W3CDTF">2017-05-24T04:38:00Z</dcterms:created>
  <dcterms:modified xsi:type="dcterms:W3CDTF">2017-10-30T04:15:00Z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