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00" w:rsidRPr="00182C94" w:rsidRDefault="00D15300" w:rsidP="00D15300">
      <w:pPr>
        <w:pStyle w:val="Beschriftung"/>
        <w:keepNext/>
        <w:spacing w:after="0"/>
        <w:rPr>
          <w:sz w:val="20"/>
          <w:szCs w:val="20"/>
          <w:lang w:val="en-US"/>
        </w:rPr>
      </w:pPr>
      <w:proofErr w:type="gramStart"/>
      <w:r w:rsidRPr="00182C94">
        <w:rPr>
          <w:color w:val="auto"/>
          <w:sz w:val="20"/>
          <w:szCs w:val="20"/>
          <w:lang w:val="en-US"/>
        </w:rPr>
        <w:t>Supplementary Table 4</w:t>
      </w:r>
      <w:r w:rsidR="00342BFC">
        <w:rPr>
          <w:color w:val="auto"/>
          <w:sz w:val="20"/>
          <w:szCs w:val="20"/>
          <w:lang w:val="en-US"/>
        </w:rPr>
        <w:t>.</w:t>
      </w:r>
      <w:proofErr w:type="gramEnd"/>
      <w:r w:rsidRPr="00182C94">
        <w:rPr>
          <w:color w:val="auto"/>
          <w:sz w:val="20"/>
          <w:szCs w:val="20"/>
          <w:lang w:val="en-US"/>
        </w:rPr>
        <w:t xml:space="preserve"> </w:t>
      </w:r>
      <w:proofErr w:type="gramStart"/>
      <w:r w:rsidRPr="00342BFC">
        <w:rPr>
          <w:color w:val="auto"/>
          <w:sz w:val="20"/>
          <w:szCs w:val="20"/>
          <w:lang w:val="en-US"/>
        </w:rPr>
        <w:t>Phenotypic data from three different experiments.</w:t>
      </w:r>
      <w:proofErr w:type="gramEnd"/>
      <w:r w:rsidRPr="00182C94">
        <w:rPr>
          <w:b w:val="0"/>
          <w:color w:val="auto"/>
          <w:sz w:val="20"/>
          <w:szCs w:val="20"/>
          <w:lang w:val="en-US"/>
        </w:rPr>
        <w:t xml:space="preserve"> Plants were classified as annual (bolting within 16 weeks after sowing) or biennial (bolting only after </w:t>
      </w:r>
      <w:proofErr w:type="spellStart"/>
      <w:r w:rsidRPr="00182C94">
        <w:rPr>
          <w:b w:val="0"/>
          <w:color w:val="auto"/>
          <w:sz w:val="20"/>
          <w:szCs w:val="20"/>
          <w:lang w:val="en-US"/>
        </w:rPr>
        <w:t>vernalization</w:t>
      </w:r>
      <w:proofErr w:type="spellEnd"/>
      <w:r w:rsidRPr="00182C94">
        <w:rPr>
          <w:b w:val="0"/>
          <w:color w:val="auto"/>
          <w:sz w:val="20"/>
          <w:szCs w:val="20"/>
          <w:lang w:val="en-US"/>
        </w:rPr>
        <w:t xml:space="preserve">). Plants that did not bolt 16 weeks after </w:t>
      </w:r>
      <w:proofErr w:type="spellStart"/>
      <w:r w:rsidRPr="00182C94">
        <w:rPr>
          <w:b w:val="0"/>
          <w:color w:val="auto"/>
          <w:sz w:val="20"/>
          <w:szCs w:val="20"/>
          <w:lang w:val="en-US"/>
        </w:rPr>
        <w:t>vernalization</w:t>
      </w:r>
      <w:proofErr w:type="spellEnd"/>
      <w:r w:rsidRPr="00182C94">
        <w:rPr>
          <w:b w:val="0"/>
          <w:color w:val="auto"/>
          <w:sz w:val="20"/>
          <w:szCs w:val="20"/>
          <w:lang w:val="en-US"/>
        </w:rPr>
        <w:t xml:space="preserve"> were classified as never bolting. </w:t>
      </w:r>
      <w:r w:rsidRPr="00182C94">
        <w:rPr>
          <w:rFonts w:eastAsiaTheme="minorEastAsia"/>
          <w:b w:val="0"/>
          <w:bCs w:val="0"/>
          <w:color w:val="auto"/>
          <w:kern w:val="24"/>
          <w:sz w:val="20"/>
          <w:szCs w:val="20"/>
          <w:lang w:val="en-US"/>
        </w:rPr>
        <w:t>P</w:t>
      </w:r>
      <w:r w:rsidRPr="00182C94">
        <w:rPr>
          <w:b w:val="0"/>
          <w:color w:val="auto"/>
          <w:sz w:val="20"/>
          <w:szCs w:val="20"/>
          <w:lang w:val="en-US"/>
        </w:rPr>
        <w:t xml:space="preserve">lants were grown and </w:t>
      </w:r>
      <w:proofErr w:type="spellStart"/>
      <w:r w:rsidRPr="00182C94">
        <w:rPr>
          <w:b w:val="0"/>
          <w:color w:val="auto"/>
          <w:sz w:val="20"/>
          <w:szCs w:val="20"/>
          <w:lang w:val="en-US"/>
        </w:rPr>
        <w:t>phenotyped</w:t>
      </w:r>
      <w:proofErr w:type="spellEnd"/>
      <w:r w:rsidRPr="00182C94">
        <w:rPr>
          <w:b w:val="0"/>
          <w:color w:val="auto"/>
          <w:sz w:val="20"/>
          <w:szCs w:val="20"/>
          <w:lang w:val="en-US"/>
        </w:rPr>
        <w:t xml:space="preserve"> in a climate chamber and kept under LD conditions with a light intensity of 900µE.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1"/>
        <w:gridCol w:w="1586"/>
        <w:gridCol w:w="1309"/>
        <w:gridCol w:w="1518"/>
        <w:gridCol w:w="1309"/>
        <w:gridCol w:w="1518"/>
        <w:gridCol w:w="1309"/>
        <w:gridCol w:w="1518"/>
        <w:gridCol w:w="1169"/>
        <w:gridCol w:w="1432"/>
      </w:tblGrid>
      <w:tr w:rsidR="00D15300" w:rsidRPr="00C12DF0" w:rsidTr="00775389">
        <w:trPr>
          <w:trHeight w:val="475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2"/>
                <w:lang w:val="en-US"/>
              </w:rPr>
            </w:pPr>
            <w:r w:rsidRPr="00C12DF0">
              <w:rPr>
                <w:bCs/>
                <w:sz w:val="22"/>
                <w:lang w:val="en-US"/>
              </w:rPr>
              <w:t>Exp. 1 (22h light)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2"/>
                <w:lang w:val="en-US"/>
              </w:rPr>
            </w:pPr>
            <w:r w:rsidRPr="00C12DF0">
              <w:rPr>
                <w:bCs/>
                <w:sz w:val="22"/>
                <w:lang w:val="en-US"/>
              </w:rPr>
              <w:t>Exp. 2 (16h light)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2"/>
                <w:lang w:val="en-US"/>
              </w:rPr>
            </w:pPr>
            <w:r w:rsidRPr="00C12DF0">
              <w:rPr>
                <w:bCs/>
                <w:sz w:val="22"/>
                <w:lang w:val="en-US"/>
              </w:rPr>
              <w:t xml:space="preserve">Exp. 3 (22h light + </w:t>
            </w:r>
            <w:proofErr w:type="spellStart"/>
            <w:r w:rsidRPr="00C12DF0">
              <w:rPr>
                <w:bCs/>
                <w:sz w:val="22"/>
                <w:lang w:val="en-US"/>
              </w:rPr>
              <w:t>vern</w:t>
            </w:r>
            <w:proofErr w:type="spellEnd"/>
            <w:r w:rsidRPr="00C12DF0">
              <w:rPr>
                <w:bCs/>
                <w:sz w:val="22"/>
                <w:lang w:val="en-US"/>
              </w:rPr>
              <w:t>.)</w:t>
            </w:r>
          </w:p>
        </w:tc>
      </w:tr>
      <w:tr w:rsidR="00D15300" w:rsidRPr="00C12DF0" w:rsidTr="00775389">
        <w:trPr>
          <w:trHeight w:val="960"/>
        </w:trPr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  <w:lang w:val="en-US"/>
              </w:rPr>
            </w:pPr>
            <w:r w:rsidRPr="00C12DF0">
              <w:rPr>
                <w:bCs/>
                <w:color w:val="000000"/>
                <w:sz w:val="20"/>
                <w:szCs w:val="24"/>
                <w:lang w:val="en-US"/>
              </w:rPr>
              <w:t>Variety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A33ED4" w:rsidRDefault="00D15300" w:rsidP="00342BFC">
            <w:pPr>
              <w:jc w:val="center"/>
              <w:rPr>
                <w:sz w:val="20"/>
                <w:lang w:val="en-US"/>
              </w:rPr>
            </w:pPr>
            <w:r w:rsidRPr="00A33ED4">
              <w:rPr>
                <w:color w:val="000000"/>
                <w:sz w:val="20"/>
                <w:szCs w:val="18"/>
                <w:lang w:val="en-US" w:eastAsia="en-US"/>
              </w:rPr>
              <w:t>Seed code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  <w:lang w:val="en-US"/>
              </w:rPr>
            </w:pPr>
            <w:r w:rsidRPr="00C12DF0">
              <w:rPr>
                <w:bCs/>
                <w:sz w:val="20"/>
                <w:lang w:val="en-US"/>
              </w:rPr>
              <w:t>Expected bolting behavior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  <w:lang w:val="en-US"/>
              </w:rPr>
            </w:pPr>
            <w:r w:rsidRPr="00C12DF0">
              <w:rPr>
                <w:bCs/>
                <w:sz w:val="20"/>
                <w:lang w:val="en-US"/>
              </w:rPr>
              <w:t xml:space="preserve">Bolting without </w:t>
            </w:r>
            <w:proofErr w:type="spellStart"/>
            <w:r w:rsidRPr="00C12DF0">
              <w:rPr>
                <w:bCs/>
                <w:sz w:val="20"/>
                <w:lang w:val="en-US"/>
              </w:rPr>
              <w:t>vern</w:t>
            </w:r>
            <w:proofErr w:type="spellEnd"/>
            <w:r w:rsidRPr="00C12DF0"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  <w:lang w:val="en-US"/>
              </w:rPr>
            </w:pPr>
            <w:r w:rsidRPr="00C12DF0">
              <w:rPr>
                <w:bCs/>
                <w:sz w:val="20"/>
                <w:lang w:val="en-US"/>
              </w:rPr>
              <w:t xml:space="preserve">Non-bolting without </w:t>
            </w:r>
            <w:proofErr w:type="spellStart"/>
            <w:r w:rsidRPr="00C12DF0">
              <w:rPr>
                <w:bCs/>
                <w:sz w:val="20"/>
                <w:lang w:val="en-US"/>
              </w:rPr>
              <w:t>vern</w:t>
            </w:r>
            <w:proofErr w:type="spellEnd"/>
            <w:r w:rsidRPr="00C12DF0"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 xml:space="preserve">Bolting without </w:t>
            </w:r>
            <w:proofErr w:type="spellStart"/>
            <w:r w:rsidRPr="00C12DF0">
              <w:rPr>
                <w:bCs/>
                <w:sz w:val="20"/>
                <w:lang w:val="en-US"/>
              </w:rPr>
              <w:t>vern</w:t>
            </w:r>
            <w:proofErr w:type="spellEnd"/>
            <w:r w:rsidRPr="00C12DF0"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 xml:space="preserve">Non-bolting without </w:t>
            </w:r>
            <w:proofErr w:type="spellStart"/>
            <w:r w:rsidRPr="00C12DF0">
              <w:rPr>
                <w:bCs/>
                <w:sz w:val="20"/>
                <w:lang w:val="en-US"/>
              </w:rPr>
              <w:t>vern</w:t>
            </w:r>
            <w:proofErr w:type="spellEnd"/>
            <w:r w:rsidRPr="00C12DF0"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 xml:space="preserve">Bolting without </w:t>
            </w:r>
            <w:proofErr w:type="spellStart"/>
            <w:r w:rsidRPr="00C12DF0">
              <w:rPr>
                <w:bCs/>
                <w:sz w:val="20"/>
                <w:lang w:val="en-US"/>
              </w:rPr>
              <w:t>vern</w:t>
            </w:r>
            <w:proofErr w:type="spellEnd"/>
            <w:r w:rsidRPr="00C12DF0"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 xml:space="preserve">Non-bolting without </w:t>
            </w:r>
            <w:proofErr w:type="spellStart"/>
            <w:r w:rsidRPr="00C12DF0">
              <w:rPr>
                <w:bCs/>
                <w:sz w:val="20"/>
                <w:lang w:val="en-US"/>
              </w:rPr>
              <w:t>vern</w:t>
            </w:r>
            <w:proofErr w:type="spellEnd"/>
            <w:r w:rsidRPr="00C12DF0"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 xml:space="preserve">Bolting after </w:t>
            </w:r>
            <w:proofErr w:type="spellStart"/>
            <w:r w:rsidRPr="00C12DF0">
              <w:rPr>
                <w:bCs/>
                <w:sz w:val="20"/>
                <w:lang w:val="en-US"/>
              </w:rPr>
              <w:t>vern</w:t>
            </w:r>
            <w:proofErr w:type="spellEnd"/>
            <w:r w:rsidRPr="00C12DF0"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 xml:space="preserve">Never bolting after </w:t>
            </w:r>
            <w:proofErr w:type="spellStart"/>
            <w:r w:rsidRPr="00C12DF0">
              <w:rPr>
                <w:bCs/>
                <w:sz w:val="20"/>
                <w:lang w:val="en-US"/>
              </w:rPr>
              <w:t>vern</w:t>
            </w:r>
            <w:proofErr w:type="spellEnd"/>
            <w:r w:rsidRPr="00C12DF0">
              <w:rPr>
                <w:bCs/>
                <w:sz w:val="20"/>
                <w:lang w:val="en-US"/>
              </w:rPr>
              <w:t>.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080287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6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7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080538*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annual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wild beet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annual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annual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40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991971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annual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930034*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annual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100539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annual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112787*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perennial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112823*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perennial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5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001684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annual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090023*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930176*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sugar beet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130333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100043*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930181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091645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080313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fodder beet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092312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4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table beet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080238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leaf beet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081845*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</w:tr>
      <w:tr w:rsidR="00D15300" w:rsidRPr="00C12DF0" w:rsidTr="0077538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092459*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sz w:val="20"/>
                <w:lang w:val="en-US"/>
              </w:rPr>
              <w:t>4</w:t>
            </w:r>
          </w:p>
        </w:tc>
      </w:tr>
      <w:tr w:rsidR="00D15300" w:rsidRPr="00C12DF0" w:rsidTr="00342BFC">
        <w:trPr>
          <w:trHeight w:val="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121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194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146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D15300" w:rsidRPr="00C12DF0" w:rsidRDefault="00D15300" w:rsidP="00342BFC">
            <w:pPr>
              <w:jc w:val="center"/>
              <w:rPr>
                <w:sz w:val="20"/>
              </w:rPr>
            </w:pPr>
            <w:r w:rsidRPr="00C12DF0">
              <w:rPr>
                <w:bCs/>
                <w:sz w:val="20"/>
                <w:lang w:val="en-US"/>
              </w:rPr>
              <w:t>27</w:t>
            </w:r>
          </w:p>
        </w:tc>
      </w:tr>
    </w:tbl>
    <w:p w:rsidR="00264309" w:rsidRPr="00D15300" w:rsidRDefault="00D15300" w:rsidP="006E6B0E">
      <w:pPr>
        <w:spacing w:before="0" w:line="276" w:lineRule="auto"/>
        <w:rPr>
          <w:lang w:val="en-US"/>
        </w:rPr>
      </w:pPr>
      <w:r w:rsidRPr="00C12DF0">
        <w:rPr>
          <w:bCs/>
          <w:sz w:val="20"/>
          <w:lang w:val="en-US"/>
        </w:rPr>
        <w:t xml:space="preserve">*partly less than 10 plants due to low germination rate; </w:t>
      </w:r>
      <w:proofErr w:type="spellStart"/>
      <w:r w:rsidRPr="00C12DF0">
        <w:rPr>
          <w:bCs/>
          <w:sz w:val="20"/>
          <w:lang w:val="en-US"/>
        </w:rPr>
        <w:t>vern</w:t>
      </w:r>
      <w:proofErr w:type="spellEnd"/>
      <w:proofErr w:type="gramStart"/>
      <w:r w:rsidRPr="00C12DF0">
        <w:rPr>
          <w:bCs/>
          <w:sz w:val="20"/>
          <w:lang w:val="en-US"/>
        </w:rPr>
        <w:t>.=</w:t>
      </w:r>
      <w:proofErr w:type="gramEnd"/>
      <w:r w:rsidRPr="00C12DF0">
        <w:rPr>
          <w:bCs/>
          <w:sz w:val="20"/>
          <w:lang w:val="en-US"/>
        </w:rPr>
        <w:t xml:space="preserve"> </w:t>
      </w:r>
      <w:proofErr w:type="spellStart"/>
      <w:r w:rsidRPr="00C12DF0">
        <w:rPr>
          <w:bCs/>
          <w:sz w:val="20"/>
          <w:lang w:val="en-US"/>
        </w:rPr>
        <w:t>vernalization</w:t>
      </w:r>
      <w:proofErr w:type="spellEnd"/>
      <w:r w:rsidRPr="00C12DF0">
        <w:rPr>
          <w:bCs/>
          <w:sz w:val="20"/>
          <w:lang w:val="en-US"/>
        </w:rPr>
        <w:t>; Exp.=experiment</w:t>
      </w:r>
      <w:bookmarkStart w:id="0" w:name="_GoBack"/>
      <w:bookmarkEnd w:id="0"/>
    </w:p>
    <w:sectPr w:rsidR="00264309" w:rsidRPr="00D15300" w:rsidSect="00B051D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91"/>
    <w:rsid w:val="00034E91"/>
    <w:rsid w:val="00065BD1"/>
    <w:rsid w:val="00107C1B"/>
    <w:rsid w:val="001B3B1A"/>
    <w:rsid w:val="002F3D01"/>
    <w:rsid w:val="002F3F59"/>
    <w:rsid w:val="00342BFC"/>
    <w:rsid w:val="006E6B0E"/>
    <w:rsid w:val="008A070A"/>
    <w:rsid w:val="009739DC"/>
    <w:rsid w:val="00AF6EC8"/>
    <w:rsid w:val="00B051DB"/>
    <w:rsid w:val="00B62CF6"/>
    <w:rsid w:val="00BA63F0"/>
    <w:rsid w:val="00D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E9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unhideWhenUsed/>
    <w:qFormat/>
    <w:rsid w:val="00034E91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rsid w:val="008A070A"/>
    <w:pPr>
      <w:spacing w:before="240"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E9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unhideWhenUsed/>
    <w:qFormat/>
    <w:rsid w:val="00034E91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rsid w:val="008A070A"/>
    <w:pPr>
      <w:spacing w:before="240"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4.DOCX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4.DOCX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216657C0-8726-4C2B-9A36-0CDF0C5B6ED5}"/>
</file>

<file path=customXml/itemProps2.xml><?xml version="1.0" encoding="utf-8"?>
<ds:datastoreItem xmlns:ds="http://schemas.openxmlformats.org/officeDocument/2006/customXml" ds:itemID="{6D95B5B2-5A70-44CA-A2EB-73BC347745E7}"/>
</file>

<file path=customXml/itemProps3.xml><?xml version="1.0" encoding="utf-8"?>
<ds:datastoreItem xmlns:ds="http://schemas.openxmlformats.org/officeDocument/2006/customXml" ds:itemID="{027B2D33-1B3E-477A-AAF2-0C9C8496A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Hoeft, Nadine</dc:creator>
  <cp:lastModifiedBy>Hoeft, Nadine</cp:lastModifiedBy>
  <cp:revision>3</cp:revision>
  <dcterms:created xsi:type="dcterms:W3CDTF">2017-08-25T11:25:00Z</dcterms:created>
  <dcterms:modified xsi:type="dcterms:W3CDTF">2017-08-25T11:32:00Z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