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6" w:rsidRPr="0030716D" w:rsidRDefault="00B96366" w:rsidP="00B9636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 w:rsidRPr="0030716D">
        <w:rPr>
          <w:rFonts w:ascii="Times New Roman" w:hAnsi="Times New Roman" w:cs="Times New Roman"/>
          <w:b/>
          <w:i/>
          <w:sz w:val="32"/>
          <w:szCs w:val="24"/>
          <w:lang w:val="en-US"/>
        </w:rPr>
        <w:t>Supplementary Material</w:t>
      </w:r>
    </w:p>
    <w:p w:rsidR="00B96366" w:rsidRPr="003D7CCE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D7CCE">
        <w:rPr>
          <w:rFonts w:ascii="Times New Roman" w:hAnsi="Times New Roman" w:cs="Times New Roman"/>
          <w:b/>
          <w:sz w:val="32"/>
          <w:szCs w:val="32"/>
          <w:lang w:val="en-US"/>
        </w:rPr>
        <w:t>Setting up decision-making tools towards a quality-oriented participatory maize breeding program</w:t>
      </w:r>
    </w:p>
    <w:p w:rsidR="00B96366" w:rsidRPr="00FC3CA2" w:rsidRDefault="00B96366" w:rsidP="003F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B96366" w:rsidRPr="00B96366" w:rsidRDefault="00B96366" w:rsidP="003F6B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3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</w:t>
      </w:r>
    </w:p>
    <w:p w:rsidR="00B96366" w:rsidRPr="005313F4" w:rsidRDefault="00B96366" w:rsidP="003F6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3F4">
        <w:rPr>
          <w:rFonts w:ascii="Times New Roman" w:hAnsi="Times New Roman" w:cs="Times New Roman"/>
          <w:sz w:val="24"/>
          <w:szCs w:val="24"/>
        </w:rPr>
        <w:t>Mara Lisa Alves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, Cláudia Brites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Manuel Paulo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Bruna Carbas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13F4">
        <w:rPr>
          <w:rFonts w:ascii="Times New Roman" w:hAnsi="Times New Roman" w:cs="Times New Roman"/>
          <w:sz w:val="24"/>
          <w:szCs w:val="24"/>
        </w:rPr>
        <w:t>, Maria Belo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, Pedro Mendes-Moreira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Carla Brites</w:t>
      </w:r>
      <w:r w:rsidR="00322D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13F4">
        <w:rPr>
          <w:rFonts w:ascii="Times New Roman" w:hAnsi="Times New Roman" w:cs="Times New Roman"/>
          <w:sz w:val="24"/>
          <w:szCs w:val="24"/>
        </w:rPr>
        <w:t>, Maria do Rosário Bronze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1, 4, 5</w:t>
      </w:r>
      <w:r w:rsidRPr="005313F4">
        <w:rPr>
          <w:rFonts w:ascii="Times New Roman" w:hAnsi="Times New Roman" w:cs="Times New Roman"/>
          <w:sz w:val="24"/>
          <w:szCs w:val="24"/>
        </w:rPr>
        <w:t>, Jerko Gunjača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5313F4">
        <w:rPr>
          <w:rFonts w:ascii="Times New Roman" w:hAnsi="Times New Roman" w:cs="Times New Roman"/>
          <w:sz w:val="24"/>
          <w:szCs w:val="24"/>
        </w:rPr>
        <w:t>, Zlatko Šatović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5313F4">
        <w:rPr>
          <w:rFonts w:ascii="Times New Roman" w:hAnsi="Times New Roman" w:cs="Times New Roman"/>
          <w:sz w:val="24"/>
          <w:szCs w:val="24"/>
        </w:rPr>
        <w:t>, Maria Carlota Vaz Patto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*</w:t>
      </w:r>
    </w:p>
    <w:p w:rsidR="00B96366" w:rsidRPr="005313F4" w:rsidRDefault="00B96366" w:rsidP="003F6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66" w:rsidRPr="005313F4" w:rsidRDefault="00B96366" w:rsidP="003F6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Correspondence </w:t>
      </w:r>
    </w:p>
    <w:p w:rsidR="00B96366" w:rsidRDefault="00B96366" w:rsidP="003F6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sz w:val="24"/>
          <w:szCs w:val="24"/>
          <w:lang w:val="en-US"/>
        </w:rPr>
        <w:t xml:space="preserve">*Corresponding author: </w:t>
      </w:r>
      <w:hyperlink r:id="rId8" w:history="1">
        <w:r w:rsidR="005313F4" w:rsidRPr="0081072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cpatto@itqb.unl.pt</w:t>
        </w:r>
      </w:hyperlink>
    </w:p>
    <w:p w:rsidR="005313F4" w:rsidRPr="005313F4" w:rsidRDefault="005313F4" w:rsidP="003F6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71CB" w:rsidRPr="009871CB" w:rsidRDefault="009871CB" w:rsidP="009871C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871CB">
        <w:rPr>
          <w:rFonts w:ascii="Times New Roman" w:hAnsi="Times New Roman"/>
          <w:sz w:val="24"/>
          <w:szCs w:val="24"/>
          <w:lang w:val="en-US"/>
        </w:rPr>
        <w:t>Table S7. Within-population genetic diversity estimates in 26 maize populations (N = 780).</w:t>
      </w:r>
    </w:p>
    <w:p w:rsidR="009871CB" w:rsidRPr="009871CB" w:rsidRDefault="009871CB" w:rsidP="009871C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818" w:type="dxa"/>
        <w:tblLook w:val="04A0" w:firstRow="1" w:lastRow="0" w:firstColumn="1" w:lastColumn="0" w:noHBand="0" w:noVBand="1"/>
      </w:tblPr>
      <w:tblGrid>
        <w:gridCol w:w="2282"/>
        <w:gridCol w:w="549"/>
        <w:gridCol w:w="605"/>
        <w:gridCol w:w="605"/>
        <w:gridCol w:w="590"/>
        <w:gridCol w:w="828"/>
        <w:gridCol w:w="828"/>
        <w:gridCol w:w="895"/>
        <w:gridCol w:w="1636"/>
      </w:tblGrid>
      <w:tr w:rsidR="009871CB" w:rsidRPr="006D3802" w:rsidTr="00D42825">
        <w:trPr>
          <w:trHeight w:val="270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Population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</w:t>
            </w:r>
            <w:r w:rsidRPr="006D3802">
              <w:rPr>
                <w:rFonts w:ascii="Times New Roman" w:hAnsi="Times New Roman"/>
                <w:sz w:val="24"/>
                <w:szCs w:val="24"/>
                <w:vertAlign w:val="subscript"/>
              </w:rPr>
              <w:t>av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</w:t>
            </w:r>
            <w:r w:rsidRPr="006D3802">
              <w:rPr>
                <w:rFonts w:ascii="Times New Roman" w:hAnsi="Times New Roman"/>
                <w:sz w:val="24"/>
                <w:szCs w:val="24"/>
                <w:vertAlign w:val="subscript"/>
              </w:rPr>
              <w:t>ar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</w:t>
            </w:r>
            <w:r w:rsidRPr="006D3802">
              <w:rPr>
                <w:rFonts w:ascii="Times New Roman" w:hAnsi="Times New Roman"/>
                <w:sz w:val="24"/>
                <w:szCs w:val="24"/>
                <w:vertAlign w:val="subscript"/>
              </w:rPr>
              <w:t>pr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H</w:t>
            </w:r>
            <w:r w:rsidRPr="006D3802">
              <w:rPr>
                <w:rFonts w:ascii="Times New Roman" w:hAnsi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H</w:t>
            </w:r>
            <w:r w:rsidRPr="006D3802">
              <w:rPr>
                <w:rFonts w:ascii="Times New Roman" w:hAnsi="Times New Roman"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F</w:t>
            </w:r>
            <w:r w:rsidRPr="006D3802">
              <w:rPr>
                <w:rFonts w:ascii="Times New Roman" w:hAnsi="Times New Roman"/>
                <w:sz w:val="24"/>
                <w:szCs w:val="24"/>
                <w:vertAlign w:val="subscript"/>
              </w:rPr>
              <w:t>IS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P-value HWE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Broa-048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-0.073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 xml:space="preserve">Broa-057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0.032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 xml:space="preserve">Broa-065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0.041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 xml:space="preserve">Broa-070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 xml:space="preserve">Broa-092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0.049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Broa-102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0.049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 xml:space="preserve">Broa-113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-0.032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Broa-136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0.514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Broa-142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0.113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9871CB" w:rsidRPr="006D3802" w:rsidTr="00D42825">
        <w:trPr>
          <w:trHeight w:val="30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 xml:space="preserve">Broa-148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-0.010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 xml:space="preserve">Broa-164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-0.059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Broa-172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 xml:space="preserve">Broa-186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0.490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-0.007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Broa-214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-0.003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 xml:space="preserve">Broa-CMSPH3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-0.015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Broa-CMSPH8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0.424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-0.048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Amiúdo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0.042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Bastos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0.052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Pigarro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0.493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0.057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Verdeal da Aperrela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0.093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Aljezur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0.042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Castro Verde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0.457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0.082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Estica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Fisga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0.536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0.560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0.043</w:t>
            </w: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Fandango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0.551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0.563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0.022</w:t>
            </w: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BS22(R)C6</w:t>
            </w:r>
          </w:p>
        </w:tc>
        <w:tc>
          <w:tcPr>
            <w:tcW w:w="549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0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9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0.477</w:t>
            </w:r>
          </w:p>
        </w:tc>
        <w:tc>
          <w:tcPr>
            <w:tcW w:w="828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0.468</w:t>
            </w:r>
          </w:p>
        </w:tc>
        <w:tc>
          <w:tcPr>
            <w:tcW w:w="89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-0.019</w:t>
            </w:r>
          </w:p>
        </w:tc>
        <w:tc>
          <w:tcPr>
            <w:tcW w:w="1636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9871CB" w:rsidRPr="006D3802" w:rsidTr="00D42825">
        <w:trPr>
          <w:trHeight w:val="270"/>
        </w:trPr>
        <w:tc>
          <w:tcPr>
            <w:tcW w:w="228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54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9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0.496</w:t>
            </w:r>
          </w:p>
        </w:tc>
        <w:tc>
          <w:tcPr>
            <w:tcW w:w="82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0.508</w:t>
            </w:r>
          </w:p>
        </w:tc>
        <w:tc>
          <w:tcPr>
            <w:tcW w:w="89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0.022</w:t>
            </w:r>
          </w:p>
        </w:tc>
        <w:tc>
          <w:tcPr>
            <w:tcW w:w="163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1CB" w:rsidRPr="006D3802" w:rsidRDefault="009871CB" w:rsidP="00D4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13F4" w:rsidRPr="009871CB" w:rsidRDefault="009871CB" w:rsidP="009871CB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N </w:t>
      </w:r>
      <w:r w:rsidRPr="009871CB">
        <w:rPr>
          <w:rFonts w:ascii="Times New Roman" w:hAnsi="Times New Roman"/>
          <w:sz w:val="24"/>
          <w:szCs w:val="24"/>
          <w:lang w:val="en-US"/>
        </w:rPr>
        <w:t>–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sample size; </w:t>
      </w:r>
      <w:proofErr w:type="spellStart"/>
      <w:r w:rsidRPr="009871CB">
        <w:rPr>
          <w:rFonts w:ascii="Times New Roman" w:hAnsi="Times New Roman"/>
          <w:i/>
          <w:sz w:val="24"/>
          <w:szCs w:val="24"/>
          <w:lang w:val="en-US"/>
        </w:rPr>
        <w:t>N</w:t>
      </w:r>
      <w:r w:rsidRPr="009871CB">
        <w:rPr>
          <w:rFonts w:ascii="Times New Roman" w:hAnsi="Times New Roman"/>
          <w:i/>
          <w:sz w:val="24"/>
          <w:szCs w:val="24"/>
          <w:vertAlign w:val="subscript"/>
          <w:lang w:val="en-US"/>
        </w:rPr>
        <w:t>av</w:t>
      </w:r>
      <w:proofErr w:type="spellEnd"/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871CB">
        <w:rPr>
          <w:rFonts w:ascii="Times New Roman" w:hAnsi="Times New Roman"/>
          <w:sz w:val="24"/>
          <w:szCs w:val="24"/>
          <w:lang w:val="en-US"/>
        </w:rPr>
        <w:t>–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average number of alleles; N</w:t>
      </w:r>
      <w:r w:rsidRPr="009871CB">
        <w:rPr>
          <w:rFonts w:ascii="Times New Roman" w:hAnsi="Times New Roman"/>
          <w:i/>
          <w:sz w:val="24"/>
          <w:szCs w:val="24"/>
          <w:vertAlign w:val="subscript"/>
          <w:lang w:val="en-US"/>
        </w:rPr>
        <w:t>ar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871CB">
        <w:rPr>
          <w:rFonts w:ascii="Times New Roman" w:hAnsi="Times New Roman"/>
          <w:sz w:val="24"/>
          <w:szCs w:val="24"/>
          <w:lang w:val="en-US"/>
        </w:rPr>
        <w:t>–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average number of alleles per locus independent of sample size (allelic richness); </w:t>
      </w:r>
      <w:proofErr w:type="spellStart"/>
      <w:r w:rsidRPr="009871CB">
        <w:rPr>
          <w:rFonts w:ascii="Times New Roman" w:hAnsi="Times New Roman"/>
          <w:i/>
          <w:sz w:val="24"/>
          <w:szCs w:val="24"/>
          <w:lang w:val="en-US"/>
        </w:rPr>
        <w:t>N</w:t>
      </w:r>
      <w:r w:rsidRPr="009871CB">
        <w:rPr>
          <w:rFonts w:ascii="Times New Roman" w:hAnsi="Times New Roman"/>
          <w:i/>
          <w:sz w:val="24"/>
          <w:szCs w:val="24"/>
          <w:vertAlign w:val="subscript"/>
          <w:lang w:val="en-US"/>
        </w:rPr>
        <w:t>pr</w:t>
      </w:r>
      <w:proofErr w:type="spellEnd"/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871CB">
        <w:rPr>
          <w:rFonts w:ascii="Times New Roman" w:hAnsi="Times New Roman"/>
          <w:sz w:val="24"/>
          <w:szCs w:val="24"/>
          <w:lang w:val="en-US"/>
        </w:rPr>
        <w:t>–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total number of private alleles; H</w:t>
      </w:r>
      <w:r w:rsidRPr="009871CB">
        <w:rPr>
          <w:rFonts w:ascii="Times New Roman" w:hAnsi="Times New Roman"/>
          <w:i/>
          <w:sz w:val="24"/>
          <w:szCs w:val="24"/>
          <w:vertAlign w:val="subscript"/>
          <w:lang w:val="en-US"/>
        </w:rPr>
        <w:t>O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871CB">
        <w:rPr>
          <w:rFonts w:ascii="Times New Roman" w:hAnsi="Times New Roman"/>
          <w:sz w:val="24"/>
          <w:szCs w:val="24"/>
          <w:lang w:val="en-US"/>
        </w:rPr>
        <w:t>–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observed heterozygosity; H</w:t>
      </w:r>
      <w:r w:rsidRPr="009871CB">
        <w:rPr>
          <w:rFonts w:ascii="Times New Roman" w:hAnsi="Times New Roman"/>
          <w:i/>
          <w:sz w:val="24"/>
          <w:szCs w:val="24"/>
          <w:vertAlign w:val="subscript"/>
          <w:lang w:val="en-US"/>
        </w:rPr>
        <w:t>E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871CB">
        <w:rPr>
          <w:rFonts w:ascii="Times New Roman" w:hAnsi="Times New Roman"/>
          <w:sz w:val="24"/>
          <w:szCs w:val="24"/>
          <w:lang w:val="en-US"/>
        </w:rPr>
        <w:t>–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expected heterozygosity; F</w:t>
      </w:r>
      <w:r w:rsidRPr="009871CB">
        <w:rPr>
          <w:rFonts w:ascii="Times New Roman" w:hAnsi="Times New Roman"/>
          <w:i/>
          <w:sz w:val="24"/>
          <w:szCs w:val="24"/>
          <w:vertAlign w:val="subscript"/>
          <w:lang w:val="en-US"/>
        </w:rPr>
        <w:t>IS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871CB">
        <w:rPr>
          <w:rFonts w:ascii="Times New Roman" w:hAnsi="Times New Roman"/>
          <w:sz w:val="24"/>
          <w:szCs w:val="24"/>
          <w:lang w:val="en-US"/>
        </w:rPr>
        <w:t>–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inbreeding coefficient; P-value HWE: The probability global test for Hardy-Weinberg equilibrium (HWE) for each population was based on Markov chain method. ns </w:t>
      </w:r>
      <w:r w:rsidRPr="009871CB">
        <w:rPr>
          <w:rFonts w:ascii="Times New Roman" w:hAnsi="Times New Roman"/>
          <w:sz w:val="24"/>
          <w:szCs w:val="24"/>
          <w:lang w:val="en-US"/>
        </w:rPr>
        <w:t>–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gramStart"/>
      <w:r w:rsidRPr="009871CB">
        <w:rPr>
          <w:rFonts w:ascii="Times New Roman" w:hAnsi="Times New Roman"/>
          <w:i/>
          <w:sz w:val="24"/>
          <w:szCs w:val="24"/>
          <w:lang w:val="en-US"/>
        </w:rPr>
        <w:t>non-significant</w:t>
      </w:r>
      <w:proofErr w:type="gramEnd"/>
      <w:r w:rsidRPr="009871CB">
        <w:rPr>
          <w:rFonts w:ascii="Times New Roman" w:hAnsi="Times New Roman"/>
          <w:i/>
          <w:sz w:val="24"/>
          <w:szCs w:val="24"/>
          <w:lang w:val="en-US"/>
        </w:rPr>
        <w:t>;</w:t>
      </w:r>
      <w:r w:rsidR="00A2519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** </w:t>
      </w:r>
      <w:r w:rsidRPr="009871CB">
        <w:rPr>
          <w:rFonts w:ascii="Times New Roman" w:hAnsi="Times New Roman"/>
          <w:sz w:val="24"/>
          <w:szCs w:val="24"/>
          <w:lang w:val="en-US"/>
        </w:rPr>
        <w:t>–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significant at P &lt; 0.01; *** </w:t>
      </w:r>
      <w:r w:rsidRPr="009871CB">
        <w:rPr>
          <w:rFonts w:ascii="Times New Roman" w:hAnsi="Times New Roman"/>
          <w:sz w:val="24"/>
          <w:szCs w:val="24"/>
          <w:lang w:val="en-US"/>
        </w:rPr>
        <w:t>–</w:t>
      </w:r>
      <w:r w:rsidRPr="009871CB">
        <w:rPr>
          <w:rFonts w:ascii="Times New Roman" w:hAnsi="Times New Roman"/>
          <w:i/>
          <w:sz w:val="24"/>
          <w:szCs w:val="24"/>
          <w:lang w:val="en-US"/>
        </w:rPr>
        <w:t xml:space="preserve"> significant at P &lt; 0.001</w:t>
      </w:r>
      <w:bookmarkStart w:id="0" w:name="_GoBack"/>
      <w:bookmarkEnd w:id="0"/>
    </w:p>
    <w:sectPr w:rsidR="005313F4" w:rsidRPr="009871CB" w:rsidSect="00A02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B3"/>
    <w:rsid w:val="000907B3"/>
    <w:rsid w:val="0009770E"/>
    <w:rsid w:val="000B2AC2"/>
    <w:rsid w:val="00322DD9"/>
    <w:rsid w:val="003D7CCE"/>
    <w:rsid w:val="003F6BB2"/>
    <w:rsid w:val="005313F4"/>
    <w:rsid w:val="005A6330"/>
    <w:rsid w:val="0096361F"/>
    <w:rsid w:val="009871CB"/>
    <w:rsid w:val="00A0231C"/>
    <w:rsid w:val="00A2519A"/>
    <w:rsid w:val="00A316FE"/>
    <w:rsid w:val="00AA272B"/>
    <w:rsid w:val="00B96366"/>
    <w:rsid w:val="00B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5313F4"/>
    <w:rPr>
      <w:color w:val="0000FF" w:themeColor="hyperlink"/>
      <w:u w:val="single"/>
    </w:rPr>
  </w:style>
  <w:style w:type="paragraph" w:customStyle="1" w:styleId="StyleArial11ptJustifiAvant3ptAprs3pt">
    <w:name w:val="Style Arial 11 pt Justifi» Avant : 3 pt AprÀs : 3 pt"/>
    <w:basedOn w:val="Normal"/>
    <w:rsid w:val="003F6BB2"/>
    <w:pPr>
      <w:tabs>
        <w:tab w:val="left" w:pos="284"/>
        <w:tab w:val="left" w:pos="567"/>
        <w:tab w:val="left" w:pos="851"/>
      </w:tabs>
      <w:suppressAutoHyphens/>
      <w:spacing w:before="60" w:after="60" w:line="240" w:lineRule="auto"/>
      <w:ind w:firstLine="340"/>
      <w:jc w:val="both"/>
    </w:pPr>
    <w:rPr>
      <w:rFonts w:ascii="Arial" w:eastAsia="Times New Roman" w:hAnsi="Arial" w:cs="Arial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D9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5313F4"/>
    <w:rPr>
      <w:color w:val="0000FF" w:themeColor="hyperlink"/>
      <w:u w:val="single"/>
    </w:rPr>
  </w:style>
  <w:style w:type="paragraph" w:customStyle="1" w:styleId="StyleArial11ptJustifiAvant3ptAprs3pt">
    <w:name w:val="Style Arial 11 pt Justifi» Avant : 3 pt AprÀs : 3 pt"/>
    <w:basedOn w:val="Normal"/>
    <w:rsid w:val="003F6BB2"/>
    <w:pPr>
      <w:tabs>
        <w:tab w:val="left" w:pos="284"/>
        <w:tab w:val="left" w:pos="567"/>
        <w:tab w:val="left" w:pos="851"/>
      </w:tabs>
      <w:suppressAutoHyphens/>
      <w:spacing w:before="60" w:after="60" w:line="240" w:lineRule="auto"/>
      <w:ind w:firstLine="340"/>
      <w:jc w:val="both"/>
    </w:pPr>
    <w:rPr>
      <w:rFonts w:ascii="Arial" w:eastAsia="Times New Roman" w:hAnsi="Arial" w:cs="Arial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D9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tto@itqb.unl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Id xmlns="28de4f29-e3d9-478e-b05a-16a8ff0eb393">Table 7.DOCX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7.DOCX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FBE2CC-E709-4D57-92C3-9C9A6E230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0065F-F64C-438C-95FA-E87030365835}">
  <ds:schemaRefs>
    <ds:schemaRef ds:uri="http://schemas.microsoft.com/office/2006/metadata/properties"/>
    <ds:schemaRef ds:uri="28de4f29-e3d9-478e-b05a-16a8ff0eb393"/>
  </ds:schemaRefs>
</ds:datastoreItem>
</file>

<file path=customXml/itemProps3.xml><?xml version="1.0" encoding="utf-8"?>
<ds:datastoreItem xmlns:ds="http://schemas.openxmlformats.org/officeDocument/2006/customXml" ds:itemID="{3500EEF7-4053-4DE1-91EC-6E92B2318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e4f29-e3d9-478e-b05a-16a8ff0eb3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Author1</dc:creator>
  <cp:lastModifiedBy>Author1</cp:lastModifiedBy>
  <cp:revision>3</cp:revision>
  <dcterms:created xsi:type="dcterms:W3CDTF">2017-12-18T17:19:00Z</dcterms:created>
  <dcterms:modified xsi:type="dcterms:W3CDTF">2017-12-19T10:35:00Z</dcterms:modified>
</cp:coreProperties>
</file>