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99" w:rsidRDefault="00901499" w:rsidP="00901499">
      <w:pPr>
        <w:rPr>
          <w:rFonts w:ascii="Times New Roman" w:hAnsi="Times New Roman"/>
          <w:b/>
          <w:bCs/>
          <w:snapToGrid w:val="0"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0B06EE" wp14:editId="6B15B838">
                <wp:simplePos x="0" y="0"/>
                <wp:positionH relativeFrom="column">
                  <wp:posOffset>2675890</wp:posOffset>
                </wp:positionH>
                <wp:positionV relativeFrom="paragraph">
                  <wp:posOffset>1212215</wp:posOffset>
                </wp:positionV>
                <wp:extent cx="330200" cy="260350"/>
                <wp:effectExtent l="0" t="0" r="0" b="63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0200" cy="2603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499" w:rsidRDefault="00901499" w:rsidP="00901499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210.7pt;margin-top:95.45pt;width:26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" fillcolor="white [3201]" stroked="f" strokeweight=".5pt">
                <v:path arrowok="t"/>
                <v:textbox>
                  <w:txbxContent>
                    <w:p w:rsidR="00901499" w:rsidRDefault="00901499" w:rsidP="00901499">
                      <w:pPr>
                        <w:jc w:val="lef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snapToGrid w:val="0"/>
          <w:kern w:val="0"/>
          <w:sz w:val="20"/>
          <w:szCs w:val="20"/>
        </w:rPr>
        <w:t>Supplemental Information</w:t>
      </w:r>
    </w:p>
    <w:p w:rsidR="00901499" w:rsidRDefault="00901499" w:rsidP="00901499">
      <w:pPr>
        <w:snapToGrid w:val="0"/>
        <w:spacing w:line="360" w:lineRule="auto"/>
        <w:jc w:val="left"/>
        <w:rPr>
          <w:rFonts w:ascii="Times New Roman" w:hAnsi="Times New Roman"/>
          <w:b/>
          <w:snapToGrid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t>Figure S1</w:t>
      </w:r>
      <w:r>
        <w:rPr>
          <w:rFonts w:ascii="Times New Roman" w:hAnsi="Times New Roman"/>
          <w:color w:val="000000"/>
          <w:kern w:val="24"/>
          <w:sz w:val="20"/>
          <w:szCs w:val="20"/>
        </w:rPr>
        <w:t xml:space="preserve"> </w:t>
      </w:r>
      <w:r>
        <w:rPr>
          <w:rFonts w:ascii="Times New Roman" w:hAnsi="Times New Roman"/>
          <w:snapToGrid w:val="0"/>
          <w:sz w:val="20"/>
          <w:szCs w:val="20"/>
        </w:rPr>
        <w:t>Proportions of different abortion types in IAMSLs.</w:t>
      </w:r>
    </w:p>
    <w:p w:rsidR="00901499" w:rsidRDefault="00901499" w:rsidP="00901499">
      <w:pPr>
        <w:widowControl/>
        <w:spacing w:after="0" w:line="24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3B491B6E" wp14:editId="7EAE11C4">
            <wp:extent cx="3342005" cy="2916555"/>
            <wp:effectExtent l="0" t="0" r="0" b="0"/>
            <wp:docPr id="9897162" name="Chart 98971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ascii="Times New Roman" w:hAnsi="Times New Roman"/>
          <w:b/>
          <w:snapToGrid w:val="0"/>
          <w:kern w:val="0"/>
          <w:sz w:val="20"/>
          <w:szCs w:val="20"/>
        </w:rPr>
        <w:br w:type="page"/>
      </w:r>
    </w:p>
    <w:p w:rsidR="00901499" w:rsidRDefault="00901499" w:rsidP="00901499">
      <w:pPr>
        <w:spacing w:line="400" w:lineRule="exact"/>
        <w:rPr>
          <w:rFonts w:ascii="Times New Roman" w:hAnsi="Times New Roman"/>
          <w:b/>
          <w:snapToGrid w:val="0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lastRenderedPageBreak/>
        <w:t xml:space="preserve">Figure S2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Numbers of 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Ubisch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bodies and statistical differences in the </w:t>
      </w:r>
      <w:r>
        <w:rPr>
          <w:rFonts w:ascii="Times New Roman" w:hAnsi="Times New Roman"/>
          <w:snapToGrid w:val="0"/>
          <w:sz w:val="20"/>
          <w:szCs w:val="20"/>
        </w:rPr>
        <w:t xml:space="preserve">IAMSLs and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>fertile wheat.</w:t>
      </w:r>
    </w:p>
    <w:p w:rsidR="00901499" w:rsidRDefault="00901499" w:rsidP="00901499">
      <w:pPr>
        <w:spacing w:line="400" w:lineRule="exac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spacing w:after="0" w:line="240" w:lineRule="auto"/>
        <w:jc w:val="center"/>
        <w:rPr>
          <w:rFonts w:ascii="Times New Roman" w:hAnsi="Times New Roman"/>
          <w:b/>
          <w:snapToGrid w:val="0"/>
          <w:kern w:val="0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en-US"/>
        </w:rPr>
        <w:drawing>
          <wp:inline distT="0" distB="0" distL="0" distR="0" wp14:anchorId="76EC7EFE" wp14:editId="69D0BA9A">
            <wp:extent cx="2869565" cy="2522220"/>
            <wp:effectExtent l="0" t="0" r="6985" b="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01499" w:rsidRDefault="00901499" w:rsidP="00901499">
      <w:pPr>
        <w:spacing w:line="400" w:lineRule="exac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widowControl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br w:type="page"/>
      </w:r>
    </w:p>
    <w:p w:rsidR="00901499" w:rsidRDefault="00901499" w:rsidP="00901499">
      <w:pPr>
        <w:spacing w:line="400" w:lineRule="exact"/>
        <w:rPr>
          <w:rFonts w:ascii="Times New Roman" w:hAnsi="Times New Roman"/>
          <w:bCs/>
          <w:snapToGrid w:val="0"/>
          <w:kern w:val="0"/>
          <w:sz w:val="20"/>
          <w:szCs w:val="20"/>
        </w:rPr>
      </w:pPr>
      <w:proofErr w:type="gramStart"/>
      <w:r>
        <w:rPr>
          <w:rFonts w:ascii="Times New Roman" w:hAnsi="Times New Roman"/>
          <w:b/>
          <w:snapToGrid w:val="0"/>
          <w:kern w:val="0"/>
          <w:sz w:val="20"/>
          <w:szCs w:val="20"/>
        </w:rPr>
        <w:lastRenderedPageBreak/>
        <w:t>Figure S3</w:t>
      </w:r>
      <w:r>
        <w:rPr>
          <w:rFonts w:ascii="Times New Roman" w:hAnsi="Times New Roman"/>
          <w:b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>Observations of</w:t>
      </w:r>
      <w:r>
        <w:rPr>
          <w:rFonts w:ascii="Times New Roman" w:hAnsi="Times New Roman"/>
          <w:b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kern w:val="0"/>
          <w:sz w:val="20"/>
          <w:szCs w:val="20"/>
        </w:rPr>
        <w:t xml:space="preserve">the anther </w:t>
      </w:r>
      <w:proofErr w:type="spellStart"/>
      <w:r>
        <w:rPr>
          <w:rFonts w:ascii="Times New Roman" w:hAnsi="Times New Roman"/>
          <w:kern w:val="0"/>
          <w:sz w:val="20"/>
          <w:szCs w:val="20"/>
        </w:rPr>
        <w:t>tapetum</w:t>
      </w:r>
      <w:proofErr w:type="spellEnd"/>
      <w:r>
        <w:rPr>
          <w:rFonts w:ascii="Times New Roman" w:hAnsi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>in K87B1-706A (A–E), Ju87B1-706A (F–J), and 706B (K-O) during different developmental stages.</w:t>
      </w:r>
      <w:proofErr w:type="gram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Tds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tetrad stage (A, F, and K); </w:t>
      </w:r>
      <w:proofErr w:type="spellStart"/>
      <w:proofErr w:type="gram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Ens</w:t>
      </w:r>
      <w:proofErr w:type="spellEnd"/>
      <w:proofErr w:type="gram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early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uninucleate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 (B, G, and L);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Lns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late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uninucleate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 (C, H, and M);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Bns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binucleate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 (D, I, and N); and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Tns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trinucleate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 (E, J, and O).</w:t>
      </w:r>
      <w:r>
        <w:rPr>
          <w:rFonts w:ascii="Times New Roman" w:hAnsi="Times New Roman"/>
          <w:b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E, epidermis; En, endothecium; ML, middle layer; T, </w:t>
      </w:r>
      <w:proofErr w:type="spellStart"/>
      <w:r>
        <w:rPr>
          <w:rFonts w:ascii="Times New Roman" w:hAnsi="Times New Roman"/>
          <w:snapToGrid w:val="0"/>
          <w:kern w:val="0"/>
          <w:sz w:val="20"/>
          <w:szCs w:val="20"/>
        </w:rPr>
        <w:t>tapetum</w:t>
      </w:r>
      <w:proofErr w:type="spellEnd"/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; </w:t>
      </w:r>
      <w:proofErr w:type="spellStart"/>
      <w:r>
        <w:rPr>
          <w:rFonts w:ascii="Times New Roman" w:hAnsi="Times New Roman"/>
          <w:snapToGrid w:val="0"/>
          <w:kern w:val="0"/>
          <w:sz w:val="20"/>
          <w:szCs w:val="20"/>
        </w:rPr>
        <w:t>Tds</w:t>
      </w:r>
      <w:proofErr w:type="spellEnd"/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: tetrads; </w:t>
      </w:r>
      <w:proofErr w:type="spellStart"/>
      <w:r>
        <w:rPr>
          <w:rFonts w:ascii="Times New Roman" w:hAnsi="Times New Roman"/>
          <w:snapToGrid w:val="0"/>
          <w:kern w:val="0"/>
          <w:sz w:val="20"/>
          <w:szCs w:val="20"/>
        </w:rPr>
        <w:t>Msp</w:t>
      </w:r>
      <w:proofErr w:type="spellEnd"/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: microspores.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Scale bars = 50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sym w:font="Symbol" w:char="F06D"/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>m (A–O).</w:t>
      </w:r>
    </w:p>
    <w:p w:rsidR="00901499" w:rsidRDefault="00901499" w:rsidP="00901499">
      <w:pPr>
        <w:snapToGrid w:val="0"/>
        <w:jc w:val="left"/>
        <w:rPr>
          <w:rFonts w:ascii="Times New Roman" w:hAnsi="Times New Roman"/>
          <w:b/>
          <w:bCs/>
          <w:snapToGrid w:val="0"/>
          <w:kern w:val="0"/>
          <w:sz w:val="20"/>
          <w:szCs w:val="20"/>
        </w:rPr>
      </w:pPr>
      <w:r>
        <w:rPr>
          <w:rFonts w:ascii="Times New Roman" w:hAnsi="Times New Roman"/>
          <w:b/>
          <w:noProof/>
          <w:kern w:val="0"/>
          <w:sz w:val="20"/>
          <w:szCs w:val="20"/>
          <w:lang w:eastAsia="en-US"/>
        </w:rPr>
        <w:drawing>
          <wp:inline distT="0" distB="0" distL="0" distR="0" wp14:anchorId="0793882E" wp14:editId="41DC0535">
            <wp:extent cx="5273675" cy="2609215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60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499" w:rsidRDefault="00901499" w:rsidP="00901499">
      <w:pPr>
        <w:widowControl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br w:type="page"/>
      </w:r>
    </w:p>
    <w:p w:rsidR="00901499" w:rsidRDefault="00901499" w:rsidP="00901499">
      <w:pPr>
        <w:tabs>
          <w:tab w:val="left" w:pos="567"/>
        </w:tabs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lastRenderedPageBreak/>
        <w:t xml:space="preserve">Figure S4 </w:t>
      </w:r>
      <w:r>
        <w:rPr>
          <w:rStyle w:val="fontstyle01"/>
          <w:rFonts w:ascii="Times New Roman" w:hAnsi="Times New Roman"/>
        </w:rPr>
        <w:t xml:space="preserve">Sectional areas of the </w:t>
      </w:r>
      <w:proofErr w:type="spellStart"/>
      <w:r>
        <w:rPr>
          <w:rStyle w:val="fontstyle01"/>
          <w:rFonts w:ascii="Times New Roman" w:hAnsi="Times New Roman"/>
        </w:rPr>
        <w:t>tapetum</w:t>
      </w:r>
      <w:proofErr w:type="spellEnd"/>
      <w:r>
        <w:rPr>
          <w:rStyle w:val="fontstyle01"/>
          <w:rFonts w:ascii="Times New Roman" w:hAnsi="Times New Roman"/>
        </w:rPr>
        <w:t xml:space="preserve"> cells in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K87B1-706A, Ju87B1-706A, and 706B.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Tds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tetrad stage; </w:t>
      </w:r>
      <w:proofErr w:type="spellStart"/>
      <w:proofErr w:type="gram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Ens</w:t>
      </w:r>
      <w:proofErr w:type="spellEnd"/>
      <w:proofErr w:type="gram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early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uninucleate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stage;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Lns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late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uninucleate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stage.</w:t>
      </w:r>
    </w:p>
    <w:p w:rsidR="00901499" w:rsidRDefault="00901499" w:rsidP="00901499">
      <w:pPr>
        <w:tabs>
          <w:tab w:val="left" w:pos="0"/>
        </w:tabs>
        <w:jc w:val="center"/>
        <w:rPr>
          <w:rFonts w:ascii="Times New Roman" w:hAnsi="Times New Roman"/>
          <w:b/>
          <w:snapToGrid w:val="0"/>
          <w:kern w:val="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30C09A72" wp14:editId="67F1D93C">
            <wp:simplePos x="0" y="0"/>
            <wp:positionH relativeFrom="column">
              <wp:posOffset>-18415</wp:posOffset>
            </wp:positionH>
            <wp:positionV relativeFrom="paragraph">
              <wp:posOffset>271145</wp:posOffset>
            </wp:positionV>
            <wp:extent cx="3368675" cy="2021205"/>
            <wp:effectExtent l="0" t="0" r="317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75" cy="202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499" w:rsidRDefault="00901499" w:rsidP="00901499">
      <w:pPr>
        <w:tabs>
          <w:tab w:val="left" w:pos="567"/>
        </w:tabs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widowControl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br w:type="page"/>
      </w:r>
    </w:p>
    <w:p w:rsidR="00901499" w:rsidRDefault="00901499" w:rsidP="00901499">
      <w:pPr>
        <w:spacing w:line="400" w:lineRule="exact"/>
        <w:rPr>
          <w:rFonts w:ascii="Times New Roman" w:hAnsi="Times New Roman"/>
          <w:bCs/>
          <w:snapToGrid w:val="0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lastRenderedPageBreak/>
        <w:t>Figure S5</w:t>
      </w:r>
      <w:r>
        <w:rPr>
          <w:rFonts w:ascii="Times New Roman" w:hAnsi="Times New Roman"/>
          <w:kern w:val="0"/>
          <w:sz w:val="20"/>
          <w:szCs w:val="20"/>
        </w:rPr>
        <w:t xml:space="preserve"> Detection of DNA laddering in the anther </w:t>
      </w:r>
      <w:proofErr w:type="spellStart"/>
      <w:r>
        <w:rPr>
          <w:rFonts w:ascii="Times New Roman" w:hAnsi="Times New Roman"/>
          <w:kern w:val="0"/>
          <w:sz w:val="20"/>
          <w:szCs w:val="20"/>
        </w:rPr>
        <w:t>tapetum</w:t>
      </w:r>
      <w:proofErr w:type="spellEnd"/>
      <w:r>
        <w:rPr>
          <w:rFonts w:ascii="Times New Roman" w:hAnsi="Times New Roman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from </w:t>
      </w:r>
      <w:r>
        <w:rPr>
          <w:rFonts w:ascii="Times New Roman" w:hAnsi="Times New Roman"/>
          <w:kern w:val="0"/>
          <w:sz w:val="20"/>
          <w:szCs w:val="20"/>
        </w:rPr>
        <w:t xml:space="preserve">K87B1-706A, Ju87B1-706A, and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706B during different developmental stages. </w:t>
      </w:r>
      <w:r>
        <w:rPr>
          <w:rFonts w:ascii="Times New Roman" w:hAnsi="Times New Roman"/>
          <w:kern w:val="0"/>
          <w:sz w:val="20"/>
          <w:szCs w:val="20"/>
        </w:rPr>
        <w:t>M, Marker D2000;</w:t>
      </w:r>
      <w:r>
        <w:rPr>
          <w:rFonts w:ascii="Times New Roman" w:hAnsi="Times New Roman"/>
          <w:b/>
          <w:kern w:val="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Tds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tetrad stage;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Ens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early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uninucleate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stage;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Lns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late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uninucleate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stage;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Bns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binucleate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stage; and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Tns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>trinucleate</w:t>
      </w:r>
      <w:proofErr w:type="spellEnd"/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 stage.</w:t>
      </w:r>
    </w:p>
    <w:p w:rsidR="00901499" w:rsidRDefault="00901499" w:rsidP="00901499">
      <w:pPr>
        <w:snapToGrid w:val="0"/>
        <w:spacing w:line="360" w:lineRule="auto"/>
        <w:rPr>
          <w:rFonts w:ascii="Times New Roman" w:hAnsi="Times New Roman"/>
          <w:b/>
          <w:kern w:val="0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27BA20" wp14:editId="431C239C">
                <wp:simplePos x="0" y="0"/>
                <wp:positionH relativeFrom="column">
                  <wp:posOffset>659765</wp:posOffset>
                </wp:positionH>
                <wp:positionV relativeFrom="paragraph">
                  <wp:posOffset>324485</wp:posOffset>
                </wp:positionV>
                <wp:extent cx="998220" cy="28829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822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499" w:rsidRDefault="00901499" w:rsidP="0090149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K87B1-706A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51.95pt;margin-top:25.55pt;width:78.6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" filled="f" stroked="f" strokeweight=".5pt">
                <v:path arrowok="t"/>
                <v:textbox>
                  <w:txbxContent>
                    <w:p w:rsidR="00901499" w:rsidRDefault="00901499" w:rsidP="00901499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K87B1-706A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EE42D" wp14:editId="69D45748">
                <wp:simplePos x="0" y="0"/>
                <wp:positionH relativeFrom="column">
                  <wp:posOffset>3757930</wp:posOffset>
                </wp:positionH>
                <wp:positionV relativeFrom="paragraph">
                  <wp:posOffset>305435</wp:posOffset>
                </wp:positionV>
                <wp:extent cx="516890" cy="258445"/>
                <wp:effectExtent l="0" t="0" r="0" b="825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6890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499" w:rsidRDefault="00901499" w:rsidP="0090149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706B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left:0;text-align:left;margin-left:295.9pt;margin-top:24.05pt;width:40.7pt;height:2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" filled="f" stroked="f" strokeweight=".5pt">
                <v:path arrowok="t"/>
                <v:textbox>
                  <w:txbxContent>
                    <w:p w:rsidR="00901499" w:rsidRDefault="00901499" w:rsidP="00901499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706B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54332" wp14:editId="3A8F8711">
                <wp:simplePos x="0" y="0"/>
                <wp:positionH relativeFrom="column">
                  <wp:posOffset>2110105</wp:posOffset>
                </wp:positionH>
                <wp:positionV relativeFrom="paragraph">
                  <wp:posOffset>318135</wp:posOffset>
                </wp:positionV>
                <wp:extent cx="980440" cy="276225"/>
                <wp:effectExtent l="0" t="0" r="0" b="95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044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499" w:rsidRDefault="00901499" w:rsidP="0090149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Ju87B1-706A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left:0;text-align:left;margin-left:166.15pt;margin-top:25.05pt;width:77.2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" filled="f" stroked="f" strokeweight=".5pt">
                <v:path arrowok="t"/>
                <v:textbox>
                  <w:txbxContent>
                    <w:p w:rsidR="00901499" w:rsidRDefault="00901499" w:rsidP="00901499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Ju87B1-706A</w:t>
                      </w:r>
                    </w:p>
                  </w:txbxContent>
                </v:textbox>
              </v:shape>
            </w:pict>
          </mc:Fallback>
        </mc:AlternateContent>
      </w:r>
    </w:p>
    <w:p w:rsidR="00901499" w:rsidRDefault="00901499" w:rsidP="00901499">
      <w:pPr>
        <w:snapToGrid w:val="0"/>
        <w:jc w:val="center"/>
        <w:rPr>
          <w:rFonts w:ascii="Times New Roman" w:hAnsi="Times New Roman"/>
          <w:b/>
          <w:kern w:val="0"/>
          <w:sz w:val="20"/>
          <w:szCs w:val="20"/>
        </w:rPr>
      </w:pPr>
    </w:p>
    <w:p w:rsidR="00901499" w:rsidRDefault="00901499" w:rsidP="00901499">
      <w:pPr>
        <w:snapToGrid w:val="0"/>
        <w:rPr>
          <w:rFonts w:ascii="Times New Roman" w:hAnsi="Times New Roman"/>
          <w:b/>
          <w:kern w:val="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F3D6FF8" wp14:editId="62FD39EF">
            <wp:simplePos x="0" y="0"/>
            <wp:positionH relativeFrom="column">
              <wp:posOffset>-2540</wp:posOffset>
            </wp:positionH>
            <wp:positionV relativeFrom="paragraph">
              <wp:posOffset>1905</wp:posOffset>
            </wp:positionV>
            <wp:extent cx="5274310" cy="1095375"/>
            <wp:effectExtent l="0" t="0" r="254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499" w:rsidRDefault="00901499" w:rsidP="00901499">
      <w:pPr>
        <w:widowControl/>
        <w:jc w:val="left"/>
        <w:rPr>
          <w:rFonts w:ascii="Times New Roman" w:hAnsi="Times New Roman"/>
          <w:b/>
          <w:kern w:val="0"/>
          <w:sz w:val="20"/>
          <w:szCs w:val="20"/>
        </w:rPr>
      </w:pPr>
    </w:p>
    <w:p w:rsidR="00901499" w:rsidRDefault="00901499" w:rsidP="00901499">
      <w:pPr>
        <w:widowControl/>
        <w:spacing w:after="0" w:line="240" w:lineRule="auto"/>
        <w:jc w:val="left"/>
        <w:rPr>
          <w:rFonts w:ascii="Times New Roman" w:hAnsi="Times New Roman"/>
          <w:b/>
          <w:kern w:val="0"/>
          <w:sz w:val="20"/>
          <w:szCs w:val="20"/>
        </w:rPr>
      </w:pPr>
      <w:r>
        <w:rPr>
          <w:rFonts w:ascii="Times New Roman" w:hAnsi="Times New Roman"/>
          <w:b/>
          <w:kern w:val="0"/>
          <w:sz w:val="20"/>
          <w:szCs w:val="20"/>
        </w:rPr>
        <w:br w:type="page"/>
      </w:r>
    </w:p>
    <w:p w:rsidR="00901499" w:rsidRDefault="00901499" w:rsidP="00901499">
      <w:pPr>
        <w:widowControl/>
        <w:rPr>
          <w:rFonts w:ascii="Times New Roman" w:hAnsi="Times New Roman"/>
          <w:b/>
          <w:kern w:val="0"/>
          <w:sz w:val="20"/>
          <w:szCs w:val="20"/>
        </w:rPr>
      </w:pPr>
    </w:p>
    <w:p w:rsidR="00901499" w:rsidRDefault="00901499" w:rsidP="00901499">
      <w:pPr>
        <w:widowControl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t xml:space="preserve">Figure S6 </w:t>
      </w: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Analysis of the correlations between the </w:t>
      </w:r>
      <w:r>
        <w:rPr>
          <w:rFonts w:ascii="Times New Roman" w:hAnsi="Times New Roman"/>
          <w:i/>
          <w:sz w:val="20"/>
          <w:szCs w:val="20"/>
        </w:rPr>
        <w:t>SOD</w:t>
      </w:r>
      <w:r>
        <w:rPr>
          <w:rFonts w:ascii="Times New Roman" w:hAnsi="Times New Roman"/>
          <w:sz w:val="20"/>
          <w:szCs w:val="20"/>
        </w:rPr>
        <w:t xml:space="preserve"> enzyme gene </w:t>
      </w:r>
      <w:r>
        <w:rPr>
          <w:rFonts w:ascii="Times New Roman" w:hAnsi="Times New Roman"/>
          <w:kern w:val="0"/>
          <w:sz w:val="20"/>
          <w:szCs w:val="20"/>
        </w:rPr>
        <w:t xml:space="preserve">expression </w:t>
      </w:r>
      <w:r>
        <w:rPr>
          <w:rFonts w:ascii="Times New Roman" w:hAnsi="Times New Roman"/>
          <w:snapToGrid w:val="0"/>
          <w:kern w:val="0"/>
          <w:sz w:val="20"/>
          <w:szCs w:val="20"/>
        </w:rPr>
        <w:t>levels</w:t>
      </w:r>
      <w:r>
        <w:rPr>
          <w:rFonts w:ascii="Times New Roman" w:hAnsi="Times New Roman"/>
          <w:kern w:val="0"/>
          <w:sz w:val="20"/>
          <w:szCs w:val="20"/>
        </w:rPr>
        <w:t xml:space="preserve"> and SOD enzyme activities in the </w:t>
      </w: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IAMSLs and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fertile wheat </w:t>
      </w:r>
      <w:r>
        <w:rPr>
          <w:rFonts w:ascii="Times New Roman" w:hAnsi="Times New Roman"/>
          <w:kern w:val="0"/>
          <w:sz w:val="20"/>
          <w:szCs w:val="20"/>
        </w:rPr>
        <w:t>during different developmental stages.</w:t>
      </w:r>
    </w:p>
    <w:p w:rsidR="00901499" w:rsidRDefault="00901499" w:rsidP="00901499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4C13B51E" wp14:editId="2B18159F">
            <wp:simplePos x="0" y="0"/>
            <wp:positionH relativeFrom="column">
              <wp:posOffset>986790</wp:posOffset>
            </wp:positionH>
            <wp:positionV relativeFrom="paragraph">
              <wp:posOffset>6350</wp:posOffset>
            </wp:positionV>
            <wp:extent cx="2480310" cy="435483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435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t xml:space="preserve">Figure S7 </w:t>
      </w: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Analysis of the correlations between the </w:t>
      </w:r>
      <w:r>
        <w:rPr>
          <w:rFonts w:ascii="Times New Roman" w:hAnsi="Times New Roman"/>
          <w:i/>
          <w:sz w:val="20"/>
          <w:szCs w:val="20"/>
        </w:rPr>
        <w:t>CAT</w:t>
      </w:r>
      <w:r>
        <w:rPr>
          <w:rFonts w:ascii="Times New Roman" w:hAnsi="Times New Roman"/>
          <w:sz w:val="20"/>
          <w:szCs w:val="20"/>
        </w:rPr>
        <w:t xml:space="preserve"> enzyme gene </w:t>
      </w:r>
      <w:r>
        <w:rPr>
          <w:rFonts w:ascii="Times New Roman" w:hAnsi="Times New Roman"/>
          <w:kern w:val="0"/>
          <w:sz w:val="20"/>
          <w:szCs w:val="20"/>
        </w:rPr>
        <w:t xml:space="preserve">expression </w:t>
      </w:r>
      <w:r>
        <w:rPr>
          <w:rFonts w:ascii="Times New Roman" w:hAnsi="Times New Roman"/>
          <w:snapToGrid w:val="0"/>
          <w:kern w:val="0"/>
          <w:sz w:val="20"/>
          <w:szCs w:val="20"/>
        </w:rPr>
        <w:t>levels</w:t>
      </w:r>
      <w:r>
        <w:rPr>
          <w:rFonts w:ascii="Times New Roman" w:hAnsi="Times New Roman"/>
          <w:kern w:val="0"/>
          <w:sz w:val="20"/>
          <w:szCs w:val="20"/>
        </w:rPr>
        <w:t xml:space="preserve"> and CAT enzyme activities in the </w:t>
      </w: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IAMSLs and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fertile wheat </w:t>
      </w:r>
      <w:r>
        <w:rPr>
          <w:rFonts w:ascii="Times New Roman" w:hAnsi="Times New Roman"/>
          <w:kern w:val="0"/>
          <w:sz w:val="20"/>
          <w:szCs w:val="20"/>
        </w:rPr>
        <w:t>during different developmental stages.</w:t>
      </w:r>
    </w:p>
    <w:p w:rsidR="00901499" w:rsidRDefault="00901499" w:rsidP="00901499">
      <w:pPr>
        <w:rPr>
          <w:rFonts w:ascii="Times New Roman" w:hAnsi="Times New Roman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258D93CC" wp14:editId="436BBEA5">
            <wp:simplePos x="0" y="0"/>
            <wp:positionH relativeFrom="column">
              <wp:posOffset>930275</wp:posOffset>
            </wp:positionH>
            <wp:positionV relativeFrom="paragraph">
              <wp:posOffset>107315</wp:posOffset>
            </wp:positionV>
            <wp:extent cx="2481580" cy="4486910"/>
            <wp:effectExtent l="0" t="0" r="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448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499" w:rsidRDefault="00901499" w:rsidP="00901499">
      <w:pPr>
        <w:rPr>
          <w:rFonts w:ascii="Times New Roman" w:hAnsi="Times New Roman"/>
          <w:sz w:val="20"/>
          <w:szCs w:val="20"/>
        </w:rPr>
      </w:pPr>
    </w:p>
    <w:p w:rsidR="00901499" w:rsidRDefault="00901499" w:rsidP="00901499">
      <w:pPr>
        <w:widowControl/>
        <w:jc w:val="left"/>
        <w:rPr>
          <w:rFonts w:ascii="Times New Roman" w:hAnsi="Times New Roman"/>
          <w:b/>
          <w:snapToGrid w:val="0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br w:type="page"/>
      </w:r>
    </w:p>
    <w:p w:rsidR="00901499" w:rsidRDefault="00901499" w:rsidP="00901499">
      <w:pPr>
        <w:tabs>
          <w:tab w:val="left" w:pos="567"/>
        </w:tabs>
        <w:spacing w:line="360" w:lineRule="auto"/>
        <w:jc w:val="left"/>
        <w:rPr>
          <w:rFonts w:ascii="Times New Roman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kern w:val="0"/>
          <w:sz w:val="20"/>
          <w:szCs w:val="20"/>
        </w:rPr>
        <w:lastRenderedPageBreak/>
        <w:t xml:space="preserve">Figure S8 </w:t>
      </w: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Analysis of the correlations between the </w:t>
      </w:r>
      <w:r>
        <w:rPr>
          <w:rFonts w:ascii="Times New Roman" w:hAnsi="Times New Roman"/>
          <w:i/>
          <w:sz w:val="20"/>
          <w:szCs w:val="20"/>
        </w:rPr>
        <w:t>APX</w:t>
      </w:r>
      <w:r>
        <w:rPr>
          <w:rFonts w:ascii="Times New Roman" w:hAnsi="Times New Roman"/>
          <w:sz w:val="20"/>
          <w:szCs w:val="20"/>
        </w:rPr>
        <w:t xml:space="preserve"> enzyme gene </w:t>
      </w:r>
      <w:r>
        <w:rPr>
          <w:rFonts w:ascii="Times New Roman" w:hAnsi="Times New Roman"/>
          <w:kern w:val="0"/>
          <w:sz w:val="20"/>
          <w:szCs w:val="20"/>
        </w:rPr>
        <w:t xml:space="preserve">expression </w:t>
      </w:r>
      <w:r>
        <w:rPr>
          <w:rFonts w:ascii="Times New Roman" w:hAnsi="Times New Roman"/>
          <w:snapToGrid w:val="0"/>
          <w:kern w:val="0"/>
          <w:sz w:val="20"/>
          <w:szCs w:val="20"/>
        </w:rPr>
        <w:t>levels</w:t>
      </w:r>
      <w:r>
        <w:rPr>
          <w:rFonts w:ascii="Times New Roman" w:hAnsi="Times New Roman"/>
          <w:kern w:val="0"/>
          <w:sz w:val="20"/>
          <w:szCs w:val="20"/>
        </w:rPr>
        <w:t xml:space="preserve"> and APX enzyme activities in the </w:t>
      </w: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IAMSLs and </w:t>
      </w:r>
      <w:r>
        <w:rPr>
          <w:rFonts w:ascii="Times New Roman" w:hAnsi="Times New Roman"/>
          <w:bCs/>
          <w:snapToGrid w:val="0"/>
          <w:kern w:val="0"/>
          <w:sz w:val="20"/>
          <w:szCs w:val="20"/>
        </w:rPr>
        <w:t xml:space="preserve">fertile wheat </w:t>
      </w:r>
      <w:r>
        <w:rPr>
          <w:rFonts w:ascii="Times New Roman" w:hAnsi="Times New Roman"/>
          <w:kern w:val="0"/>
          <w:sz w:val="20"/>
          <w:szCs w:val="20"/>
        </w:rPr>
        <w:t>during different developmental stages.</w:t>
      </w:r>
    </w:p>
    <w:p w:rsidR="00901499" w:rsidRDefault="00901499" w:rsidP="00901499">
      <w:pPr>
        <w:rPr>
          <w:sz w:val="24"/>
          <w:szCs w:val="24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609AAF58" wp14:editId="2945A3B4">
            <wp:simplePos x="0" y="0"/>
            <wp:positionH relativeFrom="column">
              <wp:posOffset>902335</wp:posOffset>
            </wp:positionH>
            <wp:positionV relativeFrom="paragraph">
              <wp:posOffset>154940</wp:posOffset>
            </wp:positionV>
            <wp:extent cx="2541905" cy="45624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456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499" w:rsidRDefault="00901499" w:rsidP="00901499">
      <w:pPr>
        <w:snapToGrid w:val="0"/>
        <w:spacing w:line="360" w:lineRule="auto"/>
        <w:rPr>
          <w:rFonts w:ascii="Times New Roman" w:hAnsi="Times New Roman"/>
          <w:sz w:val="20"/>
          <w:szCs w:val="20"/>
        </w:rPr>
      </w:pPr>
    </w:p>
    <w:p w:rsidR="00906A0D" w:rsidRDefault="00906A0D">
      <w:bookmarkStart w:id="0" w:name="_GoBack"/>
      <w:bookmarkEnd w:id="0"/>
    </w:p>
    <w:sectPr w:rsidR="00906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P6EC5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99"/>
    <w:rsid w:val="00901499"/>
    <w:rsid w:val="0090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99"/>
    <w:pPr>
      <w:widowControl w:val="0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01499"/>
    <w:rPr>
      <w:rFonts w:ascii="AdvP6EC5" w:hAnsi="AdvP6EC5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99"/>
    <w:rPr>
      <w:rFonts w:ascii="Tahoma" w:eastAsia="SimSu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499"/>
    <w:pPr>
      <w:widowControl w:val="0"/>
      <w:jc w:val="both"/>
    </w:pPr>
    <w:rPr>
      <w:rFonts w:ascii="Calibri" w:eastAsia="SimSun" w:hAnsi="Calibri" w:cs="Times New Roman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01499"/>
    <w:rPr>
      <w:rFonts w:ascii="AdvP6EC5" w:hAnsi="AdvP6EC5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499"/>
    <w:rPr>
      <w:rFonts w:ascii="Tahoma" w:eastAsia="SimSu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image" Target="media/image5.png"/><Relationship Id="rId5" Type="http://schemas.openxmlformats.org/officeDocument/2006/relationships/chart" Target="charts/chart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&#30424;\&#30740;&#31350;&#29983;&#35770;&#25991;\&#23567;&#35770;&#25991;3\&#25968;&#25454;\&#32454;&#32990;&#32479;&#3574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E&#30424;\&#30740;&#31350;&#29983;&#35770;&#25991;\&#23567;&#35770;&#25991;3\&#25968;&#25454;\&#32454;&#32990;&#32479;&#3574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46798160548882"/>
          <c:y val="6.4610992644064322E-2"/>
          <c:w val="0.7787088982298267"/>
          <c:h val="0.790191729679711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Sheet1!$G$25</c:f>
              <c:strCache>
                <c:ptCount val="1"/>
                <c:pt idx="0">
                  <c:v>K87B1-706A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 w="6350"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331-6143-A4AB-1065ED67484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31-6143-A4AB-1065ED67484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Sheet1!$F$26:$F$27</c:f>
              <c:strCache>
                <c:ptCount val="2"/>
                <c:pt idx="0">
                  <c:v>Percentages of typical abortion</c:v>
                </c:pt>
                <c:pt idx="1">
                  <c:v>Percentages of stainable abortion</c:v>
                </c:pt>
              </c:strCache>
            </c:strRef>
          </c:cat>
          <c:val>
            <c:numRef>
              <c:f>Sheet1!$G$26:$G$27</c:f>
              <c:numCache>
                <c:formatCode>General</c:formatCode>
                <c:ptCount val="2"/>
                <c:pt idx="0">
                  <c:v>22.9</c:v>
                </c:pt>
                <c:pt idx="1">
                  <c:v>77.099999999999994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31-6143-A4AB-1065ED674846}"/>
            </c:ext>
          </c:extLst>
        </c:ser>
        <c:ser>
          <c:idx val="1"/>
          <c:order val="1"/>
          <c:tx>
            <c:strRef>
              <c:f>Sheet1!$H$25</c:f>
              <c:strCache>
                <c:ptCount val="1"/>
                <c:pt idx="0">
                  <c:v>Ju87B1-706A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 w="6350"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331-6143-A4AB-1065ED67484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331-6143-A4AB-1065ED674846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Sheet1!$F$26:$F$27</c:f>
              <c:strCache>
                <c:ptCount val="2"/>
                <c:pt idx="0">
                  <c:v>Percentages of typical abortion</c:v>
                </c:pt>
                <c:pt idx="1">
                  <c:v>Percentages of stainable abortion</c:v>
                </c:pt>
              </c:strCache>
            </c:strRef>
          </c:cat>
          <c:val>
            <c:numRef>
              <c:f>Sheet1!$H$26:$H$27</c:f>
              <c:numCache>
                <c:formatCode>General</c:formatCode>
                <c:ptCount val="2"/>
                <c:pt idx="0">
                  <c:v>53.1</c:v>
                </c:pt>
                <c:pt idx="1">
                  <c:v>46.9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331-6143-A4AB-1065ED67484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7252736"/>
        <c:axId val="127267200"/>
      </c:barChart>
      <c:catAx>
        <c:axId val="1272527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altLang="zh-CN" sz="1000" b="0" i="0" baseline="0">
                    <a:effectLst/>
                  </a:rPr>
                  <a:t>Sterile type</a:t>
                </a:r>
                <a:endParaRPr lang="zh-CN" altLang="zh-CN" sz="1000">
                  <a:effectLst/>
                </a:endParaRP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27267200"/>
        <c:crosses val="autoZero"/>
        <c:auto val="1"/>
        <c:lblAlgn val="ctr"/>
        <c:lblOffset val="100"/>
        <c:noMultiLvlLbl val="0"/>
      </c:catAx>
      <c:valAx>
        <c:axId val="12726720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altLang="zh-CN" sz="1000" b="0" i="0" u="none" strike="noStrike" baseline="0">
                    <a:effectLst/>
                  </a:rPr>
                  <a:t>Percentage of abortion(%)</a:t>
                </a:r>
                <a:r>
                  <a:rPr lang="en-US" altLang="zh-CN" sz="1000" b="1" i="0" u="none" strike="noStrike" baseline="0"/>
                  <a:t> </a:t>
                </a:r>
                <a:endParaRPr lang="zh-CN" altLang="en-US"/>
              </a:p>
            </c:rich>
          </c:tx>
          <c:layout>
            <c:manualLayout>
              <c:xMode val="edge"/>
              <c:yMode val="edge"/>
              <c:x val="1.1180892668043656E-2"/>
              <c:y val="0.1582627405830100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0">
            <a:solidFill>
              <a:schemeClr val="tx1">
                <a:lumMod val="50000"/>
                <a:lumOff val="50000"/>
              </a:schemeClr>
            </a:solidFill>
          </a:ln>
        </c:spPr>
        <c:crossAx val="12725273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21164683213847799"/>
          <c:y val="0.15038849328164997"/>
          <c:w val="0.31732927525204491"/>
          <c:h val="0.12265839162846716"/>
        </c:manualLayout>
      </c:layout>
      <c:overlay val="0"/>
    </c:legend>
    <c:plotVisOnly val="1"/>
    <c:dispBlanksAs val="gap"/>
    <c:showDLblsOverMax val="0"/>
  </c:chart>
  <c:spPr>
    <a:ln w="0"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33772521462704"/>
          <c:y val="5.4792511958369421E-2"/>
          <c:w val="0.7399005901154786"/>
          <c:h val="0.841113071728653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Sheet3!$H$6</c:f>
              <c:strCache>
                <c:ptCount val="1"/>
                <c:pt idx="0">
                  <c:v>K87B1-706A</c:v>
                </c:pt>
              </c:strCache>
            </c:strRef>
          </c:tx>
          <c:spPr>
            <a:pattFill prst="narVert">
              <a:fgClr>
                <a:schemeClr val="tx1"/>
              </a:fgClr>
              <a:bgClr>
                <a:schemeClr val="bg1"/>
              </a:bgClr>
            </a:pattFill>
            <a:ln w="6350"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9A-2B46-9456-FBB2D69A52C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Lit>
              <c:ptCount val="1"/>
              <c:pt idx="0">
                <c:v>Plant materials</c:v>
              </c:pt>
            </c:strLit>
          </c:cat>
          <c:val>
            <c:numRef>
              <c:f>Sheet3!$H$7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9A-2B46-9456-FBB2D69A52C0}"/>
            </c:ext>
          </c:extLst>
        </c:ser>
        <c:ser>
          <c:idx val="1"/>
          <c:order val="1"/>
          <c:tx>
            <c:strRef>
              <c:f>Sheet3!$I$6</c:f>
              <c:strCache>
                <c:ptCount val="1"/>
                <c:pt idx="0">
                  <c:v>Ju87B1-706A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 w="6350"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en-US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9A-2B46-9456-FBB2D69A52C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Lit>
              <c:ptCount val="1"/>
              <c:pt idx="0">
                <c:v>Plant materials</c:v>
              </c:pt>
            </c:strLit>
          </c:cat>
          <c:val>
            <c:numRef>
              <c:f>Sheet3!$I$7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29A-2B46-9456-FBB2D69A52C0}"/>
            </c:ext>
          </c:extLst>
        </c:ser>
        <c:ser>
          <c:idx val="3"/>
          <c:order val="2"/>
          <c:tx>
            <c:strRef>
              <c:f>Sheet3!$K$6</c:f>
              <c:strCache>
                <c:ptCount val="1"/>
                <c:pt idx="0">
                  <c:v>706B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  <a:ln w="6350">
              <a:solidFill>
                <a:schemeClr val="tx1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en-US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9A-2B46-9456-FBB2D69A52C0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Lit>
                <c:formatCode>General</c:formatCode>
                <c:ptCount val="1"/>
                <c:pt idx="0">
                  <c:v>1</c:v>
                </c:pt>
              </c:numLit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Lit>
              <c:ptCount val="1"/>
              <c:pt idx="0">
                <c:v>Plant materials</c:v>
              </c:pt>
            </c:strLit>
          </c:cat>
          <c:val>
            <c:numRef>
              <c:f>Sheet3!$K$7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29A-2B46-9456-FBB2D69A52C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1722368"/>
        <c:axId val="100782848"/>
      </c:barChart>
      <c:catAx>
        <c:axId val="817223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00782848"/>
        <c:crosses val="autoZero"/>
        <c:auto val="1"/>
        <c:lblAlgn val="ctr"/>
        <c:lblOffset val="100"/>
        <c:noMultiLvlLbl val="0"/>
      </c:catAx>
      <c:valAx>
        <c:axId val="10078284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r>
                  <a:rPr lang="en-US" altLang="zh-CN" sz="1000" b="1" i="0" u="none" strike="noStrike" baseline="0">
                    <a:effectLst/>
                    <a:latin typeface="Arial" pitchFamily="34" charset="0"/>
                    <a:cs typeface="Arial" pitchFamily="34" charset="0"/>
                  </a:rPr>
                  <a:t>numbers of Ubisch bodies</a:t>
                </a:r>
                <a:r>
                  <a:rPr lang="en-US" altLang="zh-CN" sz="1000" b="1" i="0" u="none" strike="noStrike" baseline="0">
                    <a:latin typeface="Arial" pitchFamily="34" charset="0"/>
                    <a:cs typeface="Arial" pitchFamily="34" charset="0"/>
                  </a:rPr>
                  <a:t> </a:t>
                </a:r>
                <a:endParaRPr lang="zh-CN" altLang="en-US" b="1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1.8867924528301886E-2"/>
              <c:y val="0.1419213173433193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chemeClr val="tx1">
                <a:lumMod val="50000"/>
                <a:lumOff val="50000"/>
              </a:schemeClr>
            </a:solidFill>
          </a:ln>
        </c:spPr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81722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546130438874424"/>
          <c:y val="4.6755881735215908E-2"/>
          <c:w val="0.46046296005827958"/>
          <c:h val="0.16560517794700583"/>
        </c:manualLayout>
      </c:layout>
      <c:overlay val="0"/>
      <c:txPr>
        <a:bodyPr/>
        <a:lstStyle/>
        <a:p>
          <a:pPr>
            <a:defRPr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ln w="3175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Smartbook</dc:creator>
  <cp:lastModifiedBy>My Smartbook</cp:lastModifiedBy>
  <cp:revision>1</cp:revision>
  <dcterms:created xsi:type="dcterms:W3CDTF">2018-04-17T13:55:00Z</dcterms:created>
  <dcterms:modified xsi:type="dcterms:W3CDTF">2018-04-17T13:55:00Z</dcterms:modified>
</cp:coreProperties>
</file>