
<file path=[Content_Types].xml><?xml version="1.0" encoding="utf-8"?>
<Types xmlns="http://schemas.openxmlformats.org/package/2006/content-types">
  <Override PartName="/customXml/_rels/item1.xml.rels" ContentType="application/vnd.openxmlformats-package.relationship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Default Extension="xml" ContentType="application/xml"/>
  <Override PartName="/customXml/item1.xml" ContentType="application/xml"/>
  <Override PartName="/docProps/custom.xml" ContentType="application/vnd.openxmlformats-officedocument.custom-properties+xml"/>
  <Override PartName="/word/_rels/header3.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oter2.xml" ContentType="application/vnd.openxmlformats-officedocument.wordprocessingml.footer+xml"/>
  <Override PartName="/word/theme/theme1.xml" ContentType="application/vnd.openxmlformats-officedocument.theme+xml"/>
  <Override PartName="/word/footer1.xml" ContentType="application/vnd.openxmlformats-officedocument.wordprocessingml.footer+xml"/>
  <Override PartName="/word/media/image1.jpeg" ContentType="image/jpeg"/>
  <Override PartName="/_rels/.rels" ContentType="application/vnd.openxmlformats-package.relationships+xml"/>
  <Override PartName="/word/fontTable.xml" ContentType="application/vnd.openxmlformats-officedocument.wordprocessingml.fontTable+xml"/>
  <Override PartName="/word/header3.xml" ContentType="application/vnd.openxmlformats-officedocument.wordprocessingml.header+xml"/>
  <Override PartName="/word/header2.xml" ContentType="application/vnd.openxmlformats-officedocument.wordprocessingml.header+xml"/>
  <Override PartName="/docProps/core.xml" ContentType="application/vnd.openxmlformats-package.core-properties+xml"/>
  <Override PartName="/word/header1.xml" ContentType="application/vnd.openxmlformats-officedocument.wordprocessingml.header+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upplementaryMaterial"/>
        <w:spacing w:before="240" w:after="120"/>
        <w:rPr/>
      </w:pPr>
      <w:bookmarkStart w:id="0" w:name="_GoBack"/>
      <w:bookmarkEnd w:id="0"/>
      <w:r>
        <w:rPr/>
        <w:t>Supplementary Material</w:t>
      </w:r>
    </w:p>
    <w:p>
      <w:pPr>
        <w:pStyle w:val="Normal"/>
        <w:spacing w:lineRule="auto" w:line="360" w:before="120" w:after="240"/>
        <w:jc w:val="center"/>
        <w:rPr>
          <w:b/>
          <w:b/>
          <w:bCs/>
          <w:i w:val="false"/>
          <w:i w:val="false"/>
          <w:iCs w:val="false"/>
        </w:rPr>
      </w:pPr>
      <w:r>
        <w:rPr>
          <w:rFonts w:cs="Arial"/>
          <w:b/>
          <w:bCs/>
          <w:i w:val="false"/>
          <w:iCs w:val="false"/>
          <w:color w:val="000000"/>
          <w:sz w:val="32"/>
          <w:szCs w:val="32"/>
        </w:rPr>
        <w:t>Optofluidic single-cell genome amplification of E01-9C-26 and other sub-micron bacteria specialized to niches in the ocean subsurface</w:t>
      </w:r>
    </w:p>
    <w:p>
      <w:pPr>
        <w:pStyle w:val="Normal"/>
        <w:spacing w:lineRule="auto" w:line="360"/>
        <w:jc w:val="left"/>
        <w:rPr/>
      </w:pPr>
      <w:r>
        <w:rPr>
          <w:rFonts w:cs="Arial"/>
          <w:b/>
          <w:bCs/>
          <w:position w:val="0"/>
          <w:sz w:val="24"/>
          <w:sz w:val="24"/>
          <w:szCs w:val="24"/>
          <w:vertAlign w:val="baseline"/>
        </w:rPr>
        <w:t>Zachary Landry, Kevin Vergin, Christopher Mannenbach, Stephen Block, Qiao Yang, Paul Blainey, Craig Carlson and Stephen Giovannoni</w:t>
      </w:r>
      <w:r>
        <w:rPr>
          <w:rFonts w:cs="Arial"/>
          <w:b/>
          <w:bCs/>
          <w:sz w:val="24"/>
          <w:szCs w:val="24"/>
          <w:vertAlign w:val="superscript"/>
        </w:rPr>
        <w:t>*</w:t>
      </w:r>
    </w:p>
    <w:p>
      <w:pPr>
        <w:pStyle w:val="Normal"/>
        <w:spacing w:before="240" w:after="0"/>
        <w:rPr/>
      </w:pPr>
      <w:r>
        <w:rPr>
          <w:rFonts w:cs="Times New Roman"/>
          <w:b/>
        </w:rPr>
        <w:t xml:space="preserve">* Correspondence: </w:t>
      </w:r>
      <w:r>
        <w:rPr>
          <w:rFonts w:cs="Times New Roman"/>
          <w:b w:val="false"/>
          <w:bCs w:val="false"/>
        </w:rPr>
        <w:t>Stephen Giovannoni</w:t>
      </w:r>
      <w:r>
        <w:rPr>
          <w:rFonts w:cs="Times New Roman"/>
        </w:rPr>
        <w:t xml:space="preserve">: </w:t>
      </w:r>
      <w:r>
        <w:rPr>
          <w:rFonts w:cs="Times New Roman"/>
          <w:szCs w:val="24"/>
        </w:rPr>
        <w:t>Stephen.Giovannoni@oregonstate.edu</w:t>
      </w:r>
    </w:p>
    <w:p>
      <w:pPr>
        <w:pStyle w:val="Heading1"/>
        <w:numPr>
          <w:ilvl w:val="0"/>
          <w:numId w:val="3"/>
        </w:numPr>
        <w:spacing w:lineRule="auto" w:line="240"/>
        <w:rPr>
          <w:rFonts w:ascii="Times New Roman" w:hAnsi="Times New Roman"/>
          <w:sz w:val="24"/>
          <w:szCs w:val="24"/>
        </w:rPr>
      </w:pPr>
      <w:r>
        <w:rPr>
          <w:rFonts w:ascii="Times New Roman" w:hAnsi="Times New Roman"/>
          <w:sz w:val="24"/>
          <w:szCs w:val="24"/>
        </w:rPr>
        <w:t>Supplementary Methods</w:t>
      </w:r>
    </w:p>
    <w:p>
      <w:pPr>
        <w:pStyle w:val="Heading2"/>
        <w:numPr>
          <w:ilvl w:val="1"/>
          <w:numId w:val="2"/>
        </w:numPr>
        <w:spacing w:lineRule="auto" w:line="240"/>
        <w:rPr>
          <w:rFonts w:ascii="Times New Roman" w:hAnsi="Times New Roman"/>
          <w:sz w:val="24"/>
          <w:szCs w:val="24"/>
        </w:rPr>
      </w:pPr>
      <w:r>
        <w:rPr>
          <w:rFonts w:ascii="Times New Roman" w:hAnsi="Times New Roman"/>
          <w:sz w:val="24"/>
          <w:szCs w:val="24"/>
        </w:rPr>
        <w:t>WGA REACTION CONDITIONS</w:t>
      </w:r>
    </w:p>
    <w:p>
      <w:pPr>
        <w:pStyle w:val="Heading3"/>
        <w:numPr>
          <w:ilvl w:val="2"/>
          <w:numId w:val="2"/>
        </w:numPr>
        <w:spacing w:lineRule="auto" w:line="240"/>
        <w:rPr>
          <w:rFonts w:ascii="Times New Roman" w:hAnsi="Times New Roman"/>
          <w:sz w:val="24"/>
          <w:szCs w:val="24"/>
        </w:rPr>
      </w:pPr>
      <w:r>
        <w:rPr>
          <w:rFonts w:cs="Arial"/>
          <w:b/>
          <w:bCs/>
          <w:sz w:val="24"/>
          <w:szCs w:val="24"/>
        </w:rPr>
        <w:t>07/30/2013, 08/06/2013 (Protocol 1):</w:t>
      </w:r>
      <w:r>
        <w:rPr>
          <w:rFonts w:cs="Arial"/>
          <w:sz w:val="24"/>
          <w:szCs w:val="24"/>
        </w:rPr>
        <w:t xml:space="preserve"> </w:t>
      </w:r>
    </w:p>
    <w:p>
      <w:pPr>
        <w:pStyle w:val="Normal"/>
        <w:spacing w:lineRule="auto" w:line="240"/>
        <w:ind w:left="0" w:right="0" w:firstLine="720"/>
        <w:rPr>
          <w:rFonts w:ascii="Times New Roman" w:hAnsi="Times New Roman"/>
          <w:sz w:val="24"/>
          <w:szCs w:val="24"/>
        </w:rPr>
      </w:pPr>
      <w:r>
        <w:rPr>
          <w:rFonts w:cs="Arial"/>
          <w:sz w:val="24"/>
          <w:szCs w:val="24"/>
        </w:rPr>
        <w:t>The sample sorted was a concentrated cell suspension from the 03/10/2011 cruise, taken from 250 m depth. The lysis solution consisted of a 30 µl aliquot of Qiagen Repli-G Midi kit buffer DLB amended with 3.5 µl of 50% Tween-20 and 3.5 µl dithiothreitol (DTT). The neutralization solution used was the “Stop” solution included with the Qiagen Repli-G Midi kit.  Recovery solution consisted of a 1 ml aliquot of 20 mM Tris-HCL PH 8.0/1 mM EDTA amended with 2 µl 10% Tween-20.  Reaction solution consisted of 29 µl of 1x Qiagen Repli-G Midi Buffer amended with 10 µl 20 mg/ml BSA, 10 µl 25% glycerol, 1.5 µl of Eva Green dsDNA stain, and 0.5 µl 0.75 M DTT solution.  2 µl of DNA polymerase was added to reaction mixture after UV treatment.</w:t>
      </w:r>
    </w:p>
    <w:p>
      <w:pPr>
        <w:pStyle w:val="Heading3"/>
        <w:numPr>
          <w:ilvl w:val="2"/>
          <w:numId w:val="2"/>
        </w:numPr>
        <w:spacing w:lineRule="auto" w:line="240"/>
        <w:rPr>
          <w:rFonts w:ascii="Times New Roman" w:hAnsi="Times New Roman"/>
          <w:sz w:val="24"/>
          <w:szCs w:val="24"/>
        </w:rPr>
      </w:pPr>
      <w:r>
        <w:rPr>
          <w:rFonts w:cs="Arial"/>
          <w:b/>
          <w:bCs/>
          <w:sz w:val="24"/>
          <w:szCs w:val="24"/>
        </w:rPr>
        <w:t>08/05/2014, 11/21/2014 (Protocol 2)</w:t>
      </w:r>
      <w:r>
        <w:rPr>
          <w:rFonts w:cs="Arial"/>
          <w:sz w:val="24"/>
          <w:szCs w:val="24"/>
        </w:rPr>
        <w:t xml:space="preserve">: </w:t>
      </w:r>
    </w:p>
    <w:p>
      <w:pPr>
        <w:pStyle w:val="Normal"/>
        <w:spacing w:lineRule="auto" w:line="240"/>
        <w:ind w:left="0" w:right="0" w:firstLine="720"/>
        <w:rPr>
          <w:rFonts w:ascii="Times New Roman" w:hAnsi="Times New Roman"/>
          <w:sz w:val="24"/>
          <w:szCs w:val="24"/>
        </w:rPr>
      </w:pPr>
      <w:r>
        <w:rPr>
          <w:rFonts w:cs="Arial"/>
          <w:sz w:val="24"/>
          <w:szCs w:val="24"/>
        </w:rPr>
        <w:t xml:space="preserve">The sample sorted was a concentrated cell suspension from the 03/10/2011 cruise, taken from 250 m depth. The lysis solution consisted of a 30 µl aliquot of Qiagen Repli-G Midi kit buffer DLB amended with 3 µl non-UV-treated DTT, added following UV treatment of the DLB solution but prior to injection of the DLB solution into the microflidics device. The neutralization solution used was the “Stop” solution included with the Qiagen Repli-G Midi kit.   Reaction solution consisted of 29 µl of 1x Qiagen Repli-G Single-Cell Buffer amended with 10 µl 20 mg/ml BSA, 10 µl 25% glycerol and 2 µl Eva Green dsDNA stain.  2 µl of DNA polymerase was added to reaction mixture after UV treatment.  Recovery solution consisted of a 1 ml aliquot of 10 mM Tris-HCL PH 8.0/1 mM EDTA amended with 2 µl 10% Tween-20. </w:t>
      </w:r>
    </w:p>
    <w:p>
      <w:pPr>
        <w:pStyle w:val="Heading3"/>
        <w:numPr>
          <w:ilvl w:val="2"/>
          <w:numId w:val="2"/>
        </w:numPr>
        <w:spacing w:lineRule="auto" w:line="240"/>
        <w:rPr>
          <w:rFonts w:ascii="Times New Roman" w:hAnsi="Times New Roman"/>
          <w:sz w:val="24"/>
          <w:szCs w:val="24"/>
        </w:rPr>
      </w:pPr>
      <w:r>
        <w:rPr>
          <w:rFonts w:cs="Arial"/>
          <w:b/>
          <w:bCs/>
          <w:sz w:val="24"/>
          <w:szCs w:val="24"/>
        </w:rPr>
        <w:t>09/18/2015 (Protocol 3)</w:t>
      </w:r>
      <w:r>
        <w:rPr>
          <w:rFonts w:cs="Arial"/>
          <w:sz w:val="24"/>
          <w:szCs w:val="24"/>
        </w:rPr>
        <w:t xml:space="preserve">: </w:t>
      </w:r>
    </w:p>
    <w:p>
      <w:pPr>
        <w:pStyle w:val="Normal"/>
        <w:spacing w:lineRule="auto" w:line="240"/>
        <w:ind w:left="0" w:right="0" w:firstLine="720"/>
        <w:rPr>
          <w:rFonts w:ascii="Times New Roman" w:hAnsi="Times New Roman"/>
          <w:sz w:val="24"/>
          <w:szCs w:val="24"/>
        </w:rPr>
      </w:pPr>
      <w:r>
        <w:rPr>
          <w:rFonts w:cs="Arial"/>
          <w:sz w:val="24"/>
          <w:szCs w:val="24"/>
        </w:rPr>
        <w:t xml:space="preserve">The sample sorted was a concentrated cell suspension from the 07/02/2015 cruise, taken from 20 m depth. The lysis solution consisted of 0.4 N cold KOH with 100 mM DTT added following UV treatment.  The neutralization solution consisted of 400 mM HCL added into a solution of 400 mM Tris-HCL (PH 8.0 before addition).  Reaction solution consisted of Epicentre RepliPhi buffer, 500 µM phosphorthioated random hexamer, 5% glycerol, 5 mM DTT, 2 mg/ml BSA, 1x Eva Green dsDNA stain, and 20 U/µl Epicentre RepliPhi Phi29 phage polymerase.  DTT added to lysis solution, Eva Green Stain and Phi29 Polymerase were exempted from UV treatment.  Recovery solution consisted of a 1 ml aliquot of 10 mM Tris-HCL PH 8.0/1 mM EDTA amended with 2 µl 10% Tween-20. </w:t>
      </w:r>
    </w:p>
    <w:p>
      <w:pPr>
        <w:pStyle w:val="Heading3"/>
        <w:numPr>
          <w:ilvl w:val="2"/>
          <w:numId w:val="2"/>
        </w:numPr>
        <w:spacing w:lineRule="auto" w:line="240"/>
        <w:rPr>
          <w:rFonts w:ascii="Times New Roman" w:hAnsi="Times New Roman"/>
          <w:sz w:val="24"/>
          <w:szCs w:val="24"/>
        </w:rPr>
      </w:pPr>
      <w:r>
        <w:rPr>
          <w:rFonts w:cs="Arial"/>
          <w:b/>
          <w:bCs/>
          <w:sz w:val="24"/>
          <w:szCs w:val="24"/>
        </w:rPr>
        <w:t>11/17/2015, 12/03/2015 (Protocol 4)</w:t>
      </w:r>
      <w:r>
        <w:rPr>
          <w:rFonts w:cs="Arial"/>
          <w:sz w:val="24"/>
          <w:szCs w:val="24"/>
        </w:rPr>
        <w:t xml:space="preserve">: </w:t>
      </w:r>
    </w:p>
    <w:p>
      <w:pPr>
        <w:pStyle w:val="Normal"/>
        <w:spacing w:lineRule="auto" w:line="240"/>
        <w:ind w:left="0" w:right="0" w:firstLine="720"/>
        <w:rPr>
          <w:rFonts w:ascii="Times New Roman" w:hAnsi="Times New Roman"/>
          <w:sz w:val="24"/>
          <w:szCs w:val="24"/>
        </w:rPr>
      </w:pPr>
      <w:r>
        <w:rPr>
          <w:rFonts w:cs="Arial"/>
          <w:sz w:val="24"/>
          <w:szCs w:val="24"/>
        </w:rPr>
        <w:t>The sample sorted was a concentrated cell suspension from collected from 20 m depth on 07/02/2015 cruise. The lysis solution consisted of 0.5 N cold KOH with 100 mM added following UV treatment.  The neutralization solution consisted of 400 mM HCL added into a solution of 400 mM Tris-HCL (PH 8.0 before addition).  Reaction solution consisted of 50 mM Tris-HCL PH 8.0, 50 mM KCL, 5 mM NH</w:t>
      </w:r>
      <w:r>
        <w:rPr>
          <w:rFonts w:cs="Arial"/>
          <w:sz w:val="24"/>
          <w:szCs w:val="24"/>
          <w:vertAlign w:val="subscript"/>
        </w:rPr>
        <w:t>4</w:t>
      </w:r>
      <w:r>
        <w:rPr>
          <w:rFonts w:cs="Arial"/>
          <w:sz w:val="24"/>
          <w:szCs w:val="24"/>
        </w:rPr>
        <w:t>SO</w:t>
      </w:r>
      <w:r>
        <w:rPr>
          <w:rFonts w:cs="Arial"/>
          <w:sz w:val="24"/>
          <w:szCs w:val="24"/>
          <w:vertAlign w:val="subscript"/>
        </w:rPr>
        <w:t>4</w:t>
      </w:r>
      <w:r>
        <w:rPr>
          <w:rFonts w:cs="Arial"/>
          <w:sz w:val="24"/>
          <w:szCs w:val="24"/>
        </w:rPr>
        <w:t>, 10 mM MgCl</w:t>
      </w:r>
      <w:r>
        <w:rPr>
          <w:rFonts w:cs="Arial"/>
          <w:sz w:val="24"/>
          <w:szCs w:val="24"/>
          <w:vertAlign w:val="subscript"/>
        </w:rPr>
        <w:t>2</w:t>
      </w:r>
      <w:r>
        <w:rPr>
          <w:rFonts w:cs="Arial"/>
          <w:sz w:val="24"/>
          <w:szCs w:val="24"/>
        </w:rPr>
        <w:t xml:space="preserve">, 500 µM phosphorthioated random hexamer, 5% glycerol, 20 mM DTT, 0.5 mg/ml BSA, 150 mM trehalose, 0.01% NP-40, 1x Eva Green dsDNA stain, and 20 U/µl Epicentre RepliPhi Phi29 phage polymerase.  DTT added to lysis solution, Eva Green dsDNA stain, and Phi29 polymerase were exempted from UV treatment.  Recovery solution consisted of a 1 ml aliquot of 10 mM Tris-HCL PH 8.0/1 mM EDTA amended with 2 µl 10% Tween-20. </w:t>
      </w:r>
    </w:p>
    <w:p>
      <w:pPr>
        <w:pStyle w:val="Heading3"/>
        <w:numPr>
          <w:ilvl w:val="2"/>
          <w:numId w:val="2"/>
        </w:numPr>
        <w:spacing w:lineRule="auto" w:line="240"/>
        <w:rPr>
          <w:rFonts w:ascii="Times New Roman" w:hAnsi="Times New Roman"/>
          <w:sz w:val="24"/>
          <w:szCs w:val="24"/>
        </w:rPr>
      </w:pPr>
      <w:r>
        <w:rPr>
          <w:sz w:val="24"/>
          <w:szCs w:val="24"/>
        </w:rPr>
        <w:t xml:space="preserve">Evaluation of methods. </w:t>
      </w:r>
    </w:p>
    <w:p>
      <w:pPr>
        <w:pStyle w:val="Normal"/>
        <w:spacing w:lineRule="auto" w:line="240"/>
        <w:ind w:left="0" w:right="0" w:firstLine="720"/>
        <w:rPr>
          <w:rFonts w:ascii="Times New Roman" w:hAnsi="Times New Roman"/>
          <w:sz w:val="24"/>
          <w:szCs w:val="24"/>
        </w:rPr>
      </w:pPr>
      <w:r>
        <w:rPr>
          <w:rFonts w:cs="Arial"/>
          <w:b w:val="false"/>
          <w:bCs w:val="false"/>
          <w:sz w:val="24"/>
          <w:szCs w:val="24"/>
        </w:rPr>
        <w:t xml:space="preserve">The estimated coverage of genome assemblies from the reaction mixture we repot in the methods was in comparison to the reactions that used the  Qiagen Repli-G reagent set.  Completion estimates were not able to be quantified for 5 of these products and the average completion was 21% for an additional three reactions. Using the Repli-G reagents, two assemblies had  low estimated levels of completion and the average completion estimate was 40% for the other assemblies.  However, a number of the older reactions using Repli-G reagents were sequenced with an average of 2.5x higher raw sequencing coverage than any of the reactions using the most recent chemistry. It is possible that the coverage biases inherent in MDA reactions might greatly affect the outcome of the final assemblies.  Without the highly sequenced assemblies our average estimated coverage is 33%.  </w:t>
      </w:r>
    </w:p>
    <w:p>
      <w:pPr>
        <w:pStyle w:val="Normal"/>
        <w:spacing w:lineRule="auto" w:line="240"/>
        <w:ind w:left="0" w:right="0" w:firstLine="720"/>
        <w:rPr>
          <w:rFonts w:ascii="Times New Roman" w:hAnsi="Times New Roman"/>
          <w:sz w:val="24"/>
          <w:szCs w:val="24"/>
        </w:rPr>
      </w:pPr>
      <w:r>
        <w:rPr>
          <w:rFonts w:cs="Arial"/>
          <w:b w:val="false"/>
          <w:bCs w:val="false"/>
          <w:sz w:val="24"/>
          <w:szCs w:val="24"/>
        </w:rPr>
        <w:t>The success  of single cell genome amplifications with the in-house reaction formula, which can be seen in the three successful sort dates of wild-type marine cells that took place within a relatively short period of time.  This is in contrast to amplifications using the Repli-G reagents, which proved difficult to optimize for microfluidics due to their unknown composition. The consistency of the known reaction mixture is a remarkable success, despite possible shortfalls in coverage, as it allows for continuing optimization of emerging microfluidic technology.</w:t>
      </w:r>
    </w:p>
    <w:p>
      <w:pPr>
        <w:pStyle w:val="Heading2"/>
        <w:numPr>
          <w:ilvl w:val="1"/>
          <w:numId w:val="2"/>
        </w:numPr>
        <w:spacing w:lineRule="auto" w:line="240"/>
        <w:rPr>
          <w:rFonts w:ascii="Times New Roman" w:hAnsi="Times New Roman"/>
          <w:sz w:val="24"/>
          <w:szCs w:val="24"/>
        </w:rPr>
      </w:pPr>
      <w:r>
        <w:rPr>
          <w:rFonts w:ascii="Times New Roman" w:hAnsi="Times New Roman"/>
          <w:sz w:val="24"/>
          <w:szCs w:val="24"/>
        </w:rPr>
        <w:t>QPCR SCREENING</w:t>
      </w:r>
    </w:p>
    <w:p>
      <w:pPr>
        <w:pStyle w:val="Heading3"/>
        <w:numPr>
          <w:ilvl w:val="2"/>
          <w:numId w:val="2"/>
        </w:numPr>
        <w:spacing w:lineRule="auto" w:line="240"/>
        <w:rPr>
          <w:rFonts w:ascii="Times New Roman" w:hAnsi="Times New Roman"/>
          <w:sz w:val="24"/>
          <w:szCs w:val="24"/>
        </w:rPr>
      </w:pPr>
      <w:r>
        <w:rPr>
          <w:rFonts w:cs="Arial"/>
          <w:b/>
          <w:bCs/>
          <w:sz w:val="24"/>
          <w:szCs w:val="24"/>
        </w:rPr>
        <w:t>07/30/2013, 08/06/2013:</w:t>
      </w:r>
      <w:r>
        <w:rPr>
          <w:rFonts w:cs="Arial"/>
          <w:sz w:val="24"/>
          <w:szCs w:val="24"/>
        </w:rPr>
        <w:t xml:space="preserve"> </w:t>
      </w:r>
    </w:p>
    <w:p>
      <w:pPr>
        <w:pStyle w:val="Normal"/>
        <w:spacing w:lineRule="auto" w:line="240"/>
        <w:ind w:left="0" w:right="0" w:firstLine="720"/>
        <w:rPr>
          <w:rFonts w:ascii="Times New Roman" w:hAnsi="Times New Roman"/>
          <w:sz w:val="24"/>
          <w:szCs w:val="24"/>
        </w:rPr>
      </w:pPr>
      <w:r>
        <w:rPr>
          <w:rFonts w:cs="Arial"/>
          <w:sz w:val="24"/>
          <w:szCs w:val="24"/>
        </w:rPr>
        <w:t xml:space="preserve">QPCR was performed using an ABI 7300 machine with 27FB and 338RPL primers (27F 5'-AGA GTT TGA TCM TGG CTC AG-3'; 338RPL: 5'-GCW GCC WCC CGT AGG WGT-3') </w:t>
      </w:r>
      <w:bookmarkStart w:id="1" w:name="ZOTERO_BREF_LMRTQJsfT0xr1"/>
      <w:r>
        <w:rPr>
          <w:rFonts w:cs="Arial"/>
          <w:sz w:val="24"/>
          <w:szCs w:val="24"/>
        </w:rPr>
        <w:t>(Carlson et al., 2004)</w:t>
      </w:r>
      <w:bookmarkEnd w:id="1"/>
      <w:r>
        <w:rPr>
          <w:rFonts w:cs="Arial"/>
          <w:sz w:val="24"/>
          <w:szCs w:val="24"/>
        </w:rPr>
        <w:t>. A concentration of 300 nM of each primer was used.  Cycling conditions were as follows: 1 cycle of 2:00 @ 50 °C, 5:00 @ 95 °C; 60 cycles of 0:10 @ 94 °C, 0:30 @ 59 °C followed by a disassociation stage from 60 °C to 95 °C.  2 sets of 8 standards were used with concentrations spanning the range of 1x10^1 – 1x10^8 cp/µl.  A detection threshold of 1000 cp/µl in the template was used for positive reactions.</w:t>
      </w:r>
    </w:p>
    <w:p>
      <w:pPr>
        <w:pStyle w:val="Heading3"/>
        <w:numPr>
          <w:ilvl w:val="2"/>
          <w:numId w:val="2"/>
        </w:numPr>
        <w:spacing w:lineRule="auto" w:line="240"/>
        <w:rPr>
          <w:rFonts w:ascii="Times New Roman" w:hAnsi="Times New Roman"/>
          <w:sz w:val="24"/>
          <w:szCs w:val="24"/>
        </w:rPr>
      </w:pPr>
      <w:r>
        <w:rPr>
          <w:sz w:val="24"/>
          <w:szCs w:val="24"/>
        </w:rPr>
        <w:t xml:space="preserve">08/05/2014, 11/21/2014: </w:t>
      </w:r>
    </w:p>
    <w:p>
      <w:pPr>
        <w:pStyle w:val="Normal"/>
        <w:spacing w:lineRule="auto" w:line="240"/>
        <w:ind w:left="0" w:right="0" w:firstLine="720"/>
        <w:rPr>
          <w:rFonts w:ascii="Times New Roman" w:hAnsi="Times New Roman"/>
          <w:sz w:val="24"/>
          <w:szCs w:val="24"/>
        </w:rPr>
      </w:pPr>
      <w:r>
        <w:rPr>
          <w:rFonts w:cs="Arial"/>
          <w:sz w:val="24"/>
          <w:szCs w:val="24"/>
        </w:rPr>
        <w:t>QPCR was performed using a Roche 480 LightCycler machine with M13F- and M13R-ligated 515F and 806R primers (</w:t>
      </w:r>
      <w:r>
        <w:rPr>
          <w:rFonts w:cs="Arial"/>
          <w:color w:val="000000"/>
          <w:sz w:val="24"/>
          <w:szCs w:val="24"/>
        </w:rPr>
        <w:t xml:space="preserve">M13F-515F:  5'-TGT AAA ACG ACG GCC AGT GTG CCA GCM GCC GCG GTA A-3'; M13R-806R: 5'-CAG GAA ACA GCT ATG ACC GGA CTA CHV GGG TWT CTA AT-3') </w:t>
      </w:r>
      <w:bookmarkStart w:id="2" w:name="ZOTERO_BREF_CZZkVhUZf8fl1"/>
      <w:r>
        <w:rPr>
          <w:rFonts w:cs="Arial"/>
          <w:color w:val="000000"/>
          <w:sz w:val="24"/>
          <w:szCs w:val="24"/>
        </w:rPr>
        <w:t>(Caporaso et al., 2010)</w:t>
      </w:r>
      <w:bookmarkEnd w:id="2"/>
      <w:r>
        <w:rPr>
          <w:rFonts w:cs="Arial"/>
          <w:sz w:val="24"/>
          <w:szCs w:val="24"/>
        </w:rPr>
        <w:t>.  A concentration of 300 nM of each primer was used.  Cycling conditions were as follows: 1 cycle of 2:00 @ 50 °C, 5:00 @ 95 °C; 50 cycles of 0:15 @ 95 °C, 0:30 @ 58 °C, 0:45 @ 72 °C; 1 cycle of 5:00 @ 72 °C; followed by a disassociation stage from 60 °C to 95 °C.  3 sets of 8 standards were used with concentrations spanning the range of 1x10^2 – 1x10^9 cp/µl.  A detection threshold of 1000 cp/µl in the template was used for positive reactions.</w:t>
      </w:r>
    </w:p>
    <w:p>
      <w:pPr>
        <w:pStyle w:val="Heading3"/>
        <w:numPr>
          <w:ilvl w:val="2"/>
          <w:numId w:val="2"/>
        </w:numPr>
        <w:spacing w:lineRule="auto" w:line="240"/>
        <w:rPr>
          <w:rFonts w:ascii="Times New Roman" w:hAnsi="Times New Roman"/>
          <w:sz w:val="24"/>
          <w:szCs w:val="24"/>
        </w:rPr>
      </w:pPr>
      <w:r>
        <w:rPr>
          <w:rFonts w:cs="Arial"/>
          <w:b/>
          <w:bCs/>
          <w:sz w:val="24"/>
          <w:szCs w:val="24"/>
        </w:rPr>
        <w:t>09/18/2015, 1/17/2015</w:t>
      </w:r>
      <w:r>
        <w:rPr>
          <w:rFonts w:cs="Arial"/>
          <w:sz w:val="24"/>
          <w:szCs w:val="24"/>
        </w:rPr>
        <w:t>,</w:t>
      </w:r>
      <w:r>
        <w:rPr>
          <w:rFonts w:cs="Arial"/>
          <w:b/>
          <w:bCs/>
          <w:sz w:val="24"/>
          <w:szCs w:val="24"/>
        </w:rPr>
        <w:t xml:space="preserve"> 12/03/2015:</w:t>
      </w:r>
      <w:r>
        <w:rPr>
          <w:rFonts w:cs="Arial"/>
          <w:sz w:val="24"/>
          <w:szCs w:val="24"/>
        </w:rPr>
        <w:t xml:space="preserve"> </w:t>
      </w:r>
    </w:p>
    <w:p>
      <w:pPr>
        <w:pStyle w:val="Normal"/>
        <w:spacing w:lineRule="auto" w:line="240" w:before="120" w:after="240"/>
        <w:ind w:left="0" w:right="0" w:firstLine="720"/>
        <w:rPr/>
      </w:pPr>
      <w:r>
        <w:rPr>
          <w:rFonts w:cs="Arial"/>
          <w:sz w:val="24"/>
          <w:szCs w:val="24"/>
        </w:rPr>
        <w:t>QPCR was performed using an ABI 7500 Fast machine with M13F- and M13R-ligated 515F and 806RB primers (M13F-515F: 5'-TGT AAA ACG GCC AGT GTG CCA GCM GCC GCG GTA A-3'; M13R-806RB: 5'-CAG GAA ACA GCT ATG ACC GGA CTA CNV GGG TWT CTA AT-3') (Apprill et al., 2015).  A concentration of 333 nM of each primer was used.  Cycling conditions were as follows: 1 cycle of 1:00 @ 50 °C, 2:00 @ 95 °C; 50 cycles of 0:15 @ 95 °C, 0:30 @ 58 °C, 0:45 @ 72 °C; 1 cycle of 5:00 @ 72 °C; followed by a disassociation stage from 60 °C to 95 °C.  3 sets of 6 standards were used with concentrations spanning the range of 1x10^2 – 1x10^7 cp/µl.  A detection threshold of 100 cp/µl in the template was used for positive reactions.</w:t>
      </w:r>
    </w:p>
    <w:sectPr>
      <w:headerReference w:type="even" r:id="rId2"/>
      <w:headerReference w:type="default" r:id="rId3"/>
      <w:headerReference w:type="first" r:id="rId4"/>
      <w:footerReference w:type="even" r:id="rId5"/>
      <w:footerReference w:type="default" r:id="rId6"/>
      <w:type w:val="nextPage"/>
      <w:pgSz w:w="12240" w:h="15840"/>
      <w:pgMar w:left="1282" w:right="1181" w:header="720" w:top="1138" w:footer="720" w:bottom="1138"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240"/>
      <w:rPr>
        <w:color w:val="C00000"/>
        <w:szCs w:val="24"/>
      </w:rPr>
    </w:pPr>
    <w:r>
      <w:rPr>
        <w:color w:val="C00000"/>
        <w:szCs w:val="24"/>
      </w:rPr>
      <mc:AlternateContent>
        <mc:Choice Requires="wps">
          <w:drawing>
            <wp:anchor behindDoc="1" distT="0" distB="0" distL="114300" distR="114300" simplePos="0" locked="0" layoutInCell="1" allowOverlap="1" relativeHeight="3" wp14:anchorId="5E1E7D00">
              <wp:simplePos x="0" y="0"/>
              <wp:positionH relativeFrom="margin">
                <wp:align>right</wp:align>
              </wp:positionH>
              <wp:positionV relativeFrom="paragraph">
                <wp:posOffset>635</wp:posOffset>
              </wp:positionV>
              <wp:extent cx="1510030" cy="433705"/>
              <wp:effectExtent l="0" t="0" r="0" b="0"/>
              <wp:wrapNone/>
              <wp:docPr id="2" name="Text Box 1"/>
              <a:graphic xmlns:a="http://schemas.openxmlformats.org/drawingml/2006/main">
                <a:graphicData uri="http://schemas.microsoft.com/office/word/2010/wordprocessingShape">
                  <wps:wsp>
                    <wps:cNvSpPr/>
                    <wps:spPr>
                      <a:xfrm>
                        <a:off x="0" y="0"/>
                        <a:ext cx="1509480" cy="433080"/>
                      </a:xfrm>
                      <a:prstGeom prst="rect">
                        <a:avLst/>
                      </a:prstGeom>
                      <a:noFill/>
                      <a:ln w="6480">
                        <a:noFill/>
                      </a:ln>
                    </wps:spPr>
                    <wps:style>
                      <a:lnRef idx="0"/>
                      <a:fillRef idx="0"/>
                      <a:effectRef idx="0"/>
                      <a:fontRef idx="minor"/>
                    </wps:style>
                    <wps:txbx>
                      <w:txbxContent>
                        <w:p>
                          <w:pPr>
                            <w:pStyle w:val="FrameContents"/>
                            <w:spacing w:before="120" w:after="240"/>
                            <w:jc w:val="right"/>
                            <w:rPr>
                              <w:color w:val="000000"/>
                            </w:rPr>
                          </w:pPr>
                          <w:r>
                            <w:rPr>
                              <w:color w:val="000000"/>
                            </w:rPr>
                            <w:fldChar w:fldCharType="begin"/>
                          </w:r>
                          <w:r>
                            <w:instrText> PAGE </w:instrText>
                          </w:r>
                          <w:r>
                            <w:fldChar w:fldCharType="separate"/>
                          </w:r>
                          <w:r>
                            <w:t>2</w:t>
                          </w:r>
                          <w:r>
                            <w:fldChar w:fldCharType="end"/>
                          </w:r>
                        </w:p>
                      </w:txbxContent>
                    </wps:txbx>
                    <wps:bodyPr>
                      <a:prstTxWarp prst="textNoShape"/>
                      <a:spAutoFit/>
                    </wps:bodyPr>
                  </wps:wsp>
                </a:graphicData>
              </a:graphic>
            </wp:anchor>
          </w:drawing>
        </mc:Choice>
        <mc:Fallback>
          <w:pict>
            <v:rect id="shape_0" ID="Text Box 1" stroked="f" style="position:absolute;margin-left:360.95pt;margin-top:0.05pt;width:118.8pt;height:34.05pt;mso-position-horizontal:right;mso-position-horizontal-relative:margin" wp14:anchorId="5E1E7D00">
              <w10:wrap type="square"/>
              <v:fill o:detectmouseclick="t" on="false"/>
              <v:stroke color="#3465a4" weight="6480" joinstyle="round" endcap="flat"/>
              <v:textbox>
                <w:txbxContent>
                  <w:p>
                    <w:pPr>
                      <w:pStyle w:val="FrameContents"/>
                      <w:spacing w:before="120" w:after="240"/>
                      <w:jc w:val="right"/>
                      <w:rPr>
                        <w:color w:val="000000"/>
                      </w:rPr>
                    </w:pPr>
                    <w:r>
                      <w:rPr>
                        <w:color w:val="000000"/>
                      </w:rPr>
                      <w:fldChar w:fldCharType="begin"/>
                    </w:r>
                    <w:r>
                      <w:instrText> PAGE </w:instrText>
                    </w:r>
                    <w:r>
                      <w:fldChar w:fldCharType="separate"/>
                    </w:r>
                    <w:r>
                      <w:t>2</w:t>
                    </w:r>
                    <w:r>
                      <w:fldChar w:fldCharType="end"/>
                    </w:r>
                  </w:p>
                </w:txbxContent>
              </v:textbox>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240"/>
      <w:rPr>
        <w:b/>
        <w:b/>
        <w:sz w:val="20"/>
        <w:szCs w:val="24"/>
      </w:rPr>
    </w:pPr>
    <w:r>
      <w:rPr>
        <w:b/>
        <w:sz w:val="20"/>
        <w:szCs w:val="24"/>
      </w:rPr>
      <mc:AlternateContent>
        <mc:Choice Requires="wps">
          <w:drawing>
            <wp:anchor behindDoc="1" distT="0" distB="0" distL="114300" distR="114300" simplePos="0" locked="0" layoutInCell="1" allowOverlap="1" relativeHeight="2" wp14:anchorId="7866BCF3">
              <wp:simplePos x="0" y="0"/>
              <wp:positionH relativeFrom="margin">
                <wp:align>right</wp:align>
              </wp:positionH>
              <wp:positionV relativeFrom="paragraph">
                <wp:posOffset>635</wp:posOffset>
              </wp:positionV>
              <wp:extent cx="1510030" cy="433705"/>
              <wp:effectExtent l="0" t="0" r="0" b="0"/>
              <wp:wrapNone/>
              <wp:docPr id="4" name="Text Box 56"/>
              <a:graphic xmlns:a="http://schemas.openxmlformats.org/drawingml/2006/main">
                <a:graphicData uri="http://schemas.microsoft.com/office/word/2010/wordprocessingShape">
                  <wps:wsp>
                    <wps:cNvSpPr/>
                    <wps:spPr>
                      <a:xfrm>
                        <a:off x="0" y="0"/>
                        <a:ext cx="1509480" cy="433080"/>
                      </a:xfrm>
                      <a:prstGeom prst="rect">
                        <a:avLst/>
                      </a:prstGeom>
                      <a:noFill/>
                      <a:ln w="6480">
                        <a:noFill/>
                      </a:ln>
                    </wps:spPr>
                    <wps:style>
                      <a:lnRef idx="0"/>
                      <a:fillRef idx="0"/>
                      <a:effectRef idx="0"/>
                      <a:fontRef idx="minor"/>
                    </wps:style>
                    <wps:txbx>
                      <w:txbxContent>
                        <w:p>
                          <w:pPr>
                            <w:pStyle w:val="FrameContents"/>
                            <w:spacing w:before="120" w:after="240"/>
                            <w:jc w:val="right"/>
                            <w:rPr>
                              <w:color w:val="000000"/>
                            </w:rPr>
                          </w:pPr>
                          <w:r>
                            <w:rPr>
                              <w:color w:val="000000"/>
                            </w:rPr>
                            <w:fldChar w:fldCharType="begin"/>
                          </w:r>
                          <w:r>
                            <w:instrText> PAGE </w:instrText>
                          </w:r>
                          <w:r>
                            <w:fldChar w:fldCharType="separate"/>
                          </w:r>
                          <w:r>
                            <w:t>3</w:t>
                          </w:r>
                          <w:r>
                            <w:fldChar w:fldCharType="end"/>
                          </w:r>
                        </w:p>
                      </w:txbxContent>
                    </wps:txbx>
                    <wps:bodyPr>
                      <a:prstTxWarp prst="textNoShape"/>
                      <a:spAutoFit/>
                    </wps:bodyPr>
                  </wps:wsp>
                </a:graphicData>
              </a:graphic>
            </wp:anchor>
          </w:drawing>
        </mc:Choice>
        <mc:Fallback>
          <w:pict>
            <v:rect id="shape_0" ID="Text Box 56" stroked="f" style="position:absolute;margin-left:360.95pt;margin-top:0.05pt;width:118.8pt;height:34.05pt;mso-position-horizontal:right;mso-position-horizontal-relative:margin" wp14:anchorId="7866BCF3">
              <w10:wrap type="square"/>
              <v:fill o:detectmouseclick="t" on="false"/>
              <v:stroke color="#3465a4" weight="6480" joinstyle="round" endcap="flat"/>
              <v:textbox>
                <w:txbxContent>
                  <w:p>
                    <w:pPr>
                      <w:pStyle w:val="FrameContents"/>
                      <w:spacing w:before="120" w:after="240"/>
                      <w:jc w:val="right"/>
                      <w:rPr>
                        <w:color w:val="000000"/>
                      </w:rPr>
                    </w:pPr>
                    <w:r>
                      <w:rPr>
                        <w:color w:val="000000"/>
                      </w:rPr>
                      <w:fldChar w:fldCharType="begin"/>
                    </w:r>
                    <w:r>
                      <w:instrText> PAGE </w:instrText>
                    </w:r>
                    <w:r>
                      <w:fldChar w:fldCharType="separate"/>
                    </w:r>
                    <w:r>
                      <w:t>3</w:t>
                    </w:r>
                    <w:r>
                      <w:fldChar w:fldCharType="end"/>
                    </w:r>
                  </w:p>
                </w:txbxContent>
              </v:textbox>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120" w:after="240"/>
      <w:jc w:val="right"/>
      <w:rPr/>
    </w:pPr>
    <w:r>
      <w:rPr>
        <w:rFonts w:cs="Times New Roman"/>
      </w:rPr>
      <w:tab/>
      <w:tab/>
      <w:t>Supplementary Material</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center" w:pos="4844" w:leader="none"/>
        <w:tab w:val="right" w:pos="9689" w:leader="none"/>
      </w:tabs>
      <w:spacing w:before="120" w:after="24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bidi w:val="0"/>
      <w:spacing w:lineRule="auto" w:line="240" w:before="120" w:after="240"/>
      <w:jc w:val="left"/>
      <w:rPr/>
    </w:pPr>
    <w:r>
      <w:rPr/>
      <w:drawing>
        <wp:inline distT="0" distB="0" distL="0" distR="0">
          <wp:extent cx="1382395" cy="497205"/>
          <wp:effectExtent l="0" t="0" r="0" b="0"/>
          <wp:docPr id="1"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stretch>
                    <a:fillRect/>
                  </a:stretch>
                </pic:blipFill>
                <pic:spPr bwMode="auto">
                  <a:xfrm>
                    <a:off x="0" y="0"/>
                    <a:ext cx="1382395" cy="497205"/>
                  </a:xfrm>
                  <a:prstGeom prst="rect">
                    <a:avLst/>
                  </a:prstGeom>
                </pic:spPr>
              </pic:pic>
            </a:graphicData>
          </a:graphic>
        </wp:inline>
      </w:drawing>
    </w:r>
    <w:r>
      <w:rPr>
        <w:b/>
      </w:rPr>
      <w:tab/>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567"/>
        </w:tabs>
        <w:ind w:left="567" w:hanging="567"/>
      </w:pPr>
    </w:lvl>
    <w:lvl w:ilvl="1">
      <w:start w:val="1"/>
      <w:pStyle w:val="Heading2"/>
      <w:numFmt w:val="decimal"/>
      <w:lvlText w:val="%1.%2"/>
      <w:lvlJc w:val="left"/>
      <w:pPr>
        <w:tabs>
          <w:tab w:val="num" w:pos="567"/>
        </w:tabs>
        <w:ind w:left="567" w:hanging="567"/>
      </w:pPr>
    </w:lvl>
    <w:lvl w:ilvl="2">
      <w:start w:val="1"/>
      <w:pStyle w:val="Heading3"/>
      <w:numFmt w:val="decimal"/>
      <w:lvlText w:val="%1.%2.%3"/>
      <w:lvlJc w:val="left"/>
      <w:pPr>
        <w:tabs>
          <w:tab w:val="num" w:pos="567"/>
        </w:tabs>
        <w:ind w:left="567" w:hanging="567"/>
      </w:pPr>
    </w:lvl>
    <w:lvl w:ilvl="3">
      <w:start w:val="1"/>
      <w:pStyle w:val="Heading4"/>
      <w:numFmt w:val="decimal"/>
      <w:lvlText w:val="%1.%2.%3.%4"/>
      <w:lvlJc w:val="left"/>
      <w:pPr>
        <w:tabs>
          <w:tab w:val="num" w:pos="567"/>
        </w:tabs>
        <w:ind w:left="567" w:hanging="567"/>
      </w:pPr>
    </w:lvl>
    <w:lvl w:ilvl="4">
      <w:start w:val="1"/>
      <w:pStyle w:val="Heading5"/>
      <w:numFmt w:val="decimal"/>
      <w:lvlText w:val="%1.%2.%3.%4.%5"/>
      <w:lvlJc w:val="left"/>
      <w:pPr>
        <w:tabs>
          <w:tab w:val="num" w:pos="567"/>
        </w:tabs>
        <w:ind w:left="567" w:hanging="567"/>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567"/>
        </w:tabs>
        <w:ind w:left="567" w:hanging="567"/>
      </w:pPr>
    </w:lvl>
    <w:lvl w:ilvl="4">
      <w:start w:val="1"/>
      <w:numFmt w:val="decimal"/>
      <w:lvlText w:val="%1.%2.%3.%4.%5"/>
      <w:lvlJc w:val="left"/>
      <w:pPr>
        <w:tabs>
          <w:tab w:val="num" w:pos="567"/>
        </w:tabs>
        <w:ind w:left="567" w:hanging="567"/>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decimal"/>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decimal"/>
      <w:lvlText w:val="%1.%2.%3"/>
      <w:lvlJc w:val="left"/>
      <w:pPr>
        <w:tabs>
          <w:tab w:val="num" w:pos="567"/>
        </w:tabs>
        <w:ind w:left="567" w:hanging="567"/>
      </w:pPr>
    </w:lvl>
    <w:lvl w:ilvl="3">
      <w:start w:val="1"/>
      <w:numFmt w:val="decimal"/>
      <w:lvlText w:val="%1.%2.%3.%4"/>
      <w:lvlJc w:val="left"/>
      <w:pPr>
        <w:tabs>
          <w:tab w:val="num" w:pos="567"/>
        </w:tabs>
        <w:ind w:left="567" w:hanging="567"/>
      </w:pPr>
    </w:lvl>
    <w:lvl w:ilvl="4">
      <w:start w:val="1"/>
      <w:numFmt w:val="decimal"/>
      <w:lvlText w:val="%1.%2.%3.%4.%5"/>
      <w:lvlJc w:val="left"/>
      <w:pPr>
        <w:tabs>
          <w:tab w:val="num" w:pos="567"/>
        </w:tabs>
        <w:ind w:left="567" w:hanging="567"/>
      </w:pPr>
    </w:lvl>
    <w:lvl w:ilvl="5">
      <w:start w:val="1"/>
      <w:numFmt w:val="lowerRoman"/>
      <w:lvlText w:val="%6."/>
      <w:lvlJc w:val="right"/>
      <w:pPr>
        <w:tabs>
          <w:tab w:val="num" w:pos="567"/>
        </w:tabs>
        <w:ind w:left="567" w:hanging="567"/>
      </w:pPr>
    </w:lvl>
    <w:lvl w:ilvl="6">
      <w:start w:val="1"/>
      <w:numFmt w:val="decimal"/>
      <w:lvlText w:val="%7."/>
      <w:lvlJc w:val="left"/>
      <w:pPr>
        <w:tabs>
          <w:tab w:val="num" w:pos="567"/>
        </w:tabs>
        <w:ind w:left="567" w:hanging="567"/>
      </w:pPr>
    </w:lvl>
    <w:lvl w:ilvl="7">
      <w:start w:val="1"/>
      <w:numFmt w:val="lowerLetter"/>
      <w:lvlText w:val="%8."/>
      <w:lvlJc w:val="left"/>
      <w:pPr>
        <w:tabs>
          <w:tab w:val="num" w:pos="567"/>
        </w:tabs>
        <w:ind w:left="567" w:hanging="567"/>
      </w:pPr>
    </w:lvl>
    <w:lvl w:ilvl="8">
      <w:start w:val="1"/>
      <w:numFmt w:val="lowerRoman"/>
      <w:lvlText w:val="%9."/>
      <w:lvlJc w:val="right"/>
      <w:pPr>
        <w:tabs>
          <w:tab w:val="num" w:pos="567"/>
        </w:tabs>
        <w:ind w:left="567" w:hanging="567"/>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evenAndOddHeader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2" w:qFormat="1"/>
    <w:lsdException w:name="heading 2" w:uiPriority="2" w:semiHidden="1" w:unhideWhenUsed="1" w:qFormat="1"/>
    <w:lsdException w:name="heading 3" w:uiPriority="2" w:semiHidden="1" w:unhideWhenUsed="1" w:qFormat="1"/>
    <w:lsdException w:name="heading 4" w:uiPriority="2" w:semiHidden="1" w:unhideWhenUsed="1" w:qFormat="1"/>
    <w:lsdException w:name="heading 5" w:uiPriority="2"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b6715"/>
    <w:pPr>
      <w:widowControl/>
      <w:bidi w:val="0"/>
      <w:spacing w:lineRule="auto" w:line="240" w:before="120" w:after="240"/>
      <w:jc w:val="left"/>
    </w:pPr>
    <w:rPr>
      <w:rFonts w:ascii="Times New Roman" w:hAnsi="Times New Roman" w:eastAsia="Calibri" w:cs="" w:cstheme="minorBidi" w:eastAsiaTheme="minorHAnsi"/>
      <w:color w:val="00000A"/>
      <w:kern w:val="0"/>
      <w:sz w:val="24"/>
      <w:szCs w:val="22"/>
      <w:lang w:val="en-US" w:eastAsia="en-US" w:bidi="ar-SA"/>
    </w:rPr>
  </w:style>
  <w:style w:type="paragraph" w:styleId="Heading1">
    <w:name w:val="Heading 1"/>
    <w:basedOn w:val="Normal"/>
    <w:next w:val="Normal"/>
    <w:link w:val="Heading1Char"/>
    <w:uiPriority w:val="2"/>
    <w:qFormat/>
    <w:rsid w:val="00ab6715"/>
    <w:pPr>
      <w:widowControl w:val="false"/>
      <w:numPr>
        <w:ilvl w:val="0"/>
        <w:numId w:val="1"/>
      </w:numPr>
      <w:bidi w:val="0"/>
      <w:spacing w:before="240" w:after="0"/>
      <w:jc w:val="left"/>
      <w:outlineLvl w:val="0"/>
    </w:pPr>
    <w:rPr>
      <w:rFonts w:ascii="Calibri" w:hAnsi="Calibri" w:eastAsia="Calibri" w:cs="" w:asciiTheme="minorHAnsi" w:cstheme="minorBidi" w:eastAsiaTheme="minorHAnsi" w:hAnsiTheme="minorHAnsi"/>
      <w:b/>
      <w:color w:val="00000A"/>
      <w:kern w:val="0"/>
      <w:sz w:val="24"/>
      <w:szCs w:val="22"/>
      <w:lang w:val="en-US" w:eastAsia="en-US" w:bidi="ar-SA"/>
    </w:rPr>
  </w:style>
  <w:style w:type="paragraph" w:styleId="Heading2">
    <w:name w:val="Heading 2"/>
    <w:basedOn w:val="Heading1"/>
    <w:next w:val="Normal"/>
    <w:link w:val="Heading2Char"/>
    <w:uiPriority w:val="2"/>
    <w:qFormat/>
    <w:rsid w:val="00ab6715"/>
    <w:pPr>
      <w:numPr>
        <w:ilvl w:val="1"/>
        <w:numId w:val="1"/>
      </w:numPr>
      <w:spacing w:before="240" w:after="200"/>
      <w:outlineLvl w:val="1"/>
    </w:pPr>
    <w:rPr/>
  </w:style>
  <w:style w:type="paragraph" w:styleId="Heading3">
    <w:name w:val="Heading 3"/>
    <w:basedOn w:val="Normal"/>
    <w:next w:val="Normal"/>
    <w:link w:val="Heading3Char"/>
    <w:uiPriority w:val="2"/>
    <w:qFormat/>
    <w:rsid w:val="00ab6715"/>
    <w:pPr>
      <w:keepNext w:val="true"/>
      <w:keepLines/>
      <w:numPr>
        <w:ilvl w:val="2"/>
        <w:numId w:val="1"/>
      </w:numPr>
      <w:spacing w:before="40" w:after="120"/>
      <w:outlineLvl w:val="2"/>
    </w:pPr>
    <w:rPr>
      <w:rFonts w:eastAsia="" w:cs="" w:cstheme="majorBidi" w:eastAsiaTheme="majorEastAsia"/>
      <w:b/>
      <w:szCs w:val="24"/>
    </w:rPr>
  </w:style>
  <w:style w:type="paragraph" w:styleId="Heading4">
    <w:name w:val="Heading 4"/>
    <w:basedOn w:val="Heading3"/>
    <w:next w:val="Normal"/>
    <w:link w:val="Heading4Char"/>
    <w:uiPriority w:val="2"/>
    <w:qFormat/>
    <w:rsid w:val="00ab6715"/>
    <w:pPr>
      <w:numPr>
        <w:ilvl w:val="3"/>
        <w:numId w:val="1"/>
      </w:numPr>
      <w:outlineLvl w:val="3"/>
    </w:pPr>
    <w:rPr>
      <w:iCs/>
    </w:rPr>
  </w:style>
  <w:style w:type="paragraph" w:styleId="Heading5">
    <w:name w:val="Heading 5"/>
    <w:basedOn w:val="Heading4"/>
    <w:next w:val="Normal"/>
    <w:link w:val="Heading5Char"/>
    <w:uiPriority w:val="2"/>
    <w:qFormat/>
    <w:rsid w:val="00ab6715"/>
    <w:pPr>
      <w:numPr>
        <w:ilvl w:val="4"/>
        <w:numId w:val="1"/>
      </w:numPr>
      <w:outlineLvl w:val="4"/>
    </w:pPr>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2"/>
    <w:qFormat/>
    <w:rsid w:val="00ab6715"/>
    <w:rPr>
      <w:rFonts w:ascii="Times New Roman" w:hAnsi="Times New Roman" w:eastAsia="Cambria" w:cs="Times New Roman"/>
      <w:b/>
      <w:sz w:val="24"/>
      <w:szCs w:val="24"/>
    </w:rPr>
  </w:style>
  <w:style w:type="character" w:styleId="Heading2Char" w:customStyle="1">
    <w:name w:val="Heading 2 Char"/>
    <w:basedOn w:val="DefaultParagraphFont"/>
    <w:link w:val="Heading2"/>
    <w:uiPriority w:val="2"/>
    <w:qFormat/>
    <w:rsid w:val="00ab6715"/>
    <w:rPr>
      <w:rFonts w:ascii="Times New Roman" w:hAnsi="Times New Roman" w:eastAsia="Cambria" w:cs="Times New Roman"/>
      <w:b/>
      <w:sz w:val="24"/>
      <w:szCs w:val="24"/>
    </w:rPr>
  </w:style>
  <w:style w:type="character" w:styleId="SubtitleChar" w:customStyle="1">
    <w:name w:val="Subtitle Char"/>
    <w:basedOn w:val="DefaultParagraphFont"/>
    <w:link w:val="Subtitle"/>
    <w:uiPriority w:val="99"/>
    <w:qFormat/>
    <w:rsid w:val="00ab6715"/>
    <w:rPr>
      <w:rFonts w:ascii="Times New Roman" w:hAnsi="Times New Roman" w:cs="Times New Roman"/>
      <w:b/>
      <w:sz w:val="24"/>
      <w:szCs w:val="24"/>
    </w:rPr>
  </w:style>
  <w:style w:type="character" w:styleId="BalloonTextChar" w:customStyle="1">
    <w:name w:val="Balloon Text Char"/>
    <w:basedOn w:val="DefaultParagraphFont"/>
    <w:link w:val="BalloonText"/>
    <w:uiPriority w:val="99"/>
    <w:semiHidden/>
    <w:qFormat/>
    <w:rsid w:val="00ab6715"/>
    <w:rPr>
      <w:rFonts w:ascii="Tahoma" w:hAnsi="Tahoma" w:cs="Tahoma"/>
      <w:sz w:val="16"/>
      <w:szCs w:val="16"/>
    </w:rPr>
  </w:style>
  <w:style w:type="character" w:styleId="BookTitle">
    <w:name w:val="Book Title"/>
    <w:basedOn w:val="DefaultParagraphFont"/>
    <w:uiPriority w:val="33"/>
    <w:qFormat/>
    <w:rsid w:val="00ab6715"/>
    <w:rPr>
      <w:rFonts w:ascii="Times New Roman" w:hAnsi="Times New Roman"/>
      <w:b/>
      <w:bCs/>
      <w:i/>
      <w:iCs/>
      <w:spacing w:val="5"/>
    </w:rPr>
  </w:style>
  <w:style w:type="character" w:styleId="Annotationreference">
    <w:name w:val="annotation reference"/>
    <w:basedOn w:val="DefaultParagraphFont"/>
    <w:uiPriority w:val="99"/>
    <w:semiHidden/>
    <w:unhideWhenUsed/>
    <w:qFormat/>
    <w:rsid w:val="00ab6715"/>
    <w:rPr>
      <w:sz w:val="16"/>
      <w:szCs w:val="16"/>
    </w:rPr>
  </w:style>
  <w:style w:type="character" w:styleId="CommentTextChar" w:customStyle="1">
    <w:name w:val="Comment Text Char"/>
    <w:basedOn w:val="DefaultParagraphFont"/>
    <w:link w:val="CommentText"/>
    <w:uiPriority w:val="99"/>
    <w:semiHidden/>
    <w:qFormat/>
    <w:rsid w:val="00ab6715"/>
    <w:rPr>
      <w:rFonts w:ascii="Times New Roman" w:hAnsi="Times New Roman"/>
      <w:sz w:val="20"/>
      <w:szCs w:val="20"/>
    </w:rPr>
  </w:style>
  <w:style w:type="character" w:styleId="CommentSubjectChar" w:customStyle="1">
    <w:name w:val="Comment Subject Char"/>
    <w:basedOn w:val="CommentTextChar"/>
    <w:link w:val="CommentSubject"/>
    <w:uiPriority w:val="99"/>
    <w:semiHidden/>
    <w:qFormat/>
    <w:rsid w:val="00ab6715"/>
    <w:rPr>
      <w:rFonts w:ascii="Times New Roman" w:hAnsi="Times New Roman"/>
      <w:b/>
      <w:bCs/>
      <w:sz w:val="20"/>
      <w:szCs w:val="20"/>
    </w:rPr>
  </w:style>
  <w:style w:type="character" w:styleId="Emphasis">
    <w:name w:val="Emphasis"/>
    <w:basedOn w:val="DefaultParagraphFont"/>
    <w:uiPriority w:val="20"/>
    <w:qFormat/>
    <w:rsid w:val="00ab6715"/>
    <w:rPr>
      <w:rFonts w:ascii="Times New Roman" w:hAnsi="Times New Roman"/>
      <w:i/>
      <w:iCs/>
    </w:rPr>
  </w:style>
  <w:style w:type="character" w:styleId="Endnotereference">
    <w:name w:val="endnote reference"/>
    <w:basedOn w:val="DefaultParagraphFont"/>
    <w:uiPriority w:val="99"/>
    <w:semiHidden/>
    <w:unhideWhenUsed/>
    <w:qFormat/>
    <w:rsid w:val="00ab6715"/>
    <w:rPr>
      <w:vertAlign w:val="superscript"/>
    </w:rPr>
  </w:style>
  <w:style w:type="character" w:styleId="EndnoteTextChar" w:customStyle="1">
    <w:name w:val="Endnote Text Char"/>
    <w:basedOn w:val="DefaultParagraphFont"/>
    <w:link w:val="EndnoteText"/>
    <w:uiPriority w:val="99"/>
    <w:semiHidden/>
    <w:qFormat/>
    <w:rsid w:val="00ab6715"/>
    <w:rPr>
      <w:rFonts w:ascii="Times New Roman" w:hAnsi="Times New Roman"/>
      <w:sz w:val="20"/>
      <w:szCs w:val="20"/>
    </w:rPr>
  </w:style>
  <w:style w:type="character" w:styleId="FollowedHyperlink">
    <w:name w:val="FollowedHyperlink"/>
    <w:basedOn w:val="DefaultParagraphFont"/>
    <w:uiPriority w:val="99"/>
    <w:semiHidden/>
    <w:unhideWhenUsed/>
    <w:qFormat/>
    <w:rsid w:val="00ab6715"/>
    <w:rPr>
      <w:color w:val="800080" w:themeColor="followedHyperlink"/>
      <w:u w:val="single"/>
    </w:rPr>
  </w:style>
  <w:style w:type="character" w:styleId="FooterChar" w:customStyle="1">
    <w:name w:val="Footer Char"/>
    <w:basedOn w:val="DefaultParagraphFont"/>
    <w:link w:val="Footer"/>
    <w:uiPriority w:val="99"/>
    <w:qFormat/>
    <w:rsid w:val="00ab6715"/>
    <w:rPr>
      <w:rFonts w:ascii="Times New Roman" w:hAnsi="Times New Roman"/>
      <w:sz w:val="24"/>
    </w:rPr>
  </w:style>
  <w:style w:type="character" w:styleId="Footnotereference">
    <w:name w:val="footnote reference"/>
    <w:basedOn w:val="DefaultParagraphFont"/>
    <w:uiPriority w:val="99"/>
    <w:semiHidden/>
    <w:unhideWhenUsed/>
    <w:qFormat/>
    <w:rsid w:val="00ab6715"/>
    <w:rPr>
      <w:vertAlign w:val="superscript"/>
    </w:rPr>
  </w:style>
  <w:style w:type="character" w:styleId="FootnoteTextChar" w:customStyle="1">
    <w:name w:val="Footnote Text Char"/>
    <w:basedOn w:val="DefaultParagraphFont"/>
    <w:link w:val="FootnoteText"/>
    <w:uiPriority w:val="99"/>
    <w:semiHidden/>
    <w:qFormat/>
    <w:rsid w:val="00ab6715"/>
    <w:rPr>
      <w:rFonts w:ascii="Times New Roman" w:hAnsi="Times New Roman"/>
      <w:sz w:val="20"/>
      <w:szCs w:val="20"/>
    </w:rPr>
  </w:style>
  <w:style w:type="character" w:styleId="HeaderChar" w:customStyle="1">
    <w:name w:val="Header Char"/>
    <w:basedOn w:val="DefaultParagraphFont"/>
    <w:link w:val="Header"/>
    <w:uiPriority w:val="99"/>
    <w:qFormat/>
    <w:rsid w:val="00ab6715"/>
    <w:rPr>
      <w:rFonts w:ascii="Times New Roman" w:hAnsi="Times New Roman"/>
      <w:b/>
      <w:sz w:val="24"/>
    </w:rPr>
  </w:style>
  <w:style w:type="character" w:styleId="InternetLink">
    <w:name w:val="Internet Link"/>
    <w:basedOn w:val="DefaultParagraphFont"/>
    <w:uiPriority w:val="99"/>
    <w:unhideWhenUsed/>
    <w:rsid w:val="00ab6715"/>
    <w:rPr>
      <w:color w:val="0000FF"/>
      <w:u w:val="single"/>
    </w:rPr>
  </w:style>
  <w:style w:type="character" w:styleId="IntenseEmphasis">
    <w:name w:val="Intense Emphasis"/>
    <w:basedOn w:val="DefaultParagraphFont"/>
    <w:uiPriority w:val="21"/>
    <w:unhideWhenUsed/>
    <w:qFormat/>
    <w:rsid w:val="00ab6715"/>
    <w:rPr>
      <w:rFonts w:ascii="Times New Roman" w:hAnsi="Times New Roman"/>
      <w:i/>
      <w:iCs/>
      <w:color w:val="00000A"/>
    </w:rPr>
  </w:style>
  <w:style w:type="character" w:styleId="IntenseReference">
    <w:name w:val="Intense Reference"/>
    <w:basedOn w:val="DefaultParagraphFont"/>
    <w:uiPriority w:val="32"/>
    <w:qFormat/>
    <w:rsid w:val="00ab6715"/>
    <w:rPr>
      <w:b/>
      <w:bCs/>
      <w:smallCaps/>
      <w:color w:val="00000A"/>
      <w:spacing w:val="5"/>
    </w:rPr>
  </w:style>
  <w:style w:type="character" w:styleId="Linenumber">
    <w:name w:val="line number"/>
    <w:basedOn w:val="DefaultParagraphFont"/>
    <w:uiPriority w:val="99"/>
    <w:semiHidden/>
    <w:unhideWhenUsed/>
    <w:qFormat/>
    <w:rsid w:val="00ab6715"/>
    <w:rPr/>
  </w:style>
  <w:style w:type="character" w:styleId="Heading3Char" w:customStyle="1">
    <w:name w:val="Heading 3 Char"/>
    <w:basedOn w:val="DefaultParagraphFont"/>
    <w:link w:val="Heading3"/>
    <w:uiPriority w:val="2"/>
    <w:qFormat/>
    <w:rsid w:val="00ab6715"/>
    <w:rPr>
      <w:rFonts w:ascii="Times New Roman" w:hAnsi="Times New Roman" w:eastAsia="" w:cs="" w:cstheme="majorBidi" w:eastAsiaTheme="majorEastAsia"/>
      <w:b/>
      <w:sz w:val="24"/>
      <w:szCs w:val="24"/>
    </w:rPr>
  </w:style>
  <w:style w:type="character" w:styleId="Heading4Char" w:customStyle="1">
    <w:name w:val="Heading 4 Char"/>
    <w:basedOn w:val="DefaultParagraphFont"/>
    <w:link w:val="Heading4"/>
    <w:uiPriority w:val="2"/>
    <w:qFormat/>
    <w:rsid w:val="00ab6715"/>
    <w:rPr>
      <w:rFonts w:ascii="Times New Roman" w:hAnsi="Times New Roman" w:eastAsia="" w:cs="" w:cstheme="majorBidi" w:eastAsiaTheme="majorEastAsia"/>
      <w:b/>
      <w:iCs/>
      <w:sz w:val="24"/>
      <w:szCs w:val="24"/>
    </w:rPr>
  </w:style>
  <w:style w:type="character" w:styleId="Heading5Char" w:customStyle="1">
    <w:name w:val="Heading 5 Char"/>
    <w:basedOn w:val="DefaultParagraphFont"/>
    <w:link w:val="Heading5"/>
    <w:uiPriority w:val="2"/>
    <w:qFormat/>
    <w:rsid w:val="00ab6715"/>
    <w:rPr>
      <w:rFonts w:ascii="Times New Roman" w:hAnsi="Times New Roman" w:eastAsia="" w:cs="" w:cstheme="majorBidi" w:eastAsiaTheme="majorEastAsia"/>
      <w:b/>
      <w:iCs/>
      <w:sz w:val="24"/>
      <w:szCs w:val="24"/>
    </w:rPr>
  </w:style>
  <w:style w:type="character" w:styleId="QuoteChar" w:customStyle="1">
    <w:name w:val="Quote Char"/>
    <w:basedOn w:val="DefaultParagraphFont"/>
    <w:link w:val="Quote"/>
    <w:uiPriority w:val="29"/>
    <w:qFormat/>
    <w:rsid w:val="00ab6715"/>
    <w:rPr>
      <w:rFonts w:ascii="Times New Roman" w:hAnsi="Times New Roman"/>
      <w:i/>
      <w:iCs/>
      <w:color w:val="404040" w:themeColor="text1" w:themeTint="bf"/>
      <w:sz w:val="24"/>
    </w:rPr>
  </w:style>
  <w:style w:type="character" w:styleId="Strong">
    <w:name w:val="Strong"/>
    <w:basedOn w:val="DefaultParagraphFont"/>
    <w:uiPriority w:val="22"/>
    <w:qFormat/>
    <w:rsid w:val="00ab6715"/>
    <w:rPr>
      <w:rFonts w:ascii="Times New Roman" w:hAnsi="Times New Roman"/>
      <w:b/>
      <w:bCs/>
    </w:rPr>
  </w:style>
  <w:style w:type="character" w:styleId="SubtleEmphasis">
    <w:name w:val="Subtle Emphasis"/>
    <w:basedOn w:val="DefaultParagraphFont"/>
    <w:uiPriority w:val="19"/>
    <w:qFormat/>
    <w:rsid w:val="00ab6715"/>
    <w:rPr>
      <w:rFonts w:ascii="Times New Roman" w:hAnsi="Times New Roman"/>
      <w:i/>
      <w:iCs/>
      <w:color w:val="404040" w:themeColor="text1" w:themeTint="bf"/>
    </w:rPr>
  </w:style>
  <w:style w:type="character" w:styleId="TitleChar" w:customStyle="1">
    <w:name w:val="Title Char"/>
    <w:basedOn w:val="DefaultParagraphFont"/>
    <w:link w:val="Title"/>
    <w:qFormat/>
    <w:rsid w:val="00ab6715"/>
    <w:rPr>
      <w:rFonts w:ascii="Times New Roman" w:hAnsi="Times New Roman" w:cs="Times New Roman"/>
      <w:b/>
      <w:sz w:val="32"/>
      <w:szCs w:val="32"/>
    </w:rPr>
  </w:style>
  <w:style w:type="character" w:styleId="ListLabel1">
    <w:name w:val="ListLabel 1"/>
    <w:qFormat/>
    <w:rPr>
      <w:b/>
      <w:lang w:val="en-GB"/>
    </w:rPr>
  </w:style>
  <w:style w:type="character" w:styleId="ListLabel2">
    <w:name w:val="ListLabel 2"/>
    <w:qFormat/>
    <w:rPr>
      <w:b/>
      <w:i w:val="false"/>
      <w:sz w:val="24"/>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b/>
      <w:lang w:val="en-GB"/>
    </w:rPr>
  </w:style>
  <w:style w:type="character" w:styleId="ListLabel10">
    <w:name w:val="ListLabel 10"/>
    <w:qFormat/>
    <w:rPr>
      <w:b/>
      <w:i w:val="false"/>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paragraph" w:styleId="Heading">
    <w:name w:val="Heading"/>
    <w:basedOn w:val="Normal"/>
    <w:next w:val="TextBody"/>
    <w:qFormat/>
    <w:pPr>
      <w:keepNext w:val="true"/>
      <w:spacing w:before="240" w:after="120"/>
    </w:pPr>
    <w:rPr>
      <w:rFonts w:ascii="Liberation Sans" w:hAnsi="Liberation Sans" w:eastAsia="AR PL SungtiL GB"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Subtitle">
    <w:name w:val="Subtitle"/>
    <w:basedOn w:val="Normal"/>
    <w:next w:val="Normal"/>
    <w:link w:val="SubtitleChar"/>
    <w:uiPriority w:val="99"/>
    <w:unhideWhenUsed/>
    <w:qFormat/>
    <w:rsid w:val="00ab6715"/>
    <w:pPr>
      <w:spacing w:before="240" w:after="240"/>
    </w:pPr>
    <w:rPr>
      <w:rFonts w:cs="Times New Roman"/>
      <w:b/>
      <w:szCs w:val="24"/>
    </w:rPr>
  </w:style>
  <w:style w:type="paragraph" w:styleId="AuthorList" w:customStyle="1">
    <w:name w:val="Author List"/>
    <w:basedOn w:val="Subtitle"/>
    <w:next w:val="Normal"/>
    <w:uiPriority w:val="1"/>
    <w:qFormat/>
    <w:rsid w:val="00ab6715"/>
    <w:pPr/>
    <w:rPr/>
  </w:style>
  <w:style w:type="paragraph" w:styleId="BalloonText">
    <w:name w:val="Balloon Text"/>
    <w:basedOn w:val="Normal"/>
    <w:link w:val="BalloonTextChar"/>
    <w:uiPriority w:val="99"/>
    <w:semiHidden/>
    <w:unhideWhenUsed/>
    <w:qFormat/>
    <w:rsid w:val="00ab6715"/>
    <w:pPr>
      <w:spacing w:before="120" w:after="0"/>
    </w:pPr>
    <w:rPr>
      <w:rFonts w:ascii="Tahoma" w:hAnsi="Tahoma" w:cs="Tahoma"/>
      <w:sz w:val="16"/>
      <w:szCs w:val="16"/>
    </w:rPr>
  </w:style>
  <w:style w:type="paragraph" w:styleId="Caption1">
    <w:name w:val="caption"/>
    <w:basedOn w:val="Normal"/>
    <w:uiPriority w:val="35"/>
    <w:unhideWhenUsed/>
    <w:qFormat/>
    <w:rsid w:val="00ab6715"/>
    <w:pPr>
      <w:keepNext w:val="true"/>
    </w:pPr>
    <w:rPr>
      <w:rFonts w:cs="Times New Roman"/>
      <w:b/>
      <w:bCs/>
      <w:szCs w:val="24"/>
    </w:rPr>
  </w:style>
  <w:style w:type="paragraph" w:styleId="NoSpacing">
    <w:name w:val="No Spacing"/>
    <w:uiPriority w:val="99"/>
    <w:unhideWhenUsed/>
    <w:qFormat/>
    <w:rsid w:val="00ab6715"/>
    <w:pPr>
      <w:widowControl/>
      <w:bidi w:val="0"/>
      <w:spacing w:lineRule="auto" w:line="240" w:before="0" w:after="0"/>
      <w:jc w:val="left"/>
    </w:pPr>
    <w:rPr>
      <w:rFonts w:ascii="Times New Roman" w:hAnsi="Times New Roman" w:eastAsia="Calibri" w:cs="" w:cstheme="minorBidi" w:eastAsiaTheme="minorHAnsi"/>
      <w:color w:val="00000A"/>
      <w:kern w:val="0"/>
      <w:sz w:val="24"/>
      <w:szCs w:val="22"/>
      <w:lang w:val="en-US" w:eastAsia="en-US" w:bidi="ar-SA"/>
    </w:rPr>
  </w:style>
  <w:style w:type="paragraph" w:styleId="Annotationtext">
    <w:name w:val="annotation text"/>
    <w:basedOn w:val="Normal"/>
    <w:link w:val="CommentTextChar"/>
    <w:uiPriority w:val="99"/>
    <w:semiHidden/>
    <w:unhideWhenUsed/>
    <w:qFormat/>
    <w:rsid w:val="00ab6715"/>
    <w:pPr/>
    <w:rPr>
      <w:sz w:val="20"/>
      <w:szCs w:val="20"/>
    </w:rPr>
  </w:style>
  <w:style w:type="paragraph" w:styleId="Annotationsubject">
    <w:name w:val="annotation subject"/>
    <w:basedOn w:val="Annotationtext"/>
    <w:link w:val="CommentSubjectChar"/>
    <w:uiPriority w:val="99"/>
    <w:semiHidden/>
    <w:unhideWhenUsed/>
    <w:qFormat/>
    <w:rsid w:val="00ab6715"/>
    <w:pPr/>
    <w:rPr>
      <w:b/>
      <w:bCs/>
    </w:rPr>
  </w:style>
  <w:style w:type="paragraph" w:styleId="Endnotetext">
    <w:name w:val="endnote text"/>
    <w:basedOn w:val="Normal"/>
    <w:link w:val="EndnoteTextChar"/>
    <w:uiPriority w:val="99"/>
    <w:semiHidden/>
    <w:unhideWhenUsed/>
    <w:qFormat/>
    <w:rsid w:val="00ab6715"/>
    <w:pPr>
      <w:spacing w:before="120" w:after="0"/>
    </w:pPr>
    <w:rPr>
      <w:sz w:val="20"/>
      <w:szCs w:val="20"/>
    </w:rPr>
  </w:style>
  <w:style w:type="paragraph" w:styleId="Footer">
    <w:name w:val="Footer"/>
    <w:basedOn w:val="Normal"/>
    <w:link w:val="FooterChar"/>
    <w:uiPriority w:val="99"/>
    <w:unhideWhenUsed/>
    <w:rsid w:val="00ab6715"/>
    <w:pPr>
      <w:tabs>
        <w:tab w:val="center" w:pos="4844" w:leader="none"/>
        <w:tab w:val="right" w:pos="9689" w:leader="none"/>
      </w:tabs>
      <w:spacing w:before="120" w:after="0"/>
    </w:pPr>
    <w:rPr/>
  </w:style>
  <w:style w:type="paragraph" w:styleId="Footnotetext">
    <w:name w:val="footnote text"/>
    <w:basedOn w:val="Normal"/>
    <w:link w:val="FootnoteTextChar"/>
    <w:uiPriority w:val="99"/>
    <w:semiHidden/>
    <w:unhideWhenUsed/>
    <w:qFormat/>
    <w:rsid w:val="00ab6715"/>
    <w:pPr>
      <w:spacing w:before="120" w:after="0"/>
    </w:pPr>
    <w:rPr>
      <w:sz w:val="20"/>
      <w:szCs w:val="20"/>
    </w:rPr>
  </w:style>
  <w:style w:type="paragraph" w:styleId="Header">
    <w:name w:val="Header"/>
    <w:basedOn w:val="Normal"/>
    <w:link w:val="HeaderChar"/>
    <w:uiPriority w:val="99"/>
    <w:unhideWhenUsed/>
    <w:rsid w:val="00ab6715"/>
    <w:pPr>
      <w:tabs>
        <w:tab w:val="center" w:pos="4844" w:leader="none"/>
        <w:tab w:val="right" w:pos="9689" w:leader="none"/>
      </w:tabs>
    </w:pPr>
    <w:rPr>
      <w:b/>
    </w:rPr>
  </w:style>
  <w:style w:type="paragraph" w:styleId="ListParagraph">
    <w:name w:val="List Paragraph"/>
    <w:basedOn w:val="Normal"/>
    <w:uiPriority w:val="3"/>
    <w:qFormat/>
    <w:rsid w:val="00ab6715"/>
    <w:pPr>
      <w:spacing w:before="120" w:after="240"/>
      <w:contextualSpacing/>
    </w:pPr>
    <w:rPr>
      <w:rFonts w:eastAsia="Cambria" w:cs="Times New Roman"/>
      <w:szCs w:val="24"/>
    </w:rPr>
  </w:style>
  <w:style w:type="paragraph" w:styleId="NormalWeb">
    <w:name w:val="Normal (Web)"/>
    <w:basedOn w:val="Normal"/>
    <w:uiPriority w:val="99"/>
    <w:unhideWhenUsed/>
    <w:qFormat/>
    <w:rsid w:val="00ab6715"/>
    <w:pPr>
      <w:spacing w:beforeAutospacing="1" w:afterAutospacing="1"/>
    </w:pPr>
    <w:rPr>
      <w:rFonts w:eastAsia="Times New Roman" w:cs="Times New Roman"/>
      <w:szCs w:val="24"/>
    </w:rPr>
  </w:style>
  <w:style w:type="paragraph" w:styleId="Quote">
    <w:name w:val="Quote"/>
    <w:basedOn w:val="Normal"/>
    <w:next w:val="Normal"/>
    <w:link w:val="QuoteChar"/>
    <w:uiPriority w:val="29"/>
    <w:qFormat/>
    <w:rsid w:val="00ab6715"/>
    <w:pPr>
      <w:spacing w:before="200" w:after="160"/>
      <w:ind w:left="864" w:right="864" w:hanging="0"/>
      <w:jc w:val="center"/>
    </w:pPr>
    <w:rPr>
      <w:i/>
      <w:iCs/>
      <w:color w:val="404040" w:themeColor="text1" w:themeTint="bf"/>
    </w:rPr>
  </w:style>
  <w:style w:type="paragraph" w:styleId="Title">
    <w:name w:val="Title"/>
    <w:basedOn w:val="Normal"/>
    <w:next w:val="Normal"/>
    <w:link w:val="TitleChar"/>
    <w:qFormat/>
    <w:rsid w:val="00ab6715"/>
    <w:pPr>
      <w:suppressLineNumbers/>
      <w:spacing w:before="240" w:after="360"/>
      <w:jc w:val="center"/>
    </w:pPr>
    <w:rPr>
      <w:rFonts w:cs="Times New Roman"/>
      <w:b/>
      <w:sz w:val="32"/>
      <w:szCs w:val="32"/>
    </w:rPr>
  </w:style>
  <w:style w:type="paragraph" w:styleId="SupplementaryMaterial" w:customStyle="1">
    <w:name w:val="Supplementary Material"/>
    <w:basedOn w:val="Title"/>
    <w:next w:val="Title"/>
    <w:qFormat/>
    <w:rsid w:val="0001436a"/>
    <w:pPr>
      <w:spacing w:before="240" w:after="120"/>
    </w:pPr>
    <w:rPr>
      <w:i/>
    </w:rPr>
  </w:style>
  <w:style w:type="paragraph" w:styleId="FrameContents">
    <w:name w:val="Frame Contents"/>
    <w:basedOn w:val="Normal"/>
    <w:qFormat/>
    <w:pPr/>
    <w:rPr/>
  </w:style>
  <w:style w:type="numbering" w:styleId="NoList" w:default="1">
    <w:name w:val="No List"/>
    <w:uiPriority w:val="99"/>
    <w:semiHidden/>
    <w:unhideWhenUsed/>
    <w:qFormat/>
  </w:style>
  <w:style w:type="numbering" w:styleId="Headings" w:customStyle="1">
    <w:name w:val="Headings"/>
    <w:uiPriority w:val="99"/>
    <w:qFormat/>
    <w:rsid w:val="00ab67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59"/>
    <w:rsid w:val="00ab6715"/>
    <w:pPr>
      <w:spacing w:after="0" w:line="240" w:lineRule="auto"/>
    </w:pPr>
    <w:rPr>
      <w:rFonts w:asciiTheme="majorHAnsi" w:hAnsiTheme="majorHAns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customXml" Target="../customXml/item2.xml"/><Relationship Id="rId2" Type="http://schemas.openxmlformats.org/officeDocument/2006/relationships/header" Target="header1.xml"/><Relationship Id="rId1" Type="http://schemas.openxmlformats.org/officeDocument/2006/relationships/styles" Target="styles.xml"/><Relationship Id="rId6" Type="http://schemas.openxmlformats.org/officeDocument/2006/relationships/footer" Target="footer2.xml"/><Relationship Id="rId11" Type="http://schemas.openxmlformats.org/officeDocument/2006/relationships/customXml" Target="../customXml/item1.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header" Target="header3.xml"/><Relationship Id="rId9" Type="http://schemas.openxmlformats.org/officeDocument/2006/relationships/settings" Target="settings.xml"/><Relationship Id="rId14" Type="http://schemas.openxmlformats.org/officeDocument/2006/relationships/customXml" Target="../customXml/item4.xml"/></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ct:contentTypeSchema xmlns:ct="http://schemas.microsoft.com/office/2006/metadata/contentType" xmlns:ma="http://schemas.microsoft.com/office/2006/metadata/properties/metaAttributes" ct:_="" ma:_="" ma:contentTypeName="Document" ma:contentTypeID="0x0101000B13230449AB9F4D939052C2B6B1A02C" ma:contentTypeVersion="7" ma:contentTypeDescription="Create a new document." ma:contentTypeScope="" ma:versionID="6fb8834e6477c4f140b2a39b9783ad70">
  <xsd:schema xmlns:xsd="http://www.w3.org/2001/XMLSchema" xmlns:p="http://schemas.microsoft.com/office/2006/metadata/properties" xmlns:ns2="eb8d381a-5bec-4d6a-9ea5-e830052c9177" targetNamespace="http://schemas.microsoft.com/office/2006/metadata/properties" ma:root="true" ma:fieldsID="f3357372d510f64ee9ce9caae38a91e0" ns2:_="">
    <xsd:import namespace="eb8d381a-5bec-4d6a-9ea5-e830052c917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eb8d381a-5bec-4d6a-9ea5-e830052c917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Checked_x0020_Out_x0020_To xmlns="eb8d381a-5bec-4d6a-9ea5-e830052c9177">
      <UserInfo>
        <DisplayName/>
        <AccountId xsi:nil="true"/>
        <AccountType/>
      </UserInfo>
    </Checked_x0020_Out_x0020_To>
    <StageName xmlns="eb8d381a-5bec-4d6a-9ea5-e830052c9177" xsi:nil="true"/>
    <FileFormat xmlns="eb8d381a-5bec-4d6a-9ea5-e830052c9177">DOCX</FileFormat>
    <DocumentId xmlns="eb8d381a-5bec-4d6a-9ea5-e830052c9177">Data Sheet 1.DOCX</DocumentId>
    <IsDeleted xmlns="eb8d381a-5bec-4d6a-9ea5-e830052c9177">false</IsDeleted>
    <DocumentType xmlns="eb8d381a-5bec-4d6a-9ea5-e830052c9177">Data Sheet</DocumentType>
    <TitleName xmlns="eb8d381a-5bec-4d6a-9ea5-e830052c9177">Data Sheet 1.DOCX</TitleName>
  </documentManagement>
</p:properties>
</file>

<file path=customXml/itemProps1.xml><?xml version="1.0" encoding="utf-8"?>
<ds:datastoreItem xmlns:ds="http://schemas.openxmlformats.org/officeDocument/2006/customXml" ds:itemID="{114314AF-3C36-4C2C-B599-40A76C6FFFC1}"/>
</file>

<file path=customXml/itemProps2.xml><?xml version="1.0" encoding="utf-8"?>
<ds:datastoreItem xmlns:ds="http://schemas.openxmlformats.org/officeDocument/2006/customXml" ds:itemID="{3AC4EF1A-C070-4817-8003-B46A664CC10D}"/>
</file>

<file path=customXml/itemProps3.xml><?xml version="1.0" encoding="utf-8"?>
<ds:datastoreItem xmlns:ds="http://schemas.openxmlformats.org/officeDocument/2006/customXml" ds:itemID="{D4D9819D-CA6D-4623-8DA7-8FBF6111CE42}"/>
</file>

<file path=customXml/itemProps4.xml><?xml version="1.0" encoding="utf-8"?>
<ds:datastoreItem xmlns:ds="http://schemas.openxmlformats.org/officeDocument/2006/customXml" ds:itemID="{95021760-AE6C-44A7-BB63-A7D939B1D2DA}"/>
</file>

<file path=docProps/app.xml><?xml version="1.0" encoding="utf-8"?>
<Properties xmlns="http://schemas.openxmlformats.org/officeDocument/2006/extended-properties" xmlns:vt="http://schemas.openxmlformats.org/officeDocument/2006/docPropsVTypes">
  <Template>Supplementary_Material.dotx</Template>
  <TotalTime>23</TotalTime>
  <Application>LibreOffice/5.4.2.2.0$Linux_X86_64 LibreOffice_project/40m0$Build-2</Application>
  <Pages>2</Pages>
  <Words>1231</Words>
  <Characters>6033</Characters>
  <CharactersWithSpaces>7280</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6</cp:revision>
  <cp:lastPrinted>2013-10-03T12:51:00Z</cp:lastPrinted>
  <dcterms:created xsi:type="dcterms:W3CDTF">2017-12-02T23:57:00Z</dcterms:created>
  <dcterms:modified xsi:type="dcterms:W3CDTF">2017-12-03T00:19:30Z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