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574" w:rsidRDefault="006A6574" w:rsidP="006A6574">
      <w:pPr>
        <w:spacing w:after="240" w:line="480" w:lineRule="auto"/>
        <w:jc w:val="both"/>
        <w:outlineLvl w:val="0"/>
        <w:rPr>
          <w:b/>
        </w:rPr>
      </w:pPr>
      <w:r w:rsidRPr="00A77D40">
        <w:rPr>
          <w:b/>
        </w:rPr>
        <w:t>Supplementary</w:t>
      </w:r>
      <w:r>
        <w:rPr>
          <w:b/>
        </w:rPr>
        <w:t xml:space="preserve"> Table 5: Factor-score Regression Weights and Related Composite Scale Parameters</w:t>
      </w:r>
    </w:p>
    <w:tbl>
      <w:tblPr>
        <w:tblStyle w:val="PlainTable21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576"/>
        <w:gridCol w:w="616"/>
        <w:gridCol w:w="903"/>
        <w:gridCol w:w="1243"/>
        <w:gridCol w:w="903"/>
        <w:gridCol w:w="904"/>
        <w:gridCol w:w="1907"/>
      </w:tblGrid>
      <w:tr w:rsidR="006A6574" w:rsidTr="006669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</w:pPr>
            <w:r>
              <w:t>Scale</w:t>
            </w:r>
          </w:p>
        </w:tc>
        <w:tc>
          <w:tcPr>
            <w:tcW w:w="57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</w:t>
            </w:r>
            <w:r>
              <w:rPr>
                <w:b w:val="0"/>
                <w:vertAlign w:val="superscript"/>
              </w:rPr>
              <w:t>1</w:t>
            </w:r>
          </w:p>
        </w:tc>
        <w:tc>
          <w:tcPr>
            <w:tcW w:w="61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TD</w:t>
            </w:r>
            <w:r>
              <w:rPr>
                <w:b w:val="0"/>
                <w:vertAlign w:val="superscript"/>
              </w:rPr>
              <w:t>2</w:t>
            </w:r>
          </w:p>
        </w:tc>
        <w:tc>
          <w:tcPr>
            <w:tcW w:w="3953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Item Weights</w:t>
            </w:r>
            <w:r>
              <w:rPr>
                <w:b w:val="0"/>
                <w:vertAlign w:val="superscript"/>
              </w:rPr>
              <w:t>3</w:t>
            </w:r>
          </w:p>
        </w:tc>
        <w:tc>
          <w:tcPr>
            <w:tcW w:w="190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Cronbach alpha</w:t>
            </w:r>
            <w:r>
              <w:rPr>
                <w:b w:val="0"/>
                <w:vertAlign w:val="superscript"/>
              </w:rPr>
              <w:t>4</w:t>
            </w:r>
          </w:p>
        </w:tc>
      </w:tr>
      <w:tr w:rsidR="006A6574" w:rsidTr="00666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Merge w:val="restart"/>
            <w:tcBorders>
              <w:top w:val="single" w:sz="18" w:space="0" w:color="auto"/>
              <w:left w:val="nil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</w:pPr>
            <w:r>
              <w:t>Family</w:t>
            </w:r>
          </w:p>
        </w:tc>
        <w:tc>
          <w:tcPr>
            <w:tcW w:w="576" w:type="dxa"/>
            <w:vMerge w:val="restart"/>
            <w:tcBorders>
              <w:top w:val="single" w:sz="18" w:space="0" w:color="auto"/>
              <w:left w:val="nil"/>
              <w:right w:val="nil"/>
            </w:tcBorders>
          </w:tcPr>
          <w:p w:rsidR="006A6574" w:rsidRDefault="006A6574" w:rsidP="00666970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A6574" w:rsidRDefault="006A6574" w:rsidP="00666970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616" w:type="dxa"/>
            <w:vMerge w:val="restart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6A6574" w:rsidRDefault="006A6574" w:rsidP="00666970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3" w:type="dxa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fa1</w:t>
            </w:r>
            <w:r>
              <w:tab/>
            </w:r>
          </w:p>
        </w:tc>
        <w:tc>
          <w:tcPr>
            <w:tcW w:w="1243" w:type="dxa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fa2</w:t>
            </w:r>
            <w:r>
              <w:tab/>
            </w:r>
          </w:p>
        </w:tc>
        <w:tc>
          <w:tcPr>
            <w:tcW w:w="903" w:type="dxa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fa3</w:t>
            </w:r>
          </w:p>
        </w:tc>
        <w:tc>
          <w:tcPr>
            <w:tcW w:w="904" w:type="dxa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fa4</w:t>
            </w:r>
          </w:p>
        </w:tc>
        <w:tc>
          <w:tcPr>
            <w:tcW w:w="1907" w:type="dxa"/>
            <w:vMerge w:val="restart"/>
            <w:tcBorders>
              <w:top w:val="single" w:sz="18" w:space="0" w:color="auto"/>
              <w:left w:val="nil"/>
              <w:right w:val="nil"/>
            </w:tcBorders>
          </w:tcPr>
          <w:p w:rsidR="006A6574" w:rsidRDefault="006A6574" w:rsidP="00666970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A6574" w:rsidRDefault="006A6574" w:rsidP="00666970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.830</w:t>
            </w:r>
          </w:p>
        </w:tc>
      </w:tr>
      <w:tr w:rsidR="006A6574" w:rsidTr="00666970">
        <w:trPr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:rsidR="006A6574" w:rsidRDefault="006A6574" w:rsidP="00666970"/>
        </w:tc>
        <w:tc>
          <w:tcPr>
            <w:tcW w:w="0" w:type="auto"/>
            <w:vMerge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:rsidR="006A6574" w:rsidRDefault="006A6574" w:rsidP="00666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Merge/>
            <w:tcBorders>
              <w:top w:val="single" w:sz="4" w:space="0" w:color="7F7F7F" w:themeColor="text1" w:themeTint="8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A6574" w:rsidRDefault="006A6574" w:rsidP="00666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.325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.132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.121</w:t>
            </w: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.080</w:t>
            </w:r>
          </w:p>
        </w:tc>
        <w:tc>
          <w:tcPr>
            <w:tcW w:w="0" w:type="auto"/>
            <w:vMerge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:rsidR="006A6574" w:rsidRDefault="006A6574" w:rsidP="00666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6574" w:rsidTr="00666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:rsidR="006A6574" w:rsidRDefault="006A6574" w:rsidP="00666970"/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:rsidR="006A6574" w:rsidRDefault="006A6574" w:rsidP="00666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A6574" w:rsidRDefault="006A6574" w:rsidP="00666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.481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.207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.190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.122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:rsidR="006A6574" w:rsidRDefault="006A6574" w:rsidP="00666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6574" w:rsidTr="00666970">
        <w:trPr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</w:pPr>
            <w:r>
              <w:t>Self</w:t>
            </w: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6574" w:rsidRDefault="006A6574" w:rsidP="00666970">
            <w:pPr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A6574" w:rsidRDefault="006A6574" w:rsidP="00666970">
            <w:pPr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6574" w:rsidRDefault="006A6574" w:rsidP="00666970">
            <w:pPr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se1</w:t>
            </w:r>
            <w:r>
              <w:tab/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se2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se3</w:t>
            </w: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se4</w:t>
            </w:r>
          </w:p>
        </w:tc>
        <w:tc>
          <w:tcPr>
            <w:tcW w:w="1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6574" w:rsidRDefault="006A6574" w:rsidP="00666970">
            <w:pPr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A6574" w:rsidRDefault="006A6574" w:rsidP="00666970">
            <w:pPr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.789</w:t>
            </w:r>
          </w:p>
        </w:tc>
      </w:tr>
      <w:tr w:rsidR="006A6574" w:rsidTr="00666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574" w:rsidRDefault="006A6574" w:rsidP="0066697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574" w:rsidRDefault="006A6574" w:rsidP="00666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A6574" w:rsidRDefault="006A6574" w:rsidP="00666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.239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.088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.137</w:t>
            </w: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.245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574" w:rsidRDefault="006A6574" w:rsidP="00666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6574" w:rsidTr="00666970">
        <w:trPr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574" w:rsidRDefault="006A6574" w:rsidP="0066697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574" w:rsidRDefault="006A6574" w:rsidP="00666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A6574" w:rsidRDefault="006A6574" w:rsidP="00666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.337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.124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.194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.345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574" w:rsidRDefault="006A6574" w:rsidP="00666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6574" w:rsidTr="00666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Merge w:val="restart"/>
            <w:tcBorders>
              <w:left w:val="nil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</w:pPr>
            <w:r>
              <w:t>Relationship</w:t>
            </w:r>
          </w:p>
        </w:tc>
        <w:tc>
          <w:tcPr>
            <w:tcW w:w="576" w:type="dxa"/>
            <w:vMerge w:val="restart"/>
            <w:tcBorders>
              <w:left w:val="nil"/>
              <w:right w:val="nil"/>
            </w:tcBorders>
          </w:tcPr>
          <w:p w:rsidR="006A6574" w:rsidRDefault="006A6574" w:rsidP="00666970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A6574" w:rsidRDefault="006A6574" w:rsidP="00666970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6574" w:rsidRDefault="006A6574" w:rsidP="00666970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A6574" w:rsidRDefault="006A6574" w:rsidP="00666970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2,1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re1</w:t>
            </w:r>
            <w:r>
              <w:tab/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re2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re3</w:t>
            </w: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re4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6574" w:rsidRDefault="006A6574" w:rsidP="00666970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A6574" w:rsidRDefault="006A6574" w:rsidP="00666970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.867</w:t>
            </w:r>
          </w:p>
        </w:tc>
      </w:tr>
      <w:tr w:rsidR="006A6574" w:rsidTr="00666970">
        <w:trPr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:rsidR="006A6574" w:rsidRDefault="006A6574" w:rsidP="00666970"/>
        </w:tc>
        <w:tc>
          <w:tcPr>
            <w:tcW w:w="0" w:type="auto"/>
            <w:vMerge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:rsidR="006A6574" w:rsidRDefault="006A6574" w:rsidP="00666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A6574" w:rsidRDefault="006A6574" w:rsidP="00666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.104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.152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.178</w:t>
            </w: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.202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A6574" w:rsidRDefault="006A6574" w:rsidP="00666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6574" w:rsidTr="00666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:rsidR="006A6574" w:rsidRDefault="006A6574" w:rsidP="00666970"/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:rsidR="006A6574" w:rsidRDefault="006A6574" w:rsidP="00666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A6574" w:rsidRDefault="006A6574" w:rsidP="00666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.163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.240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.280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.317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A6574" w:rsidRDefault="006A6574" w:rsidP="00666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6574" w:rsidTr="00666970">
        <w:trPr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</w:pPr>
            <w:r>
              <w:t>Work</w:t>
            </w: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6574" w:rsidRDefault="006A6574" w:rsidP="00666970">
            <w:pPr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A6574" w:rsidRDefault="006A6574" w:rsidP="00666970">
            <w:pPr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6574" w:rsidRDefault="006A6574" w:rsidP="00666970">
            <w:pPr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wo1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wo2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wo3</w:t>
            </w: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wo4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A6574" w:rsidRDefault="006A6574" w:rsidP="00666970">
            <w:pPr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A6574" w:rsidRDefault="006A6574" w:rsidP="00666970">
            <w:pPr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.800</w:t>
            </w:r>
          </w:p>
        </w:tc>
      </w:tr>
      <w:tr w:rsidR="006A6574" w:rsidTr="00666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574" w:rsidRDefault="006A6574" w:rsidP="0066697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574" w:rsidRDefault="006A6574" w:rsidP="00666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A6574" w:rsidRDefault="006A6574" w:rsidP="00666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.119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.181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.229</w:t>
            </w: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.239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6A6574" w:rsidRDefault="006A6574" w:rsidP="00666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6574" w:rsidTr="00666970">
        <w:trPr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574" w:rsidRDefault="006A6574" w:rsidP="0066697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574" w:rsidRDefault="006A6574" w:rsidP="00666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A6574" w:rsidRDefault="006A6574" w:rsidP="00666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.155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.235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.299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.311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6A6574" w:rsidRDefault="006A6574" w:rsidP="00666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6574" w:rsidTr="00666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Merge w:val="restart"/>
            <w:tcBorders>
              <w:left w:val="nil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</w:pPr>
            <w:r>
              <w:t>Community</w:t>
            </w:r>
          </w:p>
        </w:tc>
        <w:tc>
          <w:tcPr>
            <w:tcW w:w="576" w:type="dxa"/>
            <w:vMerge w:val="restart"/>
            <w:tcBorders>
              <w:left w:val="nil"/>
              <w:right w:val="nil"/>
            </w:tcBorders>
          </w:tcPr>
          <w:p w:rsidR="006A6574" w:rsidRDefault="006A6574" w:rsidP="00666970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A6574" w:rsidRDefault="006A6574" w:rsidP="00666970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6A6574" w:rsidRDefault="006A6574" w:rsidP="00666970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A6574" w:rsidRDefault="006A6574" w:rsidP="00666970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3,2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co1</w:t>
            </w:r>
            <w:r>
              <w:tab/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co2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co3</w:t>
            </w: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co4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6574" w:rsidRDefault="006A6574" w:rsidP="00666970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A6574" w:rsidRDefault="006A6574" w:rsidP="00666970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.803</w:t>
            </w:r>
          </w:p>
        </w:tc>
      </w:tr>
      <w:tr w:rsidR="006A6574" w:rsidTr="00666970">
        <w:trPr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:rsidR="006A6574" w:rsidRDefault="006A6574" w:rsidP="00666970"/>
        </w:tc>
        <w:tc>
          <w:tcPr>
            <w:tcW w:w="0" w:type="auto"/>
            <w:vMerge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:rsidR="006A6574" w:rsidRDefault="006A6574" w:rsidP="00666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:rsidR="006A6574" w:rsidRDefault="006A6574" w:rsidP="00666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.150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.189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.151</w:t>
            </w: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.373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A6574" w:rsidRDefault="006A6574" w:rsidP="00666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6574" w:rsidTr="00666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:rsidR="006A6574" w:rsidRDefault="006A6574" w:rsidP="00666970"/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:rsidR="006A6574" w:rsidRDefault="006A6574" w:rsidP="00666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right w:val="nil"/>
            </w:tcBorders>
            <w:vAlign w:val="center"/>
            <w:hideMark/>
          </w:tcPr>
          <w:p w:rsidR="006A6574" w:rsidRDefault="006A6574" w:rsidP="00666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.174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.219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.175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A6574" w:rsidRDefault="006A6574" w:rsidP="00666970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.432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A6574" w:rsidRDefault="006A6574" w:rsidP="00666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A6574" w:rsidRDefault="006A6574" w:rsidP="006A6574">
      <w:pPr>
        <w:spacing w:after="240" w:line="240" w:lineRule="auto"/>
        <w:jc w:val="both"/>
        <w:outlineLvl w:val="0"/>
      </w:pPr>
      <w:r>
        <w:rPr>
          <w:vertAlign w:val="superscript"/>
        </w:rPr>
        <w:t>1</w:t>
      </w:r>
      <w:r>
        <w:t xml:space="preserve"> N = the number of cases with complete data</w:t>
      </w:r>
    </w:p>
    <w:p w:rsidR="006A6574" w:rsidRDefault="006A6574" w:rsidP="006A6574">
      <w:pPr>
        <w:spacing w:after="240" w:line="240" w:lineRule="auto"/>
        <w:jc w:val="both"/>
      </w:pPr>
      <w:r>
        <w:rPr>
          <w:vertAlign w:val="superscript"/>
        </w:rPr>
        <w:t>2</w:t>
      </w:r>
      <w:r>
        <w:t xml:space="preserve"> TD indicates correlated error variance estimates, computed on substantive grounds</w:t>
      </w:r>
    </w:p>
    <w:p w:rsidR="006A6574" w:rsidRDefault="006A6574" w:rsidP="006A6574">
      <w:pPr>
        <w:spacing w:after="240" w:line="240" w:lineRule="auto"/>
        <w:jc w:val="both"/>
        <w:outlineLvl w:val="0"/>
      </w:pPr>
      <w:r>
        <w:rPr>
          <w:vertAlign w:val="superscript"/>
        </w:rPr>
        <w:t xml:space="preserve">3 </w:t>
      </w:r>
      <w:r>
        <w:t xml:space="preserve">The first row for each scale </w:t>
      </w:r>
      <w:proofErr w:type="gramStart"/>
      <w:r>
        <w:t>are</w:t>
      </w:r>
      <w:proofErr w:type="gramEnd"/>
      <w:r>
        <w:t xml:space="preserve"> the raw factor scores, and the second row are the proportionally weighted factor score coefficients</w:t>
      </w:r>
    </w:p>
    <w:p w:rsidR="00382E31" w:rsidRDefault="006A6574" w:rsidP="006A6574">
      <w:pPr>
        <w:spacing w:after="240" w:line="240" w:lineRule="auto"/>
        <w:jc w:val="both"/>
      </w:pPr>
      <w:r>
        <w:rPr>
          <w:vertAlign w:val="superscript"/>
        </w:rPr>
        <w:t xml:space="preserve">4 </w:t>
      </w:r>
      <w:r>
        <w:t xml:space="preserve">The most common measure of reliability is Cronbach Alpha. Cronbach Alpha assesses the internal consistency of the items, that is, the degree to which a set of items are related as a group; and are applied for comparative purposes where acceptable measures are greater than 0.7 as detailed by </w:t>
      </w:r>
      <w:r>
        <w:fldChar w:fldCharType="begin"/>
      </w:r>
      <w:r>
        <w:instrText xml:space="preserve"> ADDIN EN.CITE &lt;EndNote&gt;&lt;Cite&gt;&lt;Author&gt;Tavakol&lt;/Author&gt;&lt;Year&gt;2011&lt;/Year&gt;&lt;RecNum&gt;4049&lt;/RecNum&gt;&lt;DisplayText&gt;(Tavakol &amp;amp; Dennick, 2011)&lt;/DisplayText&gt;&lt;record&gt;&lt;rec-number&gt;4049&lt;/rec-number&gt;&lt;foreign-keys&gt;&lt;key app="EN" db-id="rp0e2205aeasewepaze5dzebwtrv2xwrw5sr" timestamp="1501639405"&gt;4049&lt;/key&gt;&lt;/foreign-keys&gt;&lt;ref-type name="Journal Article"&gt;17&lt;/ref-type&gt;&lt;contributors&gt;&lt;authors&gt;&lt;author&gt;Tavakol, M.&lt;/author&gt;&lt;author&gt;Dennick, R.&lt;/author&gt;&lt;/authors&gt;&lt;/contributors&gt;&lt;titles&gt;&lt;title&gt;Making sense of cronbach&amp;apos;s alpha&lt;/title&gt;&lt;secondary-title&gt;International Journal of Medical Education&lt;/secondary-title&gt;&lt;/titles&gt;&lt;periodical&gt;&lt;full-title&gt;International Journal of Medical Education&lt;/full-title&gt;&lt;/periodical&gt;&lt;pages&gt;53-55&lt;/pages&gt;&lt;volume&gt;2&lt;/volume&gt;&lt;dates&gt;&lt;year&gt;2011&lt;/year&gt;&lt;/dates&gt;&lt;urls&gt;&lt;/urls&gt;&lt;/record&gt;&lt;/Cite&gt;&lt;/EndNote&gt;</w:instrText>
      </w:r>
      <w:r>
        <w:fldChar w:fldCharType="separate"/>
      </w:r>
      <w:r>
        <w:rPr>
          <w:noProof/>
        </w:rPr>
        <w:t>(Tavakol &amp; Dennick, 2011)</w:t>
      </w:r>
      <w:r>
        <w:fldChar w:fldCharType="end"/>
      </w:r>
      <w:r>
        <w:t xml:space="preserve">. </w:t>
      </w:r>
    </w:p>
    <w:p w:rsidR="00CE6A96" w:rsidRDefault="00CE6A96" w:rsidP="00CE6A96">
      <w:pPr>
        <w:pStyle w:val="EndNoteBibliography"/>
        <w:ind w:left="720" w:hanging="720"/>
        <w:rPr>
          <w:b/>
        </w:rPr>
      </w:pPr>
      <w:bookmarkStart w:id="0" w:name="_GoBack"/>
      <w:bookmarkEnd w:id="0"/>
      <w:r>
        <w:rPr>
          <w:b/>
        </w:rPr>
        <w:lastRenderedPageBreak/>
        <w:t>References</w:t>
      </w:r>
    </w:p>
    <w:p w:rsidR="00CE6A96" w:rsidRDefault="00CE6A96" w:rsidP="00CE6A96">
      <w:pPr>
        <w:pStyle w:val="EndNoteBibliography"/>
        <w:ind w:left="720" w:hanging="720"/>
        <w:rPr>
          <w:b/>
        </w:rPr>
      </w:pPr>
    </w:p>
    <w:p w:rsidR="00CE6A96" w:rsidRDefault="00CE6A96" w:rsidP="00CE6A96">
      <w:pPr>
        <w:pStyle w:val="EndNoteBibliography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>
        <w:t xml:space="preserve">Tavakol, M., &amp; Dennick, R. (2011). Making sense of cronbach's alpha. </w:t>
      </w:r>
      <w:r>
        <w:rPr>
          <w:i/>
        </w:rPr>
        <w:t>International Journal of Medical Education, 2</w:t>
      </w:r>
      <w:r>
        <w:t xml:space="preserve">, 53-55. </w:t>
      </w:r>
    </w:p>
    <w:p w:rsidR="00CE6A96" w:rsidRDefault="00CE6A96" w:rsidP="00CE6A96">
      <w:pPr>
        <w:spacing w:after="240" w:line="240" w:lineRule="auto"/>
        <w:jc w:val="both"/>
      </w:pPr>
      <w:r>
        <w:fldChar w:fldCharType="end"/>
      </w:r>
    </w:p>
    <w:sectPr w:rsidR="00CE6A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74"/>
    <w:rsid w:val="00382E31"/>
    <w:rsid w:val="006A6574"/>
    <w:rsid w:val="00CE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A6574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21">
    <w:name w:val="Plain Table 21"/>
    <w:basedOn w:val="TableNormal"/>
    <w:uiPriority w:val="42"/>
    <w:rsid w:val="006A6574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EndNoteBibliographyChar">
    <w:name w:val="EndNote Bibliography Char"/>
    <w:basedOn w:val="DefaultParagraphFont"/>
    <w:link w:val="EndNoteBibliography"/>
    <w:locked/>
    <w:rsid w:val="00CE6A96"/>
    <w:rPr>
      <w:rFonts w:ascii="Times New Roman" w:eastAsia="Times New Roman" w:hAnsi="Times New Roman" w:cs="Times New Roman"/>
      <w:noProof/>
      <w:sz w:val="24"/>
      <w:szCs w:val="24"/>
      <w:lang w:val="en-GB" w:eastAsia="en-GB"/>
      <w14:ligatures w14:val="standardContextual"/>
    </w:rPr>
  </w:style>
  <w:style w:type="paragraph" w:customStyle="1" w:styleId="EndNoteBibliography">
    <w:name w:val="EndNote Bibliography"/>
    <w:basedOn w:val="Normal"/>
    <w:link w:val="EndNoteBibliographyChar"/>
    <w:rsid w:val="00CE6A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line="240" w:lineRule="atLeast"/>
    </w:pPr>
    <w:rPr>
      <w:noProof/>
      <w:color w:val="auto"/>
      <w:lang w:eastAsia="en-GB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A6574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21">
    <w:name w:val="Plain Table 21"/>
    <w:basedOn w:val="TableNormal"/>
    <w:uiPriority w:val="42"/>
    <w:rsid w:val="006A6574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EndNoteBibliographyChar">
    <w:name w:val="EndNote Bibliography Char"/>
    <w:basedOn w:val="DefaultParagraphFont"/>
    <w:link w:val="EndNoteBibliography"/>
    <w:locked/>
    <w:rsid w:val="00CE6A96"/>
    <w:rPr>
      <w:rFonts w:ascii="Times New Roman" w:eastAsia="Times New Roman" w:hAnsi="Times New Roman" w:cs="Times New Roman"/>
      <w:noProof/>
      <w:sz w:val="24"/>
      <w:szCs w:val="24"/>
      <w:lang w:val="en-GB" w:eastAsia="en-GB"/>
      <w14:ligatures w14:val="standardContextual"/>
    </w:rPr>
  </w:style>
  <w:style w:type="paragraph" w:customStyle="1" w:styleId="EndNoteBibliography">
    <w:name w:val="EndNote Bibliography"/>
    <w:basedOn w:val="Normal"/>
    <w:link w:val="EndNoteBibliographyChar"/>
    <w:rsid w:val="00CE6A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line="240" w:lineRule="atLeast"/>
    </w:pPr>
    <w:rPr>
      <w:noProof/>
      <w:color w:val="auto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1815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 Gatt</dc:creator>
  <cp:lastModifiedBy>Justine Gatt</cp:lastModifiedBy>
  <cp:revision>2</cp:revision>
  <dcterms:created xsi:type="dcterms:W3CDTF">2018-03-29T02:44:00Z</dcterms:created>
  <dcterms:modified xsi:type="dcterms:W3CDTF">2018-03-29T02:49:00Z</dcterms:modified>
</cp:coreProperties>
</file>