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96E24" w14:textId="77777777" w:rsidR="00654E8F" w:rsidRPr="00E2401B" w:rsidRDefault="00654E8F" w:rsidP="0001436A">
      <w:pPr>
        <w:pStyle w:val="SupplementaryMaterial"/>
        <w:rPr>
          <w:b w:val="0"/>
        </w:rPr>
      </w:pPr>
      <w:r w:rsidRPr="00E2401B">
        <w:t>Supplementary Material</w:t>
      </w:r>
    </w:p>
    <w:p w14:paraId="77F34240" w14:textId="597E9966" w:rsidR="00817DD6" w:rsidRPr="00E2401B" w:rsidRDefault="00E21085" w:rsidP="0001436A">
      <w:pPr>
        <w:pStyle w:val="Title"/>
      </w:pPr>
      <w:r w:rsidRPr="00E2401B">
        <w:t xml:space="preserve">Composition of Dissolved Organic Matter in </w:t>
      </w:r>
      <w:r w:rsidR="003179CF">
        <w:t xml:space="preserve">Pore Waters of </w:t>
      </w:r>
      <w:r w:rsidRPr="00E2401B">
        <w:t xml:space="preserve">Anaerobic Marine Sediments Analyzed by </w:t>
      </w:r>
      <w:r w:rsidRPr="00E2401B">
        <w:rPr>
          <w:vertAlign w:val="superscript"/>
        </w:rPr>
        <w:t>1</w:t>
      </w:r>
      <w:r w:rsidRPr="00E2401B">
        <w:t>H Nuclear Magnetic Resonance Spectroscopy</w:t>
      </w:r>
    </w:p>
    <w:p w14:paraId="4A419606" w14:textId="46478DB7" w:rsidR="002868E2" w:rsidRPr="00E2401B" w:rsidRDefault="00E21085" w:rsidP="0001436A">
      <w:pPr>
        <w:pStyle w:val="AuthorList"/>
      </w:pPr>
      <w:r w:rsidRPr="00E2401B">
        <w:t>Christina A. Fox</w:t>
      </w:r>
      <w:r w:rsidR="002868E2" w:rsidRPr="00E2401B">
        <w:t xml:space="preserve">, </w:t>
      </w:r>
      <w:r w:rsidR="00713105">
        <w:rPr>
          <w:lang w:val="en-GB"/>
        </w:rPr>
        <w:t>Hussain A</w:t>
      </w:r>
      <w:bookmarkStart w:id="0" w:name="_GoBack"/>
      <w:bookmarkEnd w:id="0"/>
      <w:r w:rsidRPr="00E2401B">
        <w:rPr>
          <w:lang w:val="en-GB"/>
        </w:rPr>
        <w:t>. Abdulla, David J. Burdige, James P. Lewicki, Tomoko Komada*</w:t>
      </w:r>
    </w:p>
    <w:p w14:paraId="512538EC" w14:textId="77777777" w:rsidR="002868E2" w:rsidRPr="00E2401B" w:rsidRDefault="002868E2" w:rsidP="00994A3D">
      <w:pPr>
        <w:spacing w:before="240" w:after="0"/>
        <w:rPr>
          <w:rFonts w:cs="Times New Roman"/>
        </w:rPr>
      </w:pPr>
      <w:r w:rsidRPr="00E2401B">
        <w:rPr>
          <w:rFonts w:cs="Times New Roman"/>
          <w:b/>
        </w:rPr>
        <w:t xml:space="preserve">* Correspondence: </w:t>
      </w:r>
      <w:hyperlink r:id="rId12" w:history="1">
        <w:r w:rsidR="00E21085" w:rsidRPr="00E2401B">
          <w:rPr>
            <w:rStyle w:val="Hyperlink"/>
            <w:rFonts w:cs="Times New Roman"/>
          </w:rPr>
          <w:t>tkomada@sfsu.edu</w:t>
        </w:r>
      </w:hyperlink>
      <w:r w:rsidR="00E21085" w:rsidRPr="00E2401B">
        <w:rPr>
          <w:rFonts w:cs="Times New Roman"/>
        </w:rPr>
        <w:t xml:space="preserve"> </w:t>
      </w:r>
    </w:p>
    <w:p w14:paraId="47D5FB25" w14:textId="77777777" w:rsidR="005C3710" w:rsidRPr="00E2401B" w:rsidRDefault="005C3710" w:rsidP="00994A3D">
      <w:pPr>
        <w:spacing w:before="240" w:after="0"/>
        <w:rPr>
          <w:rFonts w:cs="Times New Roman"/>
        </w:rPr>
      </w:pPr>
    </w:p>
    <w:p w14:paraId="1C05A049" w14:textId="6EB3014E" w:rsidR="00EA3D3C" w:rsidRPr="00E2401B" w:rsidRDefault="00562080" w:rsidP="0001436A">
      <w:pPr>
        <w:pStyle w:val="Heading1"/>
      </w:pPr>
      <w:r w:rsidRPr="00E2401B">
        <w:t xml:space="preserve">Calculating DOC concentrations from normalized </w:t>
      </w:r>
      <w:r w:rsidRPr="00E2401B">
        <w:rPr>
          <w:vertAlign w:val="superscript"/>
        </w:rPr>
        <w:t>1</w:t>
      </w:r>
      <w:r w:rsidRPr="00E2401B">
        <w:t>H NMR spectra</w:t>
      </w:r>
    </w:p>
    <w:p w14:paraId="7DAA48D8" w14:textId="77777777" w:rsidR="003115D7" w:rsidRPr="00E2401B" w:rsidRDefault="003115D7" w:rsidP="003115D7">
      <w:pPr>
        <w:pStyle w:val="TAMainText"/>
        <w:spacing w:line="240" w:lineRule="auto"/>
        <w:ind w:firstLine="0"/>
        <w:jc w:val="left"/>
        <w:rPr>
          <w:rFonts w:ascii="Times New Roman" w:hAnsi="Times New Roman"/>
        </w:rPr>
      </w:pPr>
      <w:r w:rsidRPr="00E2401B">
        <w:rPr>
          <w:rFonts w:ascii="Times New Roman" w:hAnsi="Times New Roman"/>
        </w:rPr>
        <w:t xml:space="preserve">The total area under the normalized spectrum is the sum of relative contributions from each </w:t>
      </w:r>
      <w:r w:rsidRPr="00E2401B">
        <w:rPr>
          <w:rFonts w:ascii="Times New Roman" w:hAnsi="Times New Roman"/>
          <w:vertAlign w:val="superscript"/>
        </w:rPr>
        <w:t>1</w:t>
      </w:r>
      <w:r w:rsidRPr="00E2401B">
        <w:rPr>
          <w:rFonts w:ascii="Times New Roman" w:hAnsi="Times New Roman"/>
        </w:rPr>
        <w:t>H type,</w:t>
      </w:r>
    </w:p>
    <w:p w14:paraId="08B978D0" w14:textId="0CFC7620" w:rsidR="003115D7" w:rsidRPr="00E2401B" w:rsidRDefault="003115D7" w:rsidP="003115D7">
      <w:pPr>
        <w:pStyle w:val="TAMainText"/>
        <w:spacing w:before="240" w:after="240" w:line="240" w:lineRule="auto"/>
        <w:ind w:firstLine="0"/>
        <w:jc w:val="left"/>
        <w:rPr>
          <w:rFonts w:ascii="Times New Roman" w:hAnsi="Times New Roman"/>
        </w:rPr>
      </w:pPr>
      <w:r w:rsidRPr="00E2401B">
        <w:rPr>
          <w:rFonts w:ascii="Times New Roman" w:hAnsi="Times New Roman"/>
        </w:rPr>
        <w:t>(</w:t>
      </w:r>
      <w:proofErr w:type="gramStart"/>
      <w:r w:rsidRPr="00E2401B">
        <w:rPr>
          <w:rFonts w:ascii="Times New Roman" w:hAnsi="Times New Roman"/>
        </w:rPr>
        <w:t>total</w:t>
      </w:r>
      <w:proofErr w:type="gramEnd"/>
      <w:r w:rsidRPr="00E2401B">
        <w:rPr>
          <w:rFonts w:ascii="Times New Roman" w:hAnsi="Times New Roman"/>
        </w:rPr>
        <w:t xml:space="preserve"> area under normalized spectrum) </w:t>
      </w:r>
      <w:r w:rsidRPr="00E2401B">
        <w:rPr>
          <w:rFonts w:ascii="Times New Roman" w:hAnsi="Times New Roman"/>
          <w:i/>
        </w:rPr>
        <w:t>=</w:t>
      </w:r>
      <w:r w:rsidRPr="00E2401B">
        <w:rPr>
          <w:rFonts w:ascii="Times New Roman" w:hAnsi="Times New Roman"/>
        </w:rPr>
        <w:t xml:space="preserve"> </w:t>
      </w:r>
      <w:r w:rsidRPr="00E2401B">
        <w:rPr>
          <w:rFonts w:ascii="Times New Roman" w:hAnsi="Times New Roman"/>
          <w:i/>
        </w:rPr>
        <w:t>f</w:t>
      </w:r>
      <w:r w:rsidRPr="00E2401B">
        <w:rPr>
          <w:rFonts w:ascii="Times New Roman" w:hAnsi="Times New Roman"/>
          <w:vertAlign w:val="subscript"/>
        </w:rPr>
        <w:t>1</w:t>
      </w:r>
      <w:r w:rsidRPr="00E2401B">
        <w:rPr>
          <w:rFonts w:ascii="Times New Roman" w:hAnsi="Times New Roman"/>
          <w:i/>
          <w:vertAlign w:val="subscript"/>
        </w:rPr>
        <w:t xml:space="preserve"> </w:t>
      </w:r>
      <w:r w:rsidRPr="00E2401B">
        <w:rPr>
          <w:rFonts w:ascii="Times New Roman" w:hAnsi="Times New Roman"/>
          <w:i/>
        </w:rPr>
        <w:t>+ f</w:t>
      </w:r>
      <w:r w:rsidRPr="00E2401B">
        <w:rPr>
          <w:rFonts w:ascii="Times New Roman" w:hAnsi="Times New Roman"/>
          <w:vertAlign w:val="subscript"/>
        </w:rPr>
        <w:t>2</w:t>
      </w:r>
      <w:r w:rsidRPr="00E2401B">
        <w:rPr>
          <w:rFonts w:ascii="Times New Roman" w:hAnsi="Times New Roman"/>
          <w:i/>
        </w:rPr>
        <w:t xml:space="preserve"> + … + f</w:t>
      </w:r>
      <w:r w:rsidRPr="00E2401B">
        <w:rPr>
          <w:rFonts w:ascii="Times New Roman" w:hAnsi="Times New Roman"/>
          <w:vertAlign w:val="subscript"/>
        </w:rPr>
        <w:t>i</w:t>
      </w:r>
      <w:r w:rsidRPr="00E2401B">
        <w:rPr>
          <w:rFonts w:ascii="Times New Roman" w:hAnsi="Times New Roman"/>
          <w:i/>
        </w:rPr>
        <w:t xml:space="preserve"> = </w:t>
      </w:r>
      <w:r w:rsidRPr="00E2401B">
        <w:rPr>
          <w:rFonts w:ascii="Times New Roman" w:hAnsi="Times New Roman"/>
        </w:rPr>
        <w:t>1</w:t>
      </w:r>
      <w:r w:rsidRPr="00E2401B">
        <w:rPr>
          <w:rFonts w:ascii="Times New Roman" w:hAnsi="Times New Roman"/>
          <w:i/>
        </w:rPr>
        <w:t xml:space="preserve">  </w:t>
      </w:r>
      <w:r w:rsidRPr="00E2401B">
        <w:rPr>
          <w:rFonts w:ascii="Times New Roman" w:hAnsi="Times New Roman"/>
        </w:rPr>
        <w:tab/>
      </w:r>
      <w:r w:rsidRPr="00E2401B">
        <w:rPr>
          <w:rFonts w:ascii="Times New Roman" w:hAnsi="Times New Roman"/>
        </w:rPr>
        <w:tab/>
      </w:r>
      <w:r w:rsidRPr="00E2401B">
        <w:rPr>
          <w:rFonts w:ascii="Times New Roman" w:hAnsi="Times New Roman"/>
        </w:rPr>
        <w:tab/>
      </w:r>
      <w:r w:rsidRPr="00E2401B">
        <w:rPr>
          <w:rFonts w:ascii="Times New Roman" w:hAnsi="Times New Roman"/>
        </w:rPr>
        <w:tab/>
        <w:t>(1)</w:t>
      </w:r>
    </w:p>
    <w:p w14:paraId="4E5C7E3B" w14:textId="77777777" w:rsidR="003115D7" w:rsidRPr="00E2401B" w:rsidRDefault="003115D7" w:rsidP="003115D7">
      <w:pPr>
        <w:pStyle w:val="TAMainText"/>
        <w:spacing w:line="240" w:lineRule="auto"/>
        <w:ind w:firstLine="0"/>
        <w:jc w:val="left"/>
        <w:rPr>
          <w:rFonts w:ascii="Times New Roman" w:hAnsi="Times New Roman"/>
        </w:rPr>
      </w:pPr>
      <w:proofErr w:type="gramStart"/>
      <w:r w:rsidRPr="00E2401B">
        <w:rPr>
          <w:rFonts w:ascii="Times New Roman" w:hAnsi="Times New Roman"/>
        </w:rPr>
        <w:t>where</w:t>
      </w:r>
      <w:proofErr w:type="gramEnd"/>
      <w:r w:rsidRPr="00E2401B">
        <w:rPr>
          <w:rFonts w:ascii="Times New Roman" w:hAnsi="Times New Roman"/>
        </w:rPr>
        <w:t xml:space="preserve"> </w:t>
      </w:r>
      <w:r w:rsidRPr="00E2401B">
        <w:rPr>
          <w:rFonts w:ascii="Times New Roman" w:hAnsi="Times New Roman"/>
          <w:i/>
        </w:rPr>
        <w:t>f</w:t>
      </w:r>
      <w:r w:rsidRPr="00E2401B">
        <w:rPr>
          <w:rFonts w:ascii="Times New Roman" w:hAnsi="Times New Roman"/>
          <w:vertAlign w:val="subscript"/>
        </w:rPr>
        <w:t>i</w:t>
      </w:r>
      <w:r w:rsidRPr="00E2401B">
        <w:rPr>
          <w:rFonts w:ascii="Times New Roman" w:hAnsi="Times New Roman"/>
          <w:i/>
          <w:vertAlign w:val="subscript"/>
        </w:rPr>
        <w:t xml:space="preserve"> </w:t>
      </w:r>
      <w:r w:rsidRPr="00E2401B">
        <w:rPr>
          <w:rFonts w:ascii="Times New Roman" w:hAnsi="Times New Roman"/>
        </w:rPr>
        <w:t xml:space="preserve">is the fraction of total protons found in compound class </w:t>
      </w:r>
      <w:proofErr w:type="spellStart"/>
      <w:r w:rsidRPr="00E2401B">
        <w:rPr>
          <w:rFonts w:ascii="Times New Roman" w:hAnsi="Times New Roman"/>
          <w:i/>
        </w:rPr>
        <w:t>i</w:t>
      </w:r>
      <w:proofErr w:type="spellEnd"/>
      <w:r w:rsidRPr="00E2401B">
        <w:rPr>
          <w:rFonts w:ascii="Times New Roman" w:hAnsi="Times New Roman"/>
        </w:rPr>
        <w:t>. We cast the above in DOC units as follows:</w:t>
      </w:r>
    </w:p>
    <w:p w14:paraId="4D637FE4" w14:textId="4C4C5E86" w:rsidR="003115D7" w:rsidRPr="00E2401B" w:rsidRDefault="003115D7" w:rsidP="003115D7">
      <w:pPr>
        <w:pStyle w:val="TAMainText"/>
        <w:spacing w:before="240" w:line="240" w:lineRule="auto"/>
        <w:ind w:firstLine="0"/>
        <w:jc w:val="left"/>
        <w:rPr>
          <w:rFonts w:ascii="Times New Roman" w:hAnsi="Times New Roman"/>
          <w:i/>
        </w:rPr>
      </w:pPr>
      <w:r w:rsidRPr="00E2401B">
        <w:rPr>
          <w:rFonts w:ascii="Times New Roman" w:hAnsi="Times New Roman"/>
          <w:i/>
        </w:rPr>
        <w:t xml:space="preserve">DOH </w:t>
      </w:r>
      <w:r w:rsidRPr="00E2401B">
        <w:rPr>
          <w:rFonts w:ascii="Times New Roman" w:hAnsi="Times New Roman"/>
        </w:rPr>
        <w:t>/ (</w:t>
      </w:r>
      <w:proofErr w:type="spellStart"/>
      <w:r w:rsidRPr="00E2401B">
        <w:rPr>
          <w:rFonts w:ascii="Times New Roman" w:hAnsi="Times New Roman"/>
          <w:i/>
        </w:rPr>
        <w:t>r</w:t>
      </w:r>
      <w:r w:rsidRPr="00E2401B">
        <w:rPr>
          <w:rFonts w:ascii="Times New Roman" w:hAnsi="Times New Roman"/>
          <w:vertAlign w:val="subscript"/>
        </w:rPr>
        <w:t>HCbulk</w:t>
      </w:r>
      <w:proofErr w:type="spellEnd"/>
      <w:r w:rsidRPr="00E2401B">
        <w:rPr>
          <w:rFonts w:ascii="Times New Roman" w:hAnsi="Times New Roman"/>
        </w:rPr>
        <w:t>)</w:t>
      </w:r>
      <w:r w:rsidRPr="00E2401B">
        <w:rPr>
          <w:rFonts w:ascii="Times New Roman" w:hAnsi="Times New Roman"/>
          <w:i/>
        </w:rPr>
        <w:t xml:space="preserve"> =</w:t>
      </w:r>
      <w:r w:rsidRPr="00E2401B">
        <w:rPr>
          <w:rFonts w:ascii="Times New Roman" w:hAnsi="Times New Roman"/>
        </w:rPr>
        <w:t xml:space="preserve"> </w:t>
      </w:r>
      <w:r w:rsidRPr="00E2401B">
        <w:rPr>
          <w:rFonts w:ascii="Times New Roman" w:hAnsi="Times New Roman"/>
          <w:i/>
        </w:rPr>
        <w:t xml:space="preserve">DOH </w:t>
      </w:r>
      <w:r w:rsidRPr="00E2401B">
        <w:rPr>
          <w:rFonts w:ascii="Times New Roman" w:hAnsi="Times New Roman"/>
        </w:rPr>
        <w:t>*(</w:t>
      </w:r>
      <w:r w:rsidRPr="00E2401B">
        <w:rPr>
          <w:rFonts w:ascii="Times New Roman" w:hAnsi="Times New Roman"/>
          <w:i/>
        </w:rPr>
        <w:t>f</w:t>
      </w:r>
      <w:r w:rsidRPr="00E2401B">
        <w:rPr>
          <w:rFonts w:ascii="Times New Roman" w:hAnsi="Times New Roman"/>
          <w:vertAlign w:val="subscript"/>
        </w:rPr>
        <w:t>1</w:t>
      </w:r>
      <w:r w:rsidRPr="00E2401B">
        <w:rPr>
          <w:rFonts w:ascii="Times New Roman" w:hAnsi="Times New Roman"/>
          <w:i/>
        </w:rPr>
        <w:t>/r</w:t>
      </w:r>
      <w:r w:rsidRPr="00E2401B">
        <w:rPr>
          <w:rFonts w:ascii="Times New Roman" w:hAnsi="Times New Roman"/>
          <w:vertAlign w:val="subscript"/>
        </w:rPr>
        <w:t>HC1</w:t>
      </w:r>
      <w:r w:rsidRPr="00E2401B">
        <w:rPr>
          <w:rFonts w:ascii="Times New Roman" w:hAnsi="Times New Roman"/>
          <w:i/>
        </w:rPr>
        <w:t xml:space="preserve"> + f</w:t>
      </w:r>
      <w:r w:rsidRPr="00E2401B">
        <w:rPr>
          <w:rFonts w:ascii="Times New Roman" w:hAnsi="Times New Roman"/>
          <w:vertAlign w:val="subscript"/>
        </w:rPr>
        <w:t>2</w:t>
      </w:r>
      <w:r w:rsidRPr="00E2401B">
        <w:rPr>
          <w:rFonts w:ascii="Times New Roman" w:hAnsi="Times New Roman"/>
          <w:i/>
        </w:rPr>
        <w:t>/r</w:t>
      </w:r>
      <w:r w:rsidRPr="00E2401B">
        <w:rPr>
          <w:rFonts w:ascii="Times New Roman" w:hAnsi="Times New Roman"/>
          <w:vertAlign w:val="subscript"/>
        </w:rPr>
        <w:t>HC2</w:t>
      </w:r>
      <w:r w:rsidRPr="00E2401B">
        <w:rPr>
          <w:rFonts w:ascii="Times New Roman" w:hAnsi="Times New Roman"/>
          <w:i/>
          <w:vertAlign w:val="subscript"/>
        </w:rPr>
        <w:t xml:space="preserve"> </w:t>
      </w:r>
      <w:r w:rsidRPr="00E2401B">
        <w:rPr>
          <w:rFonts w:ascii="Times New Roman" w:hAnsi="Times New Roman"/>
          <w:i/>
        </w:rPr>
        <w:t>+ … + f</w:t>
      </w:r>
      <w:r w:rsidRPr="00E2401B">
        <w:rPr>
          <w:rFonts w:ascii="Times New Roman" w:hAnsi="Times New Roman"/>
          <w:vertAlign w:val="subscript"/>
        </w:rPr>
        <w:t>i</w:t>
      </w:r>
      <w:r w:rsidRPr="00E2401B">
        <w:rPr>
          <w:rFonts w:ascii="Times New Roman" w:hAnsi="Times New Roman"/>
          <w:i/>
        </w:rPr>
        <w:t>/</w:t>
      </w:r>
      <w:proofErr w:type="spellStart"/>
      <w:r w:rsidRPr="00E2401B">
        <w:rPr>
          <w:rFonts w:ascii="Times New Roman" w:hAnsi="Times New Roman"/>
          <w:i/>
        </w:rPr>
        <w:t>r</w:t>
      </w:r>
      <w:r w:rsidRPr="00E2401B">
        <w:rPr>
          <w:rFonts w:ascii="Times New Roman" w:hAnsi="Times New Roman"/>
          <w:vertAlign w:val="subscript"/>
        </w:rPr>
        <w:t>HCi</w:t>
      </w:r>
      <w:proofErr w:type="spellEnd"/>
      <w:r w:rsidRPr="00E2401B">
        <w:rPr>
          <w:rFonts w:ascii="Times New Roman" w:hAnsi="Times New Roman"/>
        </w:rPr>
        <w:t xml:space="preserve">) = </w:t>
      </w:r>
      <w:r w:rsidRPr="00E2401B">
        <w:rPr>
          <w:rFonts w:ascii="Times New Roman" w:hAnsi="Times New Roman"/>
          <w:i/>
        </w:rPr>
        <w:t>DOC</w:t>
      </w:r>
      <w:r w:rsidRPr="00E2401B">
        <w:rPr>
          <w:rFonts w:ascii="Times New Roman" w:hAnsi="Times New Roman"/>
          <w:i/>
        </w:rPr>
        <w:tab/>
      </w:r>
      <w:r w:rsidRPr="00E2401B">
        <w:rPr>
          <w:rFonts w:ascii="Times New Roman" w:hAnsi="Times New Roman"/>
          <w:i/>
        </w:rPr>
        <w:tab/>
      </w:r>
      <w:r w:rsidRPr="00E2401B">
        <w:rPr>
          <w:rFonts w:ascii="Times New Roman" w:hAnsi="Times New Roman"/>
          <w:i/>
        </w:rPr>
        <w:tab/>
      </w:r>
      <w:r w:rsidRPr="00E2401B">
        <w:rPr>
          <w:rFonts w:ascii="Times New Roman" w:hAnsi="Times New Roman"/>
          <w:i/>
        </w:rPr>
        <w:tab/>
      </w:r>
      <w:r w:rsidRPr="00E2401B">
        <w:rPr>
          <w:rFonts w:ascii="Times New Roman" w:hAnsi="Times New Roman"/>
        </w:rPr>
        <w:t>(2)</w:t>
      </w:r>
    </w:p>
    <w:p w14:paraId="7D2E1B3A" w14:textId="77777777" w:rsidR="003115D7" w:rsidRPr="00E2401B" w:rsidRDefault="003115D7" w:rsidP="003115D7">
      <w:pPr>
        <w:pStyle w:val="TAMainText"/>
        <w:spacing w:line="240" w:lineRule="auto"/>
        <w:ind w:firstLine="0"/>
        <w:jc w:val="left"/>
        <w:rPr>
          <w:rFonts w:ascii="Times New Roman" w:hAnsi="Times New Roman"/>
        </w:rPr>
      </w:pPr>
    </w:p>
    <w:p w14:paraId="7E350BE8" w14:textId="68CFC3A8" w:rsidR="00994A3D" w:rsidRPr="00E2401B" w:rsidRDefault="003115D7" w:rsidP="003115D7">
      <w:pPr>
        <w:pStyle w:val="TAMainText"/>
        <w:spacing w:line="240" w:lineRule="auto"/>
        <w:ind w:firstLine="0"/>
        <w:jc w:val="left"/>
        <w:rPr>
          <w:rFonts w:ascii="Times New Roman" w:hAnsi="Times New Roman"/>
        </w:rPr>
      </w:pPr>
      <w:proofErr w:type="gramStart"/>
      <w:r w:rsidRPr="00E2401B">
        <w:rPr>
          <w:rFonts w:ascii="Times New Roman" w:hAnsi="Times New Roman"/>
        </w:rPr>
        <w:t>where</w:t>
      </w:r>
      <w:proofErr w:type="gramEnd"/>
      <w:r w:rsidRPr="00E2401B">
        <w:rPr>
          <w:rFonts w:ascii="Times New Roman" w:hAnsi="Times New Roman"/>
        </w:rPr>
        <w:t xml:space="preserve"> </w:t>
      </w:r>
      <w:r w:rsidRPr="00E2401B">
        <w:rPr>
          <w:rFonts w:ascii="Times New Roman" w:hAnsi="Times New Roman"/>
          <w:i/>
        </w:rPr>
        <w:t>DOH</w:t>
      </w:r>
      <w:r w:rsidRPr="00E2401B">
        <w:rPr>
          <w:rFonts w:ascii="Times New Roman" w:hAnsi="Times New Roman"/>
        </w:rPr>
        <w:t xml:space="preserve"> and </w:t>
      </w:r>
      <w:r w:rsidRPr="00E2401B">
        <w:rPr>
          <w:rFonts w:ascii="Times New Roman" w:hAnsi="Times New Roman"/>
          <w:i/>
        </w:rPr>
        <w:t>DOC</w:t>
      </w:r>
      <w:r w:rsidRPr="00E2401B">
        <w:rPr>
          <w:rFonts w:ascii="Times New Roman" w:hAnsi="Times New Roman"/>
        </w:rPr>
        <w:t xml:space="preserve"> are dissolved organic H and C concentrations of the bulk sample, </w:t>
      </w:r>
      <w:proofErr w:type="spellStart"/>
      <w:r w:rsidRPr="00E2401B">
        <w:rPr>
          <w:rFonts w:ascii="Times New Roman" w:hAnsi="Times New Roman"/>
          <w:i/>
        </w:rPr>
        <w:t>r</w:t>
      </w:r>
      <w:r w:rsidRPr="00E2401B">
        <w:rPr>
          <w:rFonts w:ascii="Times New Roman" w:hAnsi="Times New Roman"/>
          <w:vertAlign w:val="subscript"/>
        </w:rPr>
        <w:t>HCbulk</w:t>
      </w:r>
      <w:proofErr w:type="spellEnd"/>
      <w:r w:rsidRPr="00E2401B">
        <w:rPr>
          <w:rFonts w:ascii="Times New Roman" w:hAnsi="Times New Roman"/>
        </w:rPr>
        <w:t xml:space="preserve"> is the H/C ratio of the bulk sample, and </w:t>
      </w:r>
      <w:proofErr w:type="spellStart"/>
      <w:r w:rsidRPr="00E2401B">
        <w:rPr>
          <w:rFonts w:ascii="Times New Roman" w:hAnsi="Times New Roman"/>
          <w:i/>
        </w:rPr>
        <w:t>r</w:t>
      </w:r>
      <w:r w:rsidRPr="00E2401B">
        <w:rPr>
          <w:rFonts w:ascii="Times New Roman" w:hAnsi="Times New Roman"/>
          <w:vertAlign w:val="subscript"/>
        </w:rPr>
        <w:t>HCi</w:t>
      </w:r>
      <w:proofErr w:type="spellEnd"/>
      <w:r w:rsidRPr="00E2401B">
        <w:rPr>
          <w:rFonts w:ascii="Times New Roman" w:hAnsi="Times New Roman"/>
        </w:rPr>
        <w:t xml:space="preserve"> is the H/C ratio of compound class </w:t>
      </w:r>
      <w:proofErr w:type="spellStart"/>
      <w:r w:rsidRPr="00E2401B">
        <w:rPr>
          <w:rFonts w:ascii="Times New Roman" w:hAnsi="Times New Roman"/>
          <w:i/>
        </w:rPr>
        <w:t>i</w:t>
      </w:r>
      <w:proofErr w:type="spellEnd"/>
      <w:r w:rsidRPr="00E2401B">
        <w:rPr>
          <w:rFonts w:ascii="Times New Roman" w:hAnsi="Times New Roman"/>
        </w:rPr>
        <w:t xml:space="preserve">. To solve </w:t>
      </w:r>
      <w:proofErr w:type="spellStart"/>
      <w:r w:rsidRPr="00E2401B">
        <w:rPr>
          <w:rFonts w:ascii="Times New Roman" w:hAnsi="Times New Roman"/>
        </w:rPr>
        <w:t>Eq</w:t>
      </w:r>
      <w:proofErr w:type="spellEnd"/>
      <w:r w:rsidRPr="00E2401B">
        <w:rPr>
          <w:rFonts w:ascii="Times New Roman" w:hAnsi="Times New Roman"/>
        </w:rPr>
        <w:t xml:space="preserve"> (2), we first assigned </w:t>
      </w:r>
      <w:proofErr w:type="spellStart"/>
      <w:r w:rsidRPr="00E2401B">
        <w:rPr>
          <w:rFonts w:ascii="Times New Roman" w:hAnsi="Times New Roman"/>
          <w:i/>
        </w:rPr>
        <w:t>r</w:t>
      </w:r>
      <w:r w:rsidRPr="00E2401B">
        <w:rPr>
          <w:rFonts w:ascii="Times New Roman" w:hAnsi="Times New Roman"/>
          <w:vertAlign w:val="subscript"/>
        </w:rPr>
        <w:t>HCbulk</w:t>
      </w:r>
      <w:proofErr w:type="spellEnd"/>
      <w:r w:rsidRPr="00E2401B">
        <w:rPr>
          <w:rFonts w:ascii="Times New Roman" w:hAnsi="Times New Roman"/>
        </w:rPr>
        <w:t xml:space="preserve"> for each depth interval using Fourier Transform Ion Cyclotron Resonance Mass Spectrometry (FTICR-MS) data obtained for these same samples (</w:t>
      </w:r>
      <w:r w:rsidR="000E5953" w:rsidRPr="00E2401B">
        <w:rPr>
          <w:rFonts w:ascii="Times New Roman" w:hAnsi="Times New Roman"/>
        </w:rPr>
        <w:t xml:space="preserve">Supplementary Table </w:t>
      </w:r>
      <w:r w:rsidRPr="00E2401B">
        <w:rPr>
          <w:rFonts w:ascii="Times New Roman" w:hAnsi="Times New Roman"/>
        </w:rPr>
        <w:t xml:space="preserve">1). We then assigned </w:t>
      </w:r>
      <w:proofErr w:type="spellStart"/>
      <w:r w:rsidRPr="00E2401B">
        <w:rPr>
          <w:rFonts w:ascii="Times New Roman" w:hAnsi="Times New Roman"/>
          <w:i/>
        </w:rPr>
        <w:t>r</w:t>
      </w:r>
      <w:r w:rsidRPr="00E2401B">
        <w:rPr>
          <w:rFonts w:ascii="Times New Roman" w:hAnsi="Times New Roman"/>
          <w:vertAlign w:val="subscript"/>
        </w:rPr>
        <w:t>HCi</w:t>
      </w:r>
      <w:proofErr w:type="spellEnd"/>
      <w:r w:rsidRPr="00E2401B">
        <w:rPr>
          <w:rFonts w:ascii="Times New Roman" w:hAnsi="Times New Roman"/>
        </w:rPr>
        <w:t xml:space="preserve"> values for all peaks except CRAM according to their corresponding biochemical compound classes (Table 1), leaving the </w:t>
      </w:r>
      <w:proofErr w:type="spellStart"/>
      <w:r w:rsidRPr="00E2401B">
        <w:rPr>
          <w:rFonts w:ascii="Times New Roman" w:hAnsi="Times New Roman"/>
          <w:i/>
        </w:rPr>
        <w:t>r</w:t>
      </w:r>
      <w:r w:rsidRPr="00E2401B">
        <w:rPr>
          <w:rFonts w:ascii="Times New Roman" w:hAnsi="Times New Roman"/>
          <w:vertAlign w:val="subscript"/>
        </w:rPr>
        <w:t>HCi</w:t>
      </w:r>
      <w:proofErr w:type="spellEnd"/>
      <w:r w:rsidRPr="00E2401B">
        <w:rPr>
          <w:rFonts w:ascii="Times New Roman" w:hAnsi="Times New Roman"/>
        </w:rPr>
        <w:t xml:space="preserve"> value of CRAM </w:t>
      </w:r>
      <w:r w:rsidR="000E5953" w:rsidRPr="00E2401B">
        <w:rPr>
          <w:rFonts w:ascii="Times New Roman" w:hAnsi="Times New Roman"/>
        </w:rPr>
        <w:t>in the version of Eq. (</w:t>
      </w:r>
      <w:r w:rsidRPr="00E2401B">
        <w:rPr>
          <w:rFonts w:ascii="Times New Roman" w:hAnsi="Times New Roman"/>
        </w:rPr>
        <w:t xml:space="preserve">2) for each sample as the sole unknown variable. We then calculated a depth-independent, single best-fit </w:t>
      </w:r>
      <w:proofErr w:type="spellStart"/>
      <w:r w:rsidRPr="00E2401B">
        <w:rPr>
          <w:rFonts w:ascii="Times New Roman" w:hAnsi="Times New Roman"/>
          <w:i/>
        </w:rPr>
        <w:t>r</w:t>
      </w:r>
      <w:r w:rsidRPr="00E2401B">
        <w:rPr>
          <w:rFonts w:ascii="Times New Roman" w:hAnsi="Times New Roman"/>
          <w:vertAlign w:val="subscript"/>
        </w:rPr>
        <w:t>HCi</w:t>
      </w:r>
      <w:proofErr w:type="spellEnd"/>
      <w:r w:rsidRPr="00E2401B">
        <w:rPr>
          <w:rFonts w:ascii="Times New Roman" w:hAnsi="Times New Roman"/>
        </w:rPr>
        <w:t xml:space="preserve"> value of CRAM that minimized the difference between calculated DOC and the known DOC (</w:t>
      </w:r>
      <w:r w:rsidR="000E5953" w:rsidRPr="00E2401B">
        <w:rPr>
          <w:rFonts w:ascii="Times New Roman" w:hAnsi="Times New Roman"/>
        </w:rPr>
        <w:t xml:space="preserve">Supplementary </w:t>
      </w:r>
      <w:r w:rsidRPr="00E2401B">
        <w:rPr>
          <w:rFonts w:ascii="Times New Roman" w:hAnsi="Times New Roman"/>
        </w:rPr>
        <w:t xml:space="preserve">Table S1) for each sample using an error-minimization routine (Solver in Microsoft Excel). This gave a </w:t>
      </w:r>
      <w:proofErr w:type="spellStart"/>
      <w:r w:rsidRPr="00E2401B">
        <w:rPr>
          <w:rFonts w:ascii="Times New Roman" w:hAnsi="Times New Roman"/>
          <w:i/>
        </w:rPr>
        <w:t>r</w:t>
      </w:r>
      <w:r w:rsidRPr="00E2401B">
        <w:rPr>
          <w:rFonts w:ascii="Times New Roman" w:hAnsi="Times New Roman"/>
          <w:vertAlign w:val="subscript"/>
        </w:rPr>
        <w:t>HCi</w:t>
      </w:r>
      <w:proofErr w:type="spellEnd"/>
      <w:r w:rsidRPr="00E2401B">
        <w:rPr>
          <w:rFonts w:ascii="Times New Roman" w:hAnsi="Times New Roman"/>
        </w:rPr>
        <w:t xml:space="preserve"> value of 1.4 for CRAM, which falls within the range of H/C ratios (0.75-1.5</w:t>
      </w:r>
      <w:r w:rsidR="005C3710" w:rsidRPr="00E2401B">
        <w:rPr>
          <w:rFonts w:ascii="Times New Roman" w:hAnsi="Times New Roman"/>
        </w:rPr>
        <w:t>0</w:t>
      </w:r>
      <w:r w:rsidRPr="00E2401B">
        <w:rPr>
          <w:rFonts w:ascii="Times New Roman" w:hAnsi="Times New Roman"/>
        </w:rPr>
        <w:t xml:space="preserve">) reported for CRAM </w:t>
      </w:r>
      <w:r w:rsidRPr="00E2401B">
        <w:rPr>
          <w:rFonts w:ascii="Times New Roman" w:hAnsi="Times New Roman"/>
        </w:rPr>
        <w:fldChar w:fldCharType="begin" w:fldLock="1"/>
      </w:r>
      <w:r w:rsidR="00C47CBD" w:rsidRPr="00E2401B">
        <w:rPr>
          <w:rFonts w:ascii="Times New Roman" w:hAnsi="Times New Roman"/>
        </w:rPr>
        <w:instrText>ADDIN CSL_CITATION { "citationItems" : [ { "id" : "ITEM-1", "itemData" : { "author" : [ { "dropping-particle" : "", "family" : "Hertkorn", "given" : "Norbert", "non-dropping-particle" : "", "parse-names" : false, "suffix" : "" }, { "dropping-particle" : "", "family" : "Benner", "given" : "Ronald", "non-dropping-particle" : "", "parse-names" : false, "suffix" : "" }, { "dropping-particle" : "", "family" : "Frommberger", "given" : "Moritz", "non-dropping-particle" : "", "parse-names" : false, "suffix" : "" }, { "dropping-particle" : "", "family" : "Schmitt-Kopplin", "given" : "Philippe", "non-dropping-particle" : "", "parse-names" : false, "suffix" : "" }, { "dropping-particle" : "", "family" : "Witt", "given" : "Matthias", "non-dropping-particle" : "", "parse-names" : false, "suffix" : "" }, { "dropping-particle" : "", "family" : "Kaiser", "given" : "Karl", "non-dropping-particle" : "", "parse-names" : false, "suffix" : "" }, { "dropping-particle" : "", "family" : "Kettrup", "given" : "Antonius", "non-dropping-particle" : "", "parse-names" : false, "suffix" : "" }, { "dropping-particle" : "", "family" : "Hedges", "given" : "John I", "non-dropping-particle" : "", "parse-names" : false, "suffix" : "" } ], "container-title" : "Geochimica et Cosmochimica Acta", "id" : "ITEM-1", "issue" : "12", "issued" : { "date-parts" : [ [ "2006" ] ] }, "page" : "2990-3010", "publisher" : "Elsevier Ltd", "title" : "Characterization of a major refractory component of marine dissolved organic matter", "type" : "article-journal", "volume" : "70" }, "uris" : [ "http://www.mendeley.com/documents/?uuid=0e8c2518-52ed-4f21-be25-c97127fb5317" ] }, { "id" : "ITEM-2", "itemData" : { "author" : [ { "dropping-particle" : "", "family" : "Hertkorn", "given" : "Norbert", "non-dropping-particle" : "", "parse-names" : false, "suffix" : "" }, { "dropping-particle" : "", "family" : "Harir", "given" : "M", "non-dropping-particle" : "", "parse-names" : false, "suffix" : "" }, { "dropping-particle" : "", "family" : "Koch", "given" : "Boris", "non-dropping-particle" : "", "parse-names" : false, "suffix" : "" }, { "dropping-particle" : "", "family" : "Michalke", "given" : "B", "non-dropping-particle" : "", "parse-names" : false, "suffix" : "" }, { "dropping-particle" : "", "family" : "Schmitt-Kopplin", "given" : "Philippe", "non-dropping-particle" : "", "parse-names" : false, "suffix" : "" } ], "container-title" : "Biogeosciences", "id" : "ITEM-2", "issued" : { "date-parts" : [ [ "2013" ] ] }, "page" : "1583-1624", "publisher" : "COPERNICUS GESELLSCHAFT MBH", "title" : "High-field NMR spectroscopy and FTICR mass spectrometry: powerful discovery tools for the molecular level characterization of marine dissolved organic matter", "type" : "article-journal", "volume" : "10" }, "uris" : [ "http://www.mendeley.com/documents/?uuid=96f0095b-9c6d-4003-9180-85dbf9ca54b2" ] } ], "mendeley" : { "formattedCitation" : "(Hertkorn et al., 2006, 2013)", "manualFormatting" : "(Hertkorn et al. 2006)", "plainTextFormattedCitation" : "(Hertkorn et al., 2006, 2013)", "previouslyFormattedCitation" : "(Hertkorn et al., 2006, 2013)" }, "properties" : {  }, "schema" : "https://github.com/citation-style-language/schema/raw/master/csl-citation.json" }</w:instrText>
      </w:r>
      <w:r w:rsidRPr="00E2401B">
        <w:rPr>
          <w:rFonts w:ascii="Times New Roman" w:hAnsi="Times New Roman"/>
        </w:rPr>
        <w:fldChar w:fldCharType="separate"/>
      </w:r>
      <w:r w:rsidR="005C3710" w:rsidRPr="00E2401B">
        <w:rPr>
          <w:rFonts w:ascii="Times New Roman" w:hAnsi="Times New Roman"/>
          <w:noProof/>
        </w:rPr>
        <w:t>(Hertkorn et al. 2006</w:t>
      </w:r>
      <w:r w:rsidRPr="00E2401B">
        <w:rPr>
          <w:rFonts w:ascii="Times New Roman" w:hAnsi="Times New Roman"/>
          <w:noProof/>
        </w:rPr>
        <w:t>)</w:t>
      </w:r>
      <w:r w:rsidRPr="00E2401B">
        <w:rPr>
          <w:rFonts w:ascii="Times New Roman" w:hAnsi="Times New Roman"/>
        </w:rPr>
        <w:fldChar w:fldCharType="end"/>
      </w:r>
      <w:r w:rsidRPr="00E2401B">
        <w:rPr>
          <w:rFonts w:ascii="Times New Roman" w:hAnsi="Times New Roman"/>
        </w:rPr>
        <w:t xml:space="preserve">. </w:t>
      </w:r>
    </w:p>
    <w:p w14:paraId="14F96811" w14:textId="77777777" w:rsidR="003115D7" w:rsidRPr="00E2401B" w:rsidRDefault="003115D7" w:rsidP="003115D7">
      <w:pPr>
        <w:pStyle w:val="TAMainText"/>
        <w:spacing w:line="240" w:lineRule="auto"/>
        <w:ind w:firstLine="0"/>
        <w:jc w:val="left"/>
        <w:rPr>
          <w:rFonts w:ascii="Times New Roman" w:hAnsi="Times New Roman"/>
          <w:color w:val="0000FF"/>
        </w:rPr>
      </w:pPr>
    </w:p>
    <w:p w14:paraId="753074DE" w14:textId="77777777" w:rsidR="00D1739E" w:rsidRPr="00E2401B" w:rsidRDefault="00D1739E" w:rsidP="00D1739E"/>
    <w:p w14:paraId="3A53AB9F" w14:textId="36EBCF60" w:rsidR="00D1739E" w:rsidRPr="00E2401B" w:rsidRDefault="001B137D" w:rsidP="001B137D">
      <w:pPr>
        <w:spacing w:before="0" w:after="200" w:line="276" w:lineRule="auto"/>
      </w:pPr>
      <w:r w:rsidRPr="00E2401B">
        <w:br w:type="page"/>
      </w:r>
    </w:p>
    <w:p w14:paraId="4D69EF2A" w14:textId="1E40243C" w:rsidR="00075439" w:rsidRPr="00E2401B" w:rsidRDefault="00654E8F" w:rsidP="00075439">
      <w:pPr>
        <w:pStyle w:val="Heading1"/>
      </w:pPr>
      <w:r w:rsidRPr="00E2401B">
        <w:lastRenderedPageBreak/>
        <w:t>Supplementary Figures and Tables</w:t>
      </w:r>
    </w:p>
    <w:p w14:paraId="079E4613" w14:textId="252A6F05" w:rsidR="00994A3D" w:rsidRPr="00E2401B" w:rsidRDefault="00DA5796" w:rsidP="002B4A57">
      <w:proofErr w:type="gramStart"/>
      <w:r w:rsidRPr="00E2401B">
        <w:rPr>
          <w:b/>
        </w:rPr>
        <w:t xml:space="preserve">Supplementary Table </w:t>
      </w:r>
      <w:r w:rsidR="003115D7" w:rsidRPr="00E2401B">
        <w:rPr>
          <w:b/>
        </w:rPr>
        <w:t>1.</w:t>
      </w:r>
      <w:proofErr w:type="gramEnd"/>
      <w:r w:rsidR="003115D7" w:rsidRPr="00E2401B">
        <w:t xml:space="preserve"> Molar H/C ratios of bulk DOM </w:t>
      </w:r>
      <w:r w:rsidR="00CD6ED3" w:rsidRPr="00E2401B">
        <w:t xml:space="preserve">determined by </w:t>
      </w:r>
      <w:r w:rsidR="004822C8" w:rsidRPr="00E2401B">
        <w:t>FTICR-MS</w:t>
      </w:r>
      <w:r w:rsidR="00CD6ED3" w:rsidRPr="00E2401B">
        <w:t xml:space="preserve"> </w:t>
      </w:r>
      <w:r w:rsidR="003115D7" w:rsidRPr="00E2401B">
        <w:t xml:space="preserve">and DOC concentrations </w:t>
      </w:r>
      <w:r w:rsidR="00C47CBD" w:rsidRPr="00E2401B">
        <w:fldChar w:fldCharType="begin" w:fldLock="1"/>
      </w:r>
      <w:r w:rsidR="00C47CBD" w:rsidRPr="00E2401B">
        <w:instrText>ADDIN CSL_CITATION { "citationItems" : [ { "id" : "ITEM-1", "itemData" : { "DOI" : "10.1016/j.gca.2016.09.007", "ISSN" : "00167037", "abstract" : "Here we describe new reaction-transport models for the cycling of dissolved organic matter (DOM, both dissolved organic carbon [DOC] and dissolved organic nitrogen [DON]) in anoxic marine sediments, and apply these models to data from Santa Barbara Basin sediment cores (maximum depth of 4.6m). Model results show that most organic carbon (and nitrogen) flow in the sediments occurs through reactive DOM intermediates that turn over rapidly to produce inorganic remineralization end-products. Refractory DOM is also produced, and the vast majority of this refractory DOM is not remineralized and either escapes as a benthic flux across the sediment\u2013water interface or is buried. Except near the sediment surface, refractory DOM represents &gt;95% of the total pore water DOM. Pore water DOM appears to be consistently depleted in nitrogen as compared to its source organic matter, which may be the result of differential production of carbon- versus nitrogen-containing refractory DOM during remineralization. Refractory DOC (DOCr) in Santa Barbara Basin sediment pore waters is largely produced from degradation of sediment particulate organic carbon (POC). In addition, there is an upward basal flux of DOCr that is strongly depleted in 14C (\u2212810\u2030). The \u039414C value of DOCr varies according to its source, ranging from +60\u2030 (a component of surface sediment POC enriched with radiocarbon from nuclear weapons testing in the 1960\u2019s) to \u2212810\u2030 (the basal DOC flux). Each contributes to the DOCr benthic flux, which has a weighted-average \u039414C value of \u221240\u2030. The model-determined DOCr benthic flux is roughly half of the total DOC benthic flux, consistent with observations in the literature that sediments are a source of both labile and refractory DOC to bottom waters. These results support previous arguments that sediment benthic fluxes represent an important source of refractory DOC to the oceans. The benthic flux of refractory DOC from these sediments may also contribute pre-aged DOC to the water column if the different sub-components of the anoxic pore water DOCr pool with differing radiocarbon ages have differing reactivities in the oxic marine water column.", "author" : [ { "dropping-particle" : "", "family" : "Burdige", "given" : "David J.", "non-dropping-particle" : "", "parse-names" : false, "suffix" : "" }, { "dropping-particle" : "", "family" : "Komada", "given" : "Tomoko", "non-dropping-particle" : "", "parse-names" : false, "suffix" : "" }, { "dropping-particle" : "", "family" : "Magen", "given" : "C\u00e9dric", "non-dropping-particle" : "", "parse-names" : false, "suffix" : "" }, { "dropping-particle" : "", "family" : "Chanton", "given" : "Jeffrey P.", "non-dropping-particle" : "", "parse-names" : false, "suffix" : "" } ], "container-title" : "Geochimica et Cosmochimica Acta", "id" : "ITEM-1", "issued" : { "date-parts" : [ [ "2016" ] ] }, "page" : "100-119", "title" : "Modeling studies of dissolved organic matter cycling in Santa Barbara Basin (CA, USA) sediments", "type" : "article-journal", "volume" : "195" }, "uris" : [ "http://www.mendeley.com/documents/?uuid=f4fc007e-ec7e-3c6a-a239-a6fd86a1f7bb" ] } ], "mendeley" : { "formattedCitation" : "(Burdige et al., 2016)", "plainTextFormattedCitation" : "(Burdige et al., 2016)", "previouslyFormattedCitation" : "(Burdige et al., 2016)" }, "properties" : {  }, "schema" : "https://github.com/citation-style-language/schema/raw/master/csl-citation.json" }</w:instrText>
      </w:r>
      <w:r w:rsidR="00C47CBD" w:rsidRPr="00E2401B">
        <w:fldChar w:fldCharType="separate"/>
      </w:r>
      <w:r w:rsidR="00C47CBD" w:rsidRPr="00E2401B">
        <w:rPr>
          <w:noProof/>
        </w:rPr>
        <w:t>(Burdige et al., 2016)</w:t>
      </w:r>
      <w:r w:rsidR="00C47CBD" w:rsidRPr="00E2401B">
        <w:fldChar w:fldCharType="end"/>
      </w:r>
      <w:r w:rsidR="003115D7" w:rsidRPr="00E2401B">
        <w:t xml:space="preserve"> of SBB pore waters.</w:t>
      </w:r>
      <w:r w:rsidR="00CD6ED3" w:rsidRPr="00E2401B">
        <w:t xml:space="preserve"> FTICR-MS data were acquired as described in </w:t>
      </w:r>
      <w:r w:rsidR="004822C8" w:rsidRPr="00E2401B">
        <w:fldChar w:fldCharType="begin" w:fldLock="1"/>
      </w:r>
      <w:r w:rsidR="00FF34BE" w:rsidRPr="00E2401B">
        <w:instrText>ADDIN CSL_CITATION { "citationItems" : [ { "id" : "ITEM-1", "itemData" : { "DOI" : "10.1016/j.gca.2017.11.021", "ISSN" : "00167037", "abstract" : "Proteins represent the most abundant class of biomolecules in marine sinking particles and microbial biomass, yet their cycling in marine sediments is not fully understood. To investigate whether some portion of hydrolyzed proteins escapes complete remineralization and accumulate in the pore waters, we analyzed dissolved organic matter from the anoxic sediments of Santa Barbara Basin, California, by Fourier Transform Ion Cyclotron Resonance Mass Spectrometry (FTICR-MS). The results showed an increase in the molecular diversity and abundance of dissolved organic nitrogen (DON) formulas with depth. A comparison of the detected DON formulas to a database of small peptides (2-4 amino acid sequences) returned 119 matches, and these formulas were most abundant near the sediment surface. When we compared our detected formulas to all possible structures that would result from deamination of peptides in the database, we found 680 formula matches. However, these molecular formulas can represent hundreds of different structural isomers (in the present case as many as 3,257 different deaminated peptide structures), which cannot be distinguished by the FTICR-MS settings that were used. Analysis of amino acid sequences suggests that these deaminated peptides may be the products of selective degradation of source proteins in marine sediments. We hypothesize that these deaminated peptides accumulate in the pore waters due to extracellular proteinases being inhibited from completely hydrolyzing specific peptides to free amino acids. We suggest that anaerobic microbes deaminate peptides largely to produce H2, which is ultimately used as a reducing agent by other sediment microbes (e.g. CO2 reduction by methanogens). Simple calculations suggest that deaminated peptides may represent \u223c 25-45% of DOC accumulating in these sediment pore waters. Unlike rapid remineralization of free amino acids, peptide deamination leaves behind the peptide carbon skeleton. Molecular structures of these remnant carbon skeletons may hold important clues about specific microbial processes influencing organic matter remineralization and accumulation.", "author" : [ { "dropping-particle" : "", "family" : "Abdulla", "given" : "Hussain A.", "non-dropping-particle" : "", "parse-names" : false, "suffix" : "" }, { "dropping-particle" : "", "family" : "Burdige", "given" : "David J.", "non-dropping-particle" : "", "parse-names" : false, "suffix" : "" }, { "dropping-particle" : "", "family" : "Komada", "given" : "Tomoko", "non-dropping-particle" : "", "parse-names" : false, "suffix" : "" } ], "container-title" : "Geochimica et Cosmochimica Acta", "id" : "ITEM-1", "issued" : { "date-parts" : [ [ "2018" ] ] }, "page" : "245-258", "publisher" : "Elsevier Ltd", "title" : "Accumulation of Deaminated Peptides in Anoxic Sediments of Santa Barbara Basin", "type" : "article-journal", "volume" : "223" }, "uris" : [ "http://www.mendeley.com/documents/?uuid=5018e7bd-e7e1-402e-a653-66ca34e93f84" ] } ], "mendeley" : { "formattedCitation" : "(Abdulla et al., 2018)", "manualFormatting" : "Abdulla et al. (2018)", "plainTextFormattedCitation" : "(Abdulla et al., 2018)", "previouslyFormattedCitation" : "(Abdulla et al., 2018)" }, "properties" : {  }, "schema" : "https://github.com/citation-style-language/schema/raw/master/csl-citation.json" }</w:instrText>
      </w:r>
      <w:r w:rsidR="004822C8" w:rsidRPr="00E2401B">
        <w:fldChar w:fldCharType="separate"/>
      </w:r>
      <w:r w:rsidR="004822C8" w:rsidRPr="00E2401B">
        <w:rPr>
          <w:noProof/>
        </w:rPr>
        <w:t>Abdulla et al. (2018)</w:t>
      </w:r>
      <w:r w:rsidR="004822C8" w:rsidRPr="00E2401B">
        <w:fldChar w:fldCharType="end"/>
      </w:r>
      <w:r w:rsidR="00CD6ED3" w:rsidRPr="00E2401B">
        <w:t>.</w:t>
      </w:r>
    </w:p>
    <w:tbl>
      <w:tblPr>
        <w:tblStyle w:val="TableGrid"/>
        <w:tblW w:w="7398" w:type="dxa"/>
        <w:tblInd w:w="119" w:type="dxa"/>
        <w:tblLook w:val="04A0" w:firstRow="1" w:lastRow="0" w:firstColumn="1" w:lastColumn="0" w:noHBand="0" w:noVBand="1"/>
      </w:tblPr>
      <w:tblGrid>
        <w:gridCol w:w="2466"/>
        <w:gridCol w:w="2466"/>
        <w:gridCol w:w="2466"/>
      </w:tblGrid>
      <w:tr w:rsidR="003115D7" w:rsidRPr="00E2401B" w14:paraId="4070E2A1" w14:textId="77777777" w:rsidTr="003115D7">
        <w:trPr>
          <w:trHeight w:hRule="exact" w:val="360"/>
        </w:trPr>
        <w:tc>
          <w:tcPr>
            <w:tcW w:w="2466" w:type="dxa"/>
            <w:vAlign w:val="center"/>
          </w:tcPr>
          <w:p w14:paraId="5EFE2D3E" w14:textId="77777777" w:rsidR="003115D7" w:rsidRPr="00E2401B" w:rsidRDefault="003115D7" w:rsidP="003115D7">
            <w:pPr>
              <w:rPr>
                <w:b/>
                <w:szCs w:val="24"/>
              </w:rPr>
            </w:pPr>
            <w:r w:rsidRPr="00E2401B">
              <w:rPr>
                <w:b/>
                <w:szCs w:val="24"/>
              </w:rPr>
              <w:t>Depth (cm)</w:t>
            </w:r>
          </w:p>
        </w:tc>
        <w:tc>
          <w:tcPr>
            <w:tcW w:w="2466" w:type="dxa"/>
            <w:vAlign w:val="center"/>
          </w:tcPr>
          <w:p w14:paraId="581A9C62" w14:textId="77777777" w:rsidR="003115D7" w:rsidRPr="00E2401B" w:rsidRDefault="003115D7" w:rsidP="003115D7">
            <w:pPr>
              <w:rPr>
                <w:b/>
                <w:szCs w:val="24"/>
              </w:rPr>
            </w:pPr>
            <w:r w:rsidRPr="00E2401B">
              <w:rPr>
                <w:b/>
                <w:szCs w:val="24"/>
              </w:rPr>
              <w:t>H/C</w:t>
            </w:r>
          </w:p>
        </w:tc>
        <w:tc>
          <w:tcPr>
            <w:tcW w:w="2466" w:type="dxa"/>
            <w:vAlign w:val="center"/>
          </w:tcPr>
          <w:p w14:paraId="0FEE34EB" w14:textId="77777777" w:rsidR="003115D7" w:rsidRPr="00E2401B" w:rsidRDefault="003115D7" w:rsidP="003115D7">
            <w:pPr>
              <w:rPr>
                <w:b/>
                <w:szCs w:val="24"/>
              </w:rPr>
            </w:pPr>
            <w:r w:rsidRPr="00E2401B">
              <w:rPr>
                <w:b/>
                <w:szCs w:val="24"/>
              </w:rPr>
              <w:t>DOC (</w:t>
            </w:r>
            <w:proofErr w:type="spellStart"/>
            <w:r w:rsidRPr="00E2401B">
              <w:rPr>
                <w:b/>
                <w:szCs w:val="24"/>
              </w:rPr>
              <w:t>mM</w:t>
            </w:r>
            <w:proofErr w:type="spellEnd"/>
            <w:r w:rsidRPr="00E2401B">
              <w:rPr>
                <w:b/>
                <w:szCs w:val="24"/>
              </w:rPr>
              <w:t>)</w:t>
            </w:r>
          </w:p>
        </w:tc>
      </w:tr>
      <w:tr w:rsidR="003115D7" w:rsidRPr="00E2401B" w14:paraId="15249647" w14:textId="77777777" w:rsidTr="003115D7">
        <w:trPr>
          <w:trHeight w:hRule="exact" w:val="360"/>
        </w:trPr>
        <w:tc>
          <w:tcPr>
            <w:tcW w:w="2466" w:type="dxa"/>
            <w:vAlign w:val="center"/>
          </w:tcPr>
          <w:p w14:paraId="45B30A5D" w14:textId="77777777" w:rsidR="003115D7" w:rsidRPr="00E2401B" w:rsidRDefault="003115D7" w:rsidP="003115D7">
            <w:pPr>
              <w:rPr>
                <w:szCs w:val="24"/>
              </w:rPr>
            </w:pPr>
            <w:r w:rsidRPr="00E2401B">
              <w:rPr>
                <w:szCs w:val="24"/>
              </w:rPr>
              <w:t>0.5</w:t>
            </w:r>
          </w:p>
        </w:tc>
        <w:tc>
          <w:tcPr>
            <w:tcW w:w="2466" w:type="dxa"/>
            <w:vAlign w:val="center"/>
          </w:tcPr>
          <w:p w14:paraId="00A15D64" w14:textId="77777777" w:rsidR="003115D7" w:rsidRPr="00E2401B" w:rsidRDefault="003115D7" w:rsidP="003115D7">
            <w:pPr>
              <w:rPr>
                <w:szCs w:val="24"/>
              </w:rPr>
            </w:pPr>
            <w:r w:rsidRPr="00E2401B">
              <w:rPr>
                <w:szCs w:val="24"/>
              </w:rPr>
              <w:t>1.73</w:t>
            </w:r>
          </w:p>
        </w:tc>
        <w:tc>
          <w:tcPr>
            <w:tcW w:w="2466" w:type="dxa"/>
            <w:vAlign w:val="center"/>
          </w:tcPr>
          <w:p w14:paraId="4988835E" w14:textId="77777777" w:rsidR="003115D7" w:rsidRPr="00E2401B" w:rsidRDefault="003115D7" w:rsidP="003115D7">
            <w:pPr>
              <w:rPr>
                <w:szCs w:val="24"/>
              </w:rPr>
            </w:pPr>
            <w:r w:rsidRPr="00E2401B">
              <w:rPr>
                <w:szCs w:val="24"/>
              </w:rPr>
              <w:t>0.279</w:t>
            </w:r>
          </w:p>
        </w:tc>
      </w:tr>
      <w:tr w:rsidR="003115D7" w:rsidRPr="00E2401B" w14:paraId="6C5DDC9F" w14:textId="77777777" w:rsidTr="003115D7">
        <w:trPr>
          <w:trHeight w:hRule="exact" w:val="360"/>
        </w:trPr>
        <w:tc>
          <w:tcPr>
            <w:tcW w:w="2466" w:type="dxa"/>
            <w:vAlign w:val="center"/>
          </w:tcPr>
          <w:p w14:paraId="37A5DAAA" w14:textId="77777777" w:rsidR="003115D7" w:rsidRPr="00E2401B" w:rsidRDefault="003115D7" w:rsidP="003115D7">
            <w:pPr>
              <w:rPr>
                <w:szCs w:val="24"/>
              </w:rPr>
            </w:pPr>
            <w:r w:rsidRPr="00E2401B">
              <w:rPr>
                <w:szCs w:val="24"/>
              </w:rPr>
              <w:t>1.5</w:t>
            </w:r>
          </w:p>
        </w:tc>
        <w:tc>
          <w:tcPr>
            <w:tcW w:w="2466" w:type="dxa"/>
            <w:vAlign w:val="center"/>
          </w:tcPr>
          <w:p w14:paraId="70C2806D" w14:textId="77777777" w:rsidR="003115D7" w:rsidRPr="00E2401B" w:rsidRDefault="003115D7" w:rsidP="003115D7">
            <w:pPr>
              <w:rPr>
                <w:szCs w:val="24"/>
              </w:rPr>
            </w:pPr>
            <w:r w:rsidRPr="00E2401B">
              <w:rPr>
                <w:rFonts w:eastAsia="Times New Roman" w:cs="Times New Roman"/>
                <w:color w:val="000000"/>
                <w:szCs w:val="24"/>
              </w:rPr>
              <w:t>1.58</w:t>
            </w:r>
          </w:p>
        </w:tc>
        <w:tc>
          <w:tcPr>
            <w:tcW w:w="2466" w:type="dxa"/>
            <w:vAlign w:val="center"/>
          </w:tcPr>
          <w:p w14:paraId="70C5B92D" w14:textId="77777777" w:rsidR="003115D7" w:rsidRPr="00E2401B" w:rsidRDefault="003115D7" w:rsidP="003115D7">
            <w:pPr>
              <w:rPr>
                <w:szCs w:val="24"/>
              </w:rPr>
            </w:pPr>
            <w:r w:rsidRPr="00E2401B">
              <w:rPr>
                <w:szCs w:val="24"/>
              </w:rPr>
              <w:t>0.314</w:t>
            </w:r>
          </w:p>
        </w:tc>
      </w:tr>
      <w:tr w:rsidR="003115D7" w:rsidRPr="00E2401B" w14:paraId="5B772AFE" w14:textId="77777777" w:rsidTr="003115D7">
        <w:trPr>
          <w:trHeight w:hRule="exact" w:val="360"/>
        </w:trPr>
        <w:tc>
          <w:tcPr>
            <w:tcW w:w="2466" w:type="dxa"/>
            <w:vAlign w:val="center"/>
          </w:tcPr>
          <w:p w14:paraId="67E5A18B" w14:textId="77777777" w:rsidR="003115D7" w:rsidRPr="00E2401B" w:rsidRDefault="003115D7" w:rsidP="003115D7">
            <w:pPr>
              <w:rPr>
                <w:szCs w:val="24"/>
              </w:rPr>
            </w:pPr>
            <w:r w:rsidRPr="00E2401B">
              <w:rPr>
                <w:szCs w:val="24"/>
              </w:rPr>
              <w:t>11.0</w:t>
            </w:r>
          </w:p>
        </w:tc>
        <w:tc>
          <w:tcPr>
            <w:tcW w:w="2466" w:type="dxa"/>
            <w:vAlign w:val="center"/>
          </w:tcPr>
          <w:p w14:paraId="6F732CFB" w14:textId="77777777" w:rsidR="003115D7" w:rsidRPr="00E2401B" w:rsidRDefault="003115D7" w:rsidP="003115D7">
            <w:pPr>
              <w:rPr>
                <w:szCs w:val="24"/>
              </w:rPr>
            </w:pPr>
            <w:r w:rsidRPr="00E2401B">
              <w:rPr>
                <w:rFonts w:eastAsia="Times New Roman" w:cs="Times New Roman"/>
                <w:color w:val="000000"/>
                <w:szCs w:val="24"/>
              </w:rPr>
              <w:t>1.55</w:t>
            </w:r>
          </w:p>
        </w:tc>
        <w:tc>
          <w:tcPr>
            <w:tcW w:w="2466" w:type="dxa"/>
            <w:vAlign w:val="center"/>
          </w:tcPr>
          <w:p w14:paraId="30919112" w14:textId="77777777" w:rsidR="003115D7" w:rsidRPr="00E2401B" w:rsidRDefault="003115D7" w:rsidP="003115D7">
            <w:pPr>
              <w:rPr>
                <w:szCs w:val="24"/>
              </w:rPr>
            </w:pPr>
            <w:r w:rsidRPr="00E2401B">
              <w:rPr>
                <w:szCs w:val="24"/>
              </w:rPr>
              <w:t>0.509</w:t>
            </w:r>
          </w:p>
        </w:tc>
      </w:tr>
      <w:tr w:rsidR="003115D7" w:rsidRPr="00E2401B" w14:paraId="40BEA70B" w14:textId="77777777" w:rsidTr="003115D7">
        <w:trPr>
          <w:trHeight w:hRule="exact" w:val="360"/>
        </w:trPr>
        <w:tc>
          <w:tcPr>
            <w:tcW w:w="2466" w:type="dxa"/>
            <w:vAlign w:val="center"/>
          </w:tcPr>
          <w:p w14:paraId="05B928BF" w14:textId="77777777" w:rsidR="003115D7" w:rsidRPr="00E2401B" w:rsidRDefault="003115D7" w:rsidP="003115D7">
            <w:pPr>
              <w:rPr>
                <w:szCs w:val="24"/>
              </w:rPr>
            </w:pPr>
            <w:r w:rsidRPr="00E2401B">
              <w:rPr>
                <w:szCs w:val="24"/>
              </w:rPr>
              <w:t>25.5</w:t>
            </w:r>
          </w:p>
        </w:tc>
        <w:tc>
          <w:tcPr>
            <w:tcW w:w="2466" w:type="dxa"/>
            <w:vAlign w:val="center"/>
          </w:tcPr>
          <w:p w14:paraId="2B5CCC07" w14:textId="77777777" w:rsidR="003115D7" w:rsidRPr="00E2401B" w:rsidRDefault="003115D7" w:rsidP="003115D7">
            <w:pPr>
              <w:rPr>
                <w:szCs w:val="24"/>
              </w:rPr>
            </w:pPr>
            <w:r w:rsidRPr="00E2401B">
              <w:rPr>
                <w:rFonts w:eastAsia="Times New Roman" w:cs="Times New Roman"/>
                <w:color w:val="000000"/>
                <w:szCs w:val="24"/>
              </w:rPr>
              <w:t>1.50</w:t>
            </w:r>
          </w:p>
        </w:tc>
        <w:tc>
          <w:tcPr>
            <w:tcW w:w="2466" w:type="dxa"/>
            <w:vAlign w:val="center"/>
          </w:tcPr>
          <w:p w14:paraId="220BFB91" w14:textId="77777777" w:rsidR="003115D7" w:rsidRPr="00E2401B" w:rsidRDefault="003115D7" w:rsidP="003115D7">
            <w:pPr>
              <w:rPr>
                <w:szCs w:val="24"/>
              </w:rPr>
            </w:pPr>
            <w:r w:rsidRPr="00E2401B">
              <w:rPr>
                <w:szCs w:val="24"/>
              </w:rPr>
              <w:t>0.657</w:t>
            </w:r>
          </w:p>
        </w:tc>
      </w:tr>
      <w:tr w:rsidR="003115D7" w:rsidRPr="00E2401B" w14:paraId="787F391D" w14:textId="77777777" w:rsidTr="003115D7">
        <w:trPr>
          <w:trHeight w:hRule="exact" w:val="360"/>
        </w:trPr>
        <w:tc>
          <w:tcPr>
            <w:tcW w:w="2466" w:type="dxa"/>
            <w:vAlign w:val="center"/>
          </w:tcPr>
          <w:p w14:paraId="6D1B21C4" w14:textId="77777777" w:rsidR="003115D7" w:rsidRPr="00E2401B" w:rsidRDefault="003115D7" w:rsidP="003115D7">
            <w:pPr>
              <w:rPr>
                <w:szCs w:val="24"/>
              </w:rPr>
            </w:pPr>
            <w:r w:rsidRPr="00E2401B">
              <w:rPr>
                <w:szCs w:val="24"/>
              </w:rPr>
              <w:t>37.5</w:t>
            </w:r>
          </w:p>
        </w:tc>
        <w:tc>
          <w:tcPr>
            <w:tcW w:w="2466" w:type="dxa"/>
            <w:vAlign w:val="center"/>
          </w:tcPr>
          <w:p w14:paraId="44EB5510" w14:textId="77777777" w:rsidR="003115D7" w:rsidRPr="00E2401B" w:rsidRDefault="003115D7" w:rsidP="003115D7">
            <w:pPr>
              <w:rPr>
                <w:szCs w:val="24"/>
              </w:rPr>
            </w:pPr>
            <w:r w:rsidRPr="00E2401B">
              <w:rPr>
                <w:rFonts w:eastAsia="Times New Roman" w:cs="Times New Roman"/>
                <w:color w:val="000000"/>
                <w:szCs w:val="24"/>
              </w:rPr>
              <w:t>1.45</w:t>
            </w:r>
          </w:p>
        </w:tc>
        <w:tc>
          <w:tcPr>
            <w:tcW w:w="2466" w:type="dxa"/>
            <w:vAlign w:val="center"/>
          </w:tcPr>
          <w:p w14:paraId="132B2034" w14:textId="77777777" w:rsidR="003115D7" w:rsidRPr="00E2401B" w:rsidRDefault="003115D7" w:rsidP="003115D7">
            <w:pPr>
              <w:rPr>
                <w:szCs w:val="24"/>
              </w:rPr>
            </w:pPr>
            <w:r w:rsidRPr="00E2401B">
              <w:rPr>
                <w:szCs w:val="24"/>
              </w:rPr>
              <w:t>1.122</w:t>
            </w:r>
          </w:p>
        </w:tc>
      </w:tr>
      <w:tr w:rsidR="003115D7" w:rsidRPr="00E2401B" w14:paraId="1CA6AC11" w14:textId="77777777" w:rsidTr="003115D7">
        <w:trPr>
          <w:trHeight w:hRule="exact" w:val="360"/>
        </w:trPr>
        <w:tc>
          <w:tcPr>
            <w:tcW w:w="2466" w:type="dxa"/>
            <w:vAlign w:val="center"/>
          </w:tcPr>
          <w:p w14:paraId="43BEFFA7" w14:textId="77777777" w:rsidR="003115D7" w:rsidRPr="00E2401B" w:rsidRDefault="003115D7" w:rsidP="003115D7">
            <w:pPr>
              <w:rPr>
                <w:szCs w:val="24"/>
              </w:rPr>
            </w:pPr>
            <w:r w:rsidRPr="00E2401B">
              <w:rPr>
                <w:szCs w:val="24"/>
              </w:rPr>
              <w:t>80.2</w:t>
            </w:r>
          </w:p>
        </w:tc>
        <w:tc>
          <w:tcPr>
            <w:tcW w:w="2466" w:type="dxa"/>
            <w:vAlign w:val="center"/>
          </w:tcPr>
          <w:p w14:paraId="116275B9" w14:textId="77777777" w:rsidR="003115D7" w:rsidRPr="00E2401B" w:rsidRDefault="003115D7" w:rsidP="003115D7">
            <w:pPr>
              <w:rPr>
                <w:szCs w:val="24"/>
              </w:rPr>
            </w:pPr>
            <w:r w:rsidRPr="00E2401B">
              <w:rPr>
                <w:rFonts w:eastAsia="Times New Roman" w:cs="Times New Roman"/>
                <w:color w:val="000000"/>
                <w:szCs w:val="24"/>
              </w:rPr>
              <w:t>1.40</w:t>
            </w:r>
          </w:p>
        </w:tc>
        <w:tc>
          <w:tcPr>
            <w:tcW w:w="2466" w:type="dxa"/>
            <w:vAlign w:val="center"/>
          </w:tcPr>
          <w:p w14:paraId="094AFBB3" w14:textId="77777777" w:rsidR="003115D7" w:rsidRPr="00E2401B" w:rsidRDefault="003115D7" w:rsidP="003115D7">
            <w:pPr>
              <w:rPr>
                <w:szCs w:val="24"/>
              </w:rPr>
            </w:pPr>
            <w:r w:rsidRPr="00E2401B">
              <w:rPr>
                <w:szCs w:val="24"/>
              </w:rPr>
              <w:t>1.967</w:t>
            </w:r>
          </w:p>
        </w:tc>
      </w:tr>
      <w:tr w:rsidR="003115D7" w:rsidRPr="00E2401B" w14:paraId="5CEB6385" w14:textId="77777777" w:rsidTr="003115D7">
        <w:trPr>
          <w:trHeight w:hRule="exact" w:val="360"/>
        </w:trPr>
        <w:tc>
          <w:tcPr>
            <w:tcW w:w="2466" w:type="dxa"/>
            <w:vAlign w:val="center"/>
          </w:tcPr>
          <w:p w14:paraId="4123B7D5" w14:textId="77777777" w:rsidR="003115D7" w:rsidRPr="00E2401B" w:rsidRDefault="003115D7" w:rsidP="003115D7">
            <w:pPr>
              <w:rPr>
                <w:szCs w:val="24"/>
              </w:rPr>
            </w:pPr>
            <w:r w:rsidRPr="00E2401B">
              <w:rPr>
                <w:szCs w:val="24"/>
              </w:rPr>
              <w:t>135.3</w:t>
            </w:r>
          </w:p>
        </w:tc>
        <w:tc>
          <w:tcPr>
            <w:tcW w:w="2466" w:type="dxa"/>
            <w:vAlign w:val="center"/>
          </w:tcPr>
          <w:p w14:paraId="12502DF0" w14:textId="77777777" w:rsidR="003115D7" w:rsidRPr="00E2401B" w:rsidRDefault="003115D7" w:rsidP="003115D7">
            <w:pPr>
              <w:rPr>
                <w:szCs w:val="24"/>
              </w:rPr>
            </w:pPr>
            <w:r w:rsidRPr="00E2401B">
              <w:rPr>
                <w:rFonts w:eastAsia="Times New Roman" w:cs="Times New Roman"/>
                <w:color w:val="000000"/>
                <w:szCs w:val="24"/>
              </w:rPr>
              <w:t>1.45</w:t>
            </w:r>
          </w:p>
        </w:tc>
        <w:tc>
          <w:tcPr>
            <w:tcW w:w="2466" w:type="dxa"/>
            <w:vAlign w:val="center"/>
          </w:tcPr>
          <w:p w14:paraId="28FF1593" w14:textId="77777777" w:rsidR="003115D7" w:rsidRPr="00E2401B" w:rsidRDefault="003115D7" w:rsidP="003115D7">
            <w:pPr>
              <w:rPr>
                <w:szCs w:val="24"/>
              </w:rPr>
            </w:pPr>
            <w:r w:rsidRPr="00E2401B">
              <w:rPr>
                <w:szCs w:val="24"/>
              </w:rPr>
              <w:t>2.625</w:t>
            </w:r>
          </w:p>
        </w:tc>
      </w:tr>
      <w:tr w:rsidR="003115D7" w:rsidRPr="00E2401B" w14:paraId="5727A82D" w14:textId="77777777" w:rsidTr="003115D7">
        <w:trPr>
          <w:trHeight w:hRule="exact" w:val="360"/>
        </w:trPr>
        <w:tc>
          <w:tcPr>
            <w:tcW w:w="2466" w:type="dxa"/>
            <w:vAlign w:val="center"/>
          </w:tcPr>
          <w:p w14:paraId="4D55CB38" w14:textId="77777777" w:rsidR="003115D7" w:rsidRPr="00E2401B" w:rsidRDefault="003115D7" w:rsidP="003115D7">
            <w:pPr>
              <w:rPr>
                <w:szCs w:val="24"/>
              </w:rPr>
            </w:pPr>
            <w:r w:rsidRPr="00E2401B">
              <w:rPr>
                <w:szCs w:val="24"/>
              </w:rPr>
              <w:t>145.3</w:t>
            </w:r>
          </w:p>
        </w:tc>
        <w:tc>
          <w:tcPr>
            <w:tcW w:w="2466" w:type="dxa"/>
            <w:vAlign w:val="center"/>
          </w:tcPr>
          <w:p w14:paraId="6F61FE61" w14:textId="77777777" w:rsidR="003115D7" w:rsidRPr="00E2401B" w:rsidRDefault="003115D7" w:rsidP="003115D7">
            <w:pPr>
              <w:rPr>
                <w:szCs w:val="24"/>
              </w:rPr>
            </w:pPr>
            <w:r w:rsidRPr="00E2401B">
              <w:rPr>
                <w:rFonts w:eastAsia="Times New Roman" w:cs="Times New Roman"/>
                <w:color w:val="000000"/>
                <w:szCs w:val="24"/>
              </w:rPr>
              <w:t>1.40</w:t>
            </w:r>
          </w:p>
        </w:tc>
        <w:tc>
          <w:tcPr>
            <w:tcW w:w="2466" w:type="dxa"/>
            <w:vAlign w:val="center"/>
          </w:tcPr>
          <w:p w14:paraId="1D68C3AE" w14:textId="77777777" w:rsidR="003115D7" w:rsidRPr="00E2401B" w:rsidRDefault="003115D7" w:rsidP="003115D7">
            <w:pPr>
              <w:rPr>
                <w:szCs w:val="24"/>
              </w:rPr>
            </w:pPr>
            <w:r w:rsidRPr="00E2401B">
              <w:rPr>
                <w:szCs w:val="24"/>
              </w:rPr>
              <w:t>2.734</w:t>
            </w:r>
          </w:p>
        </w:tc>
      </w:tr>
      <w:tr w:rsidR="003115D7" w:rsidRPr="00E2401B" w14:paraId="6613A30B" w14:textId="77777777" w:rsidTr="003115D7">
        <w:trPr>
          <w:trHeight w:hRule="exact" w:val="360"/>
        </w:trPr>
        <w:tc>
          <w:tcPr>
            <w:tcW w:w="2466" w:type="dxa"/>
            <w:vAlign w:val="center"/>
          </w:tcPr>
          <w:p w14:paraId="276BA881" w14:textId="77777777" w:rsidR="003115D7" w:rsidRPr="00E2401B" w:rsidRDefault="003115D7" w:rsidP="003115D7">
            <w:pPr>
              <w:rPr>
                <w:szCs w:val="24"/>
              </w:rPr>
            </w:pPr>
            <w:r w:rsidRPr="00E2401B">
              <w:rPr>
                <w:szCs w:val="24"/>
              </w:rPr>
              <w:t>182.3</w:t>
            </w:r>
          </w:p>
        </w:tc>
        <w:tc>
          <w:tcPr>
            <w:tcW w:w="2466" w:type="dxa"/>
            <w:vAlign w:val="center"/>
          </w:tcPr>
          <w:p w14:paraId="682C34C1" w14:textId="77777777" w:rsidR="003115D7" w:rsidRPr="00E2401B" w:rsidRDefault="003115D7" w:rsidP="003115D7">
            <w:pPr>
              <w:rPr>
                <w:rFonts w:eastAsia="Times New Roman" w:cs="Times New Roman"/>
                <w:color w:val="000000"/>
                <w:szCs w:val="24"/>
              </w:rPr>
            </w:pPr>
            <w:r w:rsidRPr="00E2401B">
              <w:rPr>
                <w:rFonts w:eastAsia="Times New Roman" w:cs="Times New Roman"/>
                <w:color w:val="000000"/>
                <w:szCs w:val="24"/>
              </w:rPr>
              <w:t>1.43</w:t>
            </w:r>
          </w:p>
        </w:tc>
        <w:tc>
          <w:tcPr>
            <w:tcW w:w="2466" w:type="dxa"/>
            <w:vAlign w:val="center"/>
          </w:tcPr>
          <w:p w14:paraId="02F0AC6E" w14:textId="77777777" w:rsidR="003115D7" w:rsidRPr="00E2401B" w:rsidRDefault="003115D7" w:rsidP="003115D7">
            <w:pPr>
              <w:rPr>
                <w:szCs w:val="24"/>
              </w:rPr>
            </w:pPr>
            <w:r w:rsidRPr="00E2401B">
              <w:rPr>
                <w:szCs w:val="24"/>
              </w:rPr>
              <w:t>2.972</w:t>
            </w:r>
          </w:p>
        </w:tc>
      </w:tr>
      <w:tr w:rsidR="003115D7" w:rsidRPr="00E2401B" w14:paraId="5E70183D" w14:textId="77777777" w:rsidTr="003115D7">
        <w:trPr>
          <w:trHeight w:hRule="exact" w:val="360"/>
        </w:trPr>
        <w:tc>
          <w:tcPr>
            <w:tcW w:w="2466" w:type="dxa"/>
            <w:vAlign w:val="center"/>
          </w:tcPr>
          <w:p w14:paraId="1A62C7D9" w14:textId="77777777" w:rsidR="003115D7" w:rsidRPr="00E2401B" w:rsidRDefault="003115D7" w:rsidP="003115D7">
            <w:pPr>
              <w:rPr>
                <w:szCs w:val="24"/>
              </w:rPr>
            </w:pPr>
            <w:r w:rsidRPr="00E2401B">
              <w:rPr>
                <w:szCs w:val="24"/>
              </w:rPr>
              <w:t>230.3</w:t>
            </w:r>
          </w:p>
        </w:tc>
        <w:tc>
          <w:tcPr>
            <w:tcW w:w="2466" w:type="dxa"/>
            <w:vAlign w:val="center"/>
          </w:tcPr>
          <w:p w14:paraId="5A999B0F" w14:textId="77777777" w:rsidR="003115D7" w:rsidRPr="00E2401B" w:rsidRDefault="003115D7" w:rsidP="003115D7">
            <w:pPr>
              <w:rPr>
                <w:rFonts w:eastAsia="Times New Roman" w:cs="Times New Roman"/>
                <w:color w:val="000000"/>
                <w:szCs w:val="24"/>
              </w:rPr>
            </w:pPr>
            <w:r w:rsidRPr="00E2401B">
              <w:rPr>
                <w:rFonts w:eastAsia="Times New Roman" w:cs="Times New Roman"/>
                <w:color w:val="000000"/>
                <w:szCs w:val="24"/>
              </w:rPr>
              <w:t>1.44</w:t>
            </w:r>
          </w:p>
        </w:tc>
        <w:tc>
          <w:tcPr>
            <w:tcW w:w="2466" w:type="dxa"/>
            <w:vAlign w:val="center"/>
          </w:tcPr>
          <w:p w14:paraId="51DE7660" w14:textId="77777777" w:rsidR="003115D7" w:rsidRPr="00E2401B" w:rsidRDefault="003115D7" w:rsidP="003115D7">
            <w:pPr>
              <w:rPr>
                <w:szCs w:val="24"/>
              </w:rPr>
            </w:pPr>
            <w:r w:rsidRPr="00E2401B">
              <w:rPr>
                <w:szCs w:val="24"/>
              </w:rPr>
              <w:t>3.522</w:t>
            </w:r>
          </w:p>
        </w:tc>
      </w:tr>
      <w:tr w:rsidR="003115D7" w:rsidRPr="00E2401B" w14:paraId="543DFBEC" w14:textId="77777777" w:rsidTr="003115D7">
        <w:trPr>
          <w:trHeight w:hRule="exact" w:val="360"/>
        </w:trPr>
        <w:tc>
          <w:tcPr>
            <w:tcW w:w="2466" w:type="dxa"/>
            <w:vAlign w:val="center"/>
          </w:tcPr>
          <w:p w14:paraId="0D5ED46C" w14:textId="77777777" w:rsidR="003115D7" w:rsidRPr="00E2401B" w:rsidRDefault="003115D7" w:rsidP="003115D7">
            <w:pPr>
              <w:rPr>
                <w:szCs w:val="24"/>
              </w:rPr>
            </w:pPr>
            <w:r w:rsidRPr="00E2401B">
              <w:rPr>
                <w:szCs w:val="24"/>
              </w:rPr>
              <w:t>242.3</w:t>
            </w:r>
          </w:p>
        </w:tc>
        <w:tc>
          <w:tcPr>
            <w:tcW w:w="2466" w:type="dxa"/>
            <w:vAlign w:val="center"/>
          </w:tcPr>
          <w:p w14:paraId="0A07FB2B" w14:textId="77777777" w:rsidR="003115D7" w:rsidRPr="00E2401B" w:rsidRDefault="003115D7" w:rsidP="003115D7">
            <w:pPr>
              <w:rPr>
                <w:rFonts w:eastAsia="Times New Roman" w:cs="Times New Roman"/>
                <w:color w:val="000000"/>
                <w:szCs w:val="24"/>
              </w:rPr>
            </w:pPr>
            <w:r w:rsidRPr="00E2401B">
              <w:rPr>
                <w:rFonts w:eastAsia="Times New Roman" w:cs="Times New Roman"/>
                <w:color w:val="000000"/>
                <w:szCs w:val="24"/>
              </w:rPr>
              <w:t>1.41</w:t>
            </w:r>
          </w:p>
        </w:tc>
        <w:tc>
          <w:tcPr>
            <w:tcW w:w="2466" w:type="dxa"/>
            <w:vAlign w:val="center"/>
          </w:tcPr>
          <w:p w14:paraId="6F3B627B" w14:textId="77777777" w:rsidR="003115D7" w:rsidRPr="00E2401B" w:rsidRDefault="003115D7" w:rsidP="003115D7">
            <w:pPr>
              <w:rPr>
                <w:szCs w:val="24"/>
              </w:rPr>
            </w:pPr>
            <w:r w:rsidRPr="00E2401B">
              <w:rPr>
                <w:szCs w:val="24"/>
              </w:rPr>
              <w:t>3.602</w:t>
            </w:r>
          </w:p>
        </w:tc>
      </w:tr>
      <w:tr w:rsidR="003115D7" w:rsidRPr="00E2401B" w14:paraId="3E53FA97" w14:textId="77777777" w:rsidTr="003115D7">
        <w:trPr>
          <w:trHeight w:hRule="exact" w:val="360"/>
        </w:trPr>
        <w:tc>
          <w:tcPr>
            <w:tcW w:w="2466" w:type="dxa"/>
            <w:vAlign w:val="center"/>
          </w:tcPr>
          <w:p w14:paraId="68F674A8" w14:textId="77777777" w:rsidR="003115D7" w:rsidRPr="00E2401B" w:rsidRDefault="003115D7" w:rsidP="003115D7">
            <w:pPr>
              <w:rPr>
                <w:szCs w:val="24"/>
              </w:rPr>
            </w:pPr>
            <w:r w:rsidRPr="00E2401B">
              <w:rPr>
                <w:szCs w:val="24"/>
              </w:rPr>
              <w:t>262.3</w:t>
            </w:r>
          </w:p>
        </w:tc>
        <w:tc>
          <w:tcPr>
            <w:tcW w:w="2466" w:type="dxa"/>
            <w:vAlign w:val="center"/>
          </w:tcPr>
          <w:p w14:paraId="51E64EC3" w14:textId="77777777" w:rsidR="003115D7" w:rsidRPr="00E2401B" w:rsidRDefault="003115D7" w:rsidP="003115D7">
            <w:pPr>
              <w:rPr>
                <w:rFonts w:eastAsia="Times New Roman" w:cs="Times New Roman"/>
                <w:color w:val="000000"/>
                <w:szCs w:val="24"/>
              </w:rPr>
            </w:pPr>
            <w:r w:rsidRPr="00E2401B">
              <w:rPr>
                <w:rFonts w:eastAsia="Times New Roman" w:cs="Times New Roman"/>
                <w:color w:val="000000"/>
                <w:szCs w:val="24"/>
              </w:rPr>
              <w:t>1.41</w:t>
            </w:r>
          </w:p>
        </w:tc>
        <w:tc>
          <w:tcPr>
            <w:tcW w:w="2466" w:type="dxa"/>
            <w:vAlign w:val="center"/>
          </w:tcPr>
          <w:p w14:paraId="0B6860BD" w14:textId="77777777" w:rsidR="003115D7" w:rsidRPr="00E2401B" w:rsidRDefault="003115D7" w:rsidP="003115D7">
            <w:pPr>
              <w:rPr>
                <w:szCs w:val="24"/>
              </w:rPr>
            </w:pPr>
            <w:r w:rsidRPr="00E2401B">
              <w:rPr>
                <w:szCs w:val="24"/>
              </w:rPr>
              <w:t>3.766</w:t>
            </w:r>
          </w:p>
        </w:tc>
      </w:tr>
      <w:tr w:rsidR="003115D7" w:rsidRPr="00E2401B" w14:paraId="73D0F201" w14:textId="77777777" w:rsidTr="003115D7">
        <w:trPr>
          <w:trHeight w:hRule="exact" w:val="360"/>
        </w:trPr>
        <w:tc>
          <w:tcPr>
            <w:tcW w:w="2466" w:type="dxa"/>
            <w:vAlign w:val="center"/>
          </w:tcPr>
          <w:p w14:paraId="36C15B15" w14:textId="77777777" w:rsidR="003115D7" w:rsidRPr="00E2401B" w:rsidRDefault="003115D7" w:rsidP="003115D7">
            <w:pPr>
              <w:rPr>
                <w:szCs w:val="24"/>
              </w:rPr>
            </w:pPr>
            <w:r w:rsidRPr="00E2401B">
              <w:rPr>
                <w:szCs w:val="24"/>
              </w:rPr>
              <w:t>302.3</w:t>
            </w:r>
          </w:p>
        </w:tc>
        <w:tc>
          <w:tcPr>
            <w:tcW w:w="2466" w:type="dxa"/>
            <w:vAlign w:val="center"/>
          </w:tcPr>
          <w:p w14:paraId="32D00182" w14:textId="77777777" w:rsidR="003115D7" w:rsidRPr="00E2401B" w:rsidRDefault="003115D7" w:rsidP="003115D7">
            <w:pPr>
              <w:rPr>
                <w:rFonts w:eastAsia="Times New Roman" w:cs="Times New Roman"/>
                <w:color w:val="000000"/>
                <w:szCs w:val="24"/>
              </w:rPr>
            </w:pPr>
            <w:r w:rsidRPr="00E2401B">
              <w:rPr>
                <w:rFonts w:eastAsia="Times New Roman" w:cs="Times New Roman"/>
                <w:color w:val="000000"/>
                <w:szCs w:val="24"/>
              </w:rPr>
              <w:t>1.44</w:t>
            </w:r>
          </w:p>
        </w:tc>
        <w:tc>
          <w:tcPr>
            <w:tcW w:w="2466" w:type="dxa"/>
            <w:vAlign w:val="center"/>
          </w:tcPr>
          <w:p w14:paraId="70D699A3" w14:textId="77777777" w:rsidR="003115D7" w:rsidRPr="00E2401B" w:rsidRDefault="003115D7" w:rsidP="003115D7">
            <w:pPr>
              <w:rPr>
                <w:szCs w:val="24"/>
              </w:rPr>
            </w:pPr>
            <w:r w:rsidRPr="00E2401B">
              <w:rPr>
                <w:szCs w:val="24"/>
              </w:rPr>
              <w:t>4.176</w:t>
            </w:r>
          </w:p>
        </w:tc>
      </w:tr>
      <w:tr w:rsidR="003115D7" w:rsidRPr="00E2401B" w14:paraId="137E8123" w14:textId="77777777" w:rsidTr="003115D7">
        <w:trPr>
          <w:trHeight w:hRule="exact" w:val="360"/>
        </w:trPr>
        <w:tc>
          <w:tcPr>
            <w:tcW w:w="2466" w:type="dxa"/>
            <w:vAlign w:val="center"/>
          </w:tcPr>
          <w:p w14:paraId="31E110DE" w14:textId="77777777" w:rsidR="003115D7" w:rsidRPr="00E2401B" w:rsidRDefault="003115D7" w:rsidP="003115D7">
            <w:pPr>
              <w:rPr>
                <w:szCs w:val="24"/>
              </w:rPr>
            </w:pPr>
            <w:r w:rsidRPr="00E2401B">
              <w:rPr>
                <w:szCs w:val="24"/>
              </w:rPr>
              <w:t>342.3</w:t>
            </w:r>
          </w:p>
        </w:tc>
        <w:tc>
          <w:tcPr>
            <w:tcW w:w="2466" w:type="dxa"/>
            <w:vAlign w:val="center"/>
          </w:tcPr>
          <w:p w14:paraId="2250DBE8" w14:textId="77777777" w:rsidR="003115D7" w:rsidRPr="00E2401B" w:rsidRDefault="003115D7" w:rsidP="003115D7">
            <w:pPr>
              <w:rPr>
                <w:rFonts w:eastAsia="Times New Roman" w:cs="Times New Roman"/>
                <w:color w:val="000000"/>
                <w:szCs w:val="24"/>
              </w:rPr>
            </w:pPr>
            <w:r w:rsidRPr="00E2401B">
              <w:rPr>
                <w:rFonts w:eastAsia="Times New Roman" w:cs="Times New Roman"/>
                <w:color w:val="000000"/>
                <w:szCs w:val="24"/>
              </w:rPr>
              <w:t>1.43</w:t>
            </w:r>
          </w:p>
        </w:tc>
        <w:tc>
          <w:tcPr>
            <w:tcW w:w="2466" w:type="dxa"/>
            <w:vAlign w:val="center"/>
          </w:tcPr>
          <w:p w14:paraId="13112328" w14:textId="77777777" w:rsidR="003115D7" w:rsidRPr="00E2401B" w:rsidRDefault="003115D7" w:rsidP="003115D7">
            <w:pPr>
              <w:rPr>
                <w:szCs w:val="24"/>
              </w:rPr>
            </w:pPr>
            <w:r w:rsidRPr="00E2401B">
              <w:rPr>
                <w:szCs w:val="24"/>
              </w:rPr>
              <w:t>4.450</w:t>
            </w:r>
          </w:p>
        </w:tc>
      </w:tr>
      <w:tr w:rsidR="003115D7" w:rsidRPr="00E2401B" w14:paraId="0E599C05" w14:textId="77777777" w:rsidTr="003115D7">
        <w:trPr>
          <w:trHeight w:hRule="exact" w:val="360"/>
        </w:trPr>
        <w:tc>
          <w:tcPr>
            <w:tcW w:w="2466" w:type="dxa"/>
            <w:vAlign w:val="center"/>
          </w:tcPr>
          <w:p w14:paraId="772CD9C1" w14:textId="77777777" w:rsidR="003115D7" w:rsidRPr="00E2401B" w:rsidRDefault="003115D7" w:rsidP="003115D7">
            <w:pPr>
              <w:rPr>
                <w:szCs w:val="24"/>
              </w:rPr>
            </w:pPr>
            <w:r w:rsidRPr="00E2401B">
              <w:rPr>
                <w:szCs w:val="24"/>
              </w:rPr>
              <w:t>362.3</w:t>
            </w:r>
          </w:p>
        </w:tc>
        <w:tc>
          <w:tcPr>
            <w:tcW w:w="2466" w:type="dxa"/>
            <w:vAlign w:val="center"/>
          </w:tcPr>
          <w:p w14:paraId="0EAAAA3E" w14:textId="77777777" w:rsidR="003115D7" w:rsidRPr="00E2401B" w:rsidRDefault="003115D7" w:rsidP="003115D7">
            <w:pPr>
              <w:rPr>
                <w:rFonts w:eastAsia="Times New Roman" w:cs="Times New Roman"/>
                <w:color w:val="000000"/>
                <w:szCs w:val="24"/>
              </w:rPr>
            </w:pPr>
            <w:r w:rsidRPr="00E2401B">
              <w:rPr>
                <w:rFonts w:eastAsia="Times New Roman" w:cs="Times New Roman"/>
                <w:color w:val="000000"/>
                <w:szCs w:val="24"/>
              </w:rPr>
              <w:t>1.41</w:t>
            </w:r>
          </w:p>
        </w:tc>
        <w:tc>
          <w:tcPr>
            <w:tcW w:w="2466" w:type="dxa"/>
            <w:vAlign w:val="center"/>
          </w:tcPr>
          <w:p w14:paraId="4451BA01" w14:textId="77777777" w:rsidR="003115D7" w:rsidRPr="00E2401B" w:rsidRDefault="003115D7" w:rsidP="003115D7">
            <w:pPr>
              <w:rPr>
                <w:szCs w:val="24"/>
              </w:rPr>
            </w:pPr>
            <w:r w:rsidRPr="00E2401B">
              <w:rPr>
                <w:szCs w:val="24"/>
              </w:rPr>
              <w:t>4.508</w:t>
            </w:r>
          </w:p>
        </w:tc>
      </w:tr>
      <w:tr w:rsidR="003115D7" w:rsidRPr="00E2401B" w14:paraId="0615CC7E" w14:textId="77777777" w:rsidTr="003115D7">
        <w:trPr>
          <w:trHeight w:hRule="exact" w:val="360"/>
        </w:trPr>
        <w:tc>
          <w:tcPr>
            <w:tcW w:w="2466" w:type="dxa"/>
            <w:vAlign w:val="center"/>
          </w:tcPr>
          <w:p w14:paraId="1EC335A0" w14:textId="77777777" w:rsidR="003115D7" w:rsidRPr="00E2401B" w:rsidRDefault="003115D7" w:rsidP="003115D7">
            <w:pPr>
              <w:rPr>
                <w:szCs w:val="24"/>
              </w:rPr>
            </w:pPr>
            <w:r w:rsidRPr="00E2401B">
              <w:rPr>
                <w:szCs w:val="24"/>
              </w:rPr>
              <w:t>392.3</w:t>
            </w:r>
          </w:p>
        </w:tc>
        <w:tc>
          <w:tcPr>
            <w:tcW w:w="2466" w:type="dxa"/>
            <w:vAlign w:val="center"/>
          </w:tcPr>
          <w:p w14:paraId="41ECEB61" w14:textId="77777777" w:rsidR="003115D7" w:rsidRPr="00E2401B" w:rsidRDefault="003115D7" w:rsidP="003115D7">
            <w:pPr>
              <w:rPr>
                <w:rFonts w:eastAsia="Times New Roman" w:cs="Times New Roman"/>
                <w:color w:val="000000"/>
                <w:szCs w:val="24"/>
              </w:rPr>
            </w:pPr>
            <w:r w:rsidRPr="00E2401B">
              <w:rPr>
                <w:rFonts w:eastAsia="Times New Roman" w:cs="Times New Roman"/>
                <w:color w:val="000000"/>
                <w:szCs w:val="24"/>
              </w:rPr>
              <w:t>1.40</w:t>
            </w:r>
          </w:p>
        </w:tc>
        <w:tc>
          <w:tcPr>
            <w:tcW w:w="2466" w:type="dxa"/>
            <w:vAlign w:val="center"/>
          </w:tcPr>
          <w:p w14:paraId="390EC12E" w14:textId="77777777" w:rsidR="003115D7" w:rsidRPr="00E2401B" w:rsidRDefault="003115D7" w:rsidP="003115D7">
            <w:pPr>
              <w:rPr>
                <w:szCs w:val="24"/>
              </w:rPr>
            </w:pPr>
            <w:r w:rsidRPr="00E2401B">
              <w:rPr>
                <w:szCs w:val="24"/>
              </w:rPr>
              <w:t>4.865</w:t>
            </w:r>
          </w:p>
        </w:tc>
      </w:tr>
      <w:tr w:rsidR="003115D7" w:rsidRPr="00E2401B" w14:paraId="1F592EA5" w14:textId="77777777" w:rsidTr="003115D7">
        <w:trPr>
          <w:trHeight w:hRule="exact" w:val="360"/>
        </w:trPr>
        <w:tc>
          <w:tcPr>
            <w:tcW w:w="2466" w:type="dxa"/>
            <w:vAlign w:val="center"/>
          </w:tcPr>
          <w:p w14:paraId="0D52BBE4" w14:textId="77777777" w:rsidR="003115D7" w:rsidRPr="00E2401B" w:rsidRDefault="003115D7" w:rsidP="003115D7">
            <w:pPr>
              <w:rPr>
                <w:szCs w:val="24"/>
              </w:rPr>
            </w:pPr>
            <w:r w:rsidRPr="00E2401B">
              <w:rPr>
                <w:szCs w:val="24"/>
              </w:rPr>
              <w:t>432.3</w:t>
            </w:r>
          </w:p>
        </w:tc>
        <w:tc>
          <w:tcPr>
            <w:tcW w:w="2466" w:type="dxa"/>
            <w:vAlign w:val="center"/>
          </w:tcPr>
          <w:p w14:paraId="39FEE38F" w14:textId="77777777" w:rsidR="003115D7" w:rsidRPr="00E2401B" w:rsidRDefault="003115D7" w:rsidP="003115D7">
            <w:pPr>
              <w:rPr>
                <w:rFonts w:eastAsia="Times New Roman" w:cs="Times New Roman"/>
                <w:color w:val="000000"/>
                <w:szCs w:val="24"/>
              </w:rPr>
            </w:pPr>
            <w:r w:rsidRPr="00E2401B">
              <w:rPr>
                <w:rFonts w:eastAsia="Times New Roman" w:cs="Times New Roman"/>
                <w:color w:val="000000"/>
                <w:szCs w:val="24"/>
              </w:rPr>
              <w:t>1.43</w:t>
            </w:r>
          </w:p>
        </w:tc>
        <w:tc>
          <w:tcPr>
            <w:tcW w:w="2466" w:type="dxa"/>
            <w:vAlign w:val="center"/>
          </w:tcPr>
          <w:p w14:paraId="026CB49A" w14:textId="77777777" w:rsidR="003115D7" w:rsidRPr="00E2401B" w:rsidRDefault="003115D7" w:rsidP="003115D7">
            <w:pPr>
              <w:rPr>
                <w:szCs w:val="24"/>
              </w:rPr>
            </w:pPr>
            <w:r w:rsidRPr="00E2401B">
              <w:rPr>
                <w:szCs w:val="24"/>
              </w:rPr>
              <w:t>4.996</w:t>
            </w:r>
          </w:p>
        </w:tc>
      </w:tr>
    </w:tbl>
    <w:p w14:paraId="4DBE49EF" w14:textId="77777777" w:rsidR="00994A3D" w:rsidRPr="00E2401B" w:rsidRDefault="00994A3D" w:rsidP="00994A3D">
      <w:pPr>
        <w:keepNext/>
        <w:rPr>
          <w:rFonts w:cs="Times New Roman"/>
          <w:szCs w:val="24"/>
        </w:rPr>
      </w:pPr>
    </w:p>
    <w:p w14:paraId="3F1A12BE" w14:textId="77777777" w:rsidR="003115D7" w:rsidRPr="00E2401B" w:rsidRDefault="003115D7" w:rsidP="00994A3D">
      <w:pPr>
        <w:keepNext/>
        <w:rPr>
          <w:rFonts w:cs="Times New Roman"/>
          <w:szCs w:val="24"/>
        </w:rPr>
      </w:pPr>
    </w:p>
    <w:p w14:paraId="664DD033" w14:textId="77777777" w:rsidR="003115D7" w:rsidRPr="00E2401B" w:rsidRDefault="003115D7" w:rsidP="00994A3D">
      <w:pPr>
        <w:keepNext/>
        <w:rPr>
          <w:rFonts w:cs="Times New Roman"/>
          <w:szCs w:val="24"/>
        </w:rPr>
      </w:pPr>
    </w:p>
    <w:p w14:paraId="18274386" w14:textId="623AF05A" w:rsidR="00994A3D" w:rsidRPr="00E2401B" w:rsidRDefault="00AA5748" w:rsidP="00994A3D">
      <w:pPr>
        <w:keepNext/>
        <w:jc w:val="center"/>
        <w:rPr>
          <w:rFonts w:cs="Times New Roman"/>
          <w:szCs w:val="24"/>
        </w:rPr>
      </w:pPr>
      <w:r w:rsidRPr="00E2401B">
        <w:rPr>
          <w:noProof/>
        </w:rPr>
        <w:drawing>
          <wp:inline distT="0" distB="0" distL="0" distR="0" wp14:anchorId="0A238A6F" wp14:editId="44652ED2">
            <wp:extent cx="4988534" cy="366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8680" cy="3664057"/>
                    </a:xfrm>
                    <a:prstGeom prst="rect">
                      <a:avLst/>
                    </a:prstGeom>
                    <a:noFill/>
                    <a:ln>
                      <a:noFill/>
                    </a:ln>
                  </pic:spPr>
                </pic:pic>
              </a:graphicData>
            </a:graphic>
          </wp:inline>
        </w:drawing>
      </w:r>
    </w:p>
    <w:p w14:paraId="7D478251" w14:textId="77777777" w:rsidR="0074693C" w:rsidRPr="00E2401B" w:rsidRDefault="0074693C" w:rsidP="002B4A57">
      <w:pPr>
        <w:keepNext/>
        <w:rPr>
          <w:rFonts w:cs="Times New Roman"/>
          <w:b/>
          <w:szCs w:val="24"/>
        </w:rPr>
      </w:pPr>
    </w:p>
    <w:p w14:paraId="35561C29" w14:textId="1A135D64" w:rsidR="00994A3D" w:rsidRPr="00E2401B" w:rsidRDefault="00994A3D" w:rsidP="002B4A57">
      <w:pPr>
        <w:keepNext/>
        <w:rPr>
          <w:rFonts w:cs="Times New Roman"/>
          <w:b/>
          <w:szCs w:val="24"/>
        </w:rPr>
      </w:pPr>
      <w:proofErr w:type="gramStart"/>
      <w:r w:rsidRPr="00E2401B">
        <w:rPr>
          <w:rFonts w:cs="Times New Roman"/>
          <w:b/>
          <w:szCs w:val="24"/>
        </w:rPr>
        <w:t xml:space="preserve">Supplementary Figure </w:t>
      </w:r>
      <w:r w:rsidRPr="00E2401B">
        <w:rPr>
          <w:rFonts w:cs="Times New Roman"/>
          <w:b/>
          <w:szCs w:val="24"/>
        </w:rPr>
        <w:fldChar w:fldCharType="begin"/>
      </w:r>
      <w:r w:rsidRPr="00E2401B">
        <w:rPr>
          <w:rFonts w:cs="Times New Roman"/>
          <w:b/>
          <w:szCs w:val="24"/>
        </w:rPr>
        <w:instrText xml:space="preserve"> SEQ Figure \* ARABIC </w:instrText>
      </w:r>
      <w:r w:rsidRPr="00E2401B">
        <w:rPr>
          <w:rFonts w:cs="Times New Roman"/>
          <w:b/>
          <w:szCs w:val="24"/>
        </w:rPr>
        <w:fldChar w:fldCharType="separate"/>
      </w:r>
      <w:r w:rsidR="005C3710" w:rsidRPr="00E2401B">
        <w:rPr>
          <w:rFonts w:cs="Times New Roman"/>
          <w:b/>
          <w:noProof/>
          <w:szCs w:val="24"/>
        </w:rPr>
        <w:t>1</w:t>
      </w:r>
      <w:r w:rsidRPr="00E2401B">
        <w:rPr>
          <w:rFonts w:cs="Times New Roman"/>
          <w:b/>
          <w:szCs w:val="24"/>
        </w:rPr>
        <w:fldChar w:fldCharType="end"/>
      </w:r>
      <w:r w:rsidRPr="00E2401B">
        <w:rPr>
          <w:rFonts w:cs="Times New Roman"/>
          <w:b/>
          <w:szCs w:val="24"/>
        </w:rPr>
        <w:t>.</w:t>
      </w:r>
      <w:proofErr w:type="gramEnd"/>
      <w:r w:rsidRPr="00E2401B">
        <w:rPr>
          <w:rFonts w:cs="Times New Roman"/>
          <w:szCs w:val="24"/>
        </w:rPr>
        <w:t xml:space="preserve"> </w:t>
      </w:r>
      <w:r w:rsidR="00AA5748" w:rsidRPr="00E2401B">
        <w:rPr>
          <w:vertAlign w:val="superscript"/>
        </w:rPr>
        <w:t>1</w:t>
      </w:r>
      <w:r w:rsidR="00AA5748" w:rsidRPr="00E2401B">
        <w:t>H NMR spectra acquired on the 400-MHz (dashed blue line) and 600-MHz (solid red line) spectrometers normalized between 0.2-3.0 ppm. Average of all samples collected from depths &gt;90 cm are shown.</w:t>
      </w:r>
      <w:r w:rsidRPr="00E2401B">
        <w:rPr>
          <w:rFonts w:cs="Times New Roman"/>
          <w:szCs w:val="24"/>
        </w:rPr>
        <w:t xml:space="preserve"> </w:t>
      </w:r>
    </w:p>
    <w:p w14:paraId="43831860" w14:textId="3B5F65B9" w:rsidR="0074693C" w:rsidRPr="00E2401B" w:rsidRDefault="0074693C">
      <w:pPr>
        <w:spacing w:before="0" w:after="200" w:line="276" w:lineRule="auto"/>
      </w:pPr>
      <w:r w:rsidRPr="00E2401B">
        <w:br w:type="page"/>
      </w:r>
    </w:p>
    <w:p w14:paraId="1A02508F" w14:textId="6140B468" w:rsidR="0074693C" w:rsidRPr="00E2401B" w:rsidRDefault="00CE4E0E" w:rsidP="0074693C">
      <w:pPr>
        <w:keepNext/>
        <w:rPr>
          <w:rFonts w:cs="Times New Roman"/>
          <w:b/>
          <w:szCs w:val="24"/>
        </w:rPr>
      </w:pPr>
      <w:r>
        <w:rPr>
          <w:rFonts w:cs="Times New Roman"/>
          <w:b/>
          <w:noProof/>
          <w:szCs w:val="24"/>
        </w:rPr>
        <w:lastRenderedPageBreak/>
        <w:drawing>
          <wp:inline distT="0" distB="0" distL="0" distR="0" wp14:anchorId="7864F34A" wp14:editId="58211B67">
            <wp:extent cx="6208395" cy="2945415"/>
            <wp:effectExtent l="0" t="0" r="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8395" cy="2945415"/>
                    </a:xfrm>
                    <a:prstGeom prst="rect">
                      <a:avLst/>
                    </a:prstGeom>
                    <a:noFill/>
                    <a:ln>
                      <a:noFill/>
                    </a:ln>
                  </pic:spPr>
                </pic:pic>
              </a:graphicData>
            </a:graphic>
          </wp:inline>
        </w:drawing>
      </w:r>
    </w:p>
    <w:p w14:paraId="65D93E9C" w14:textId="7473EEC2" w:rsidR="0074693C" w:rsidRPr="00E2401B" w:rsidRDefault="0074693C" w:rsidP="0074693C">
      <w:pPr>
        <w:keepNext/>
        <w:jc w:val="center"/>
        <w:rPr>
          <w:rFonts w:cs="Times New Roman"/>
          <w:b/>
          <w:szCs w:val="24"/>
        </w:rPr>
      </w:pPr>
    </w:p>
    <w:p w14:paraId="5A43DD82" w14:textId="77777777" w:rsidR="0074693C" w:rsidRPr="00E2401B" w:rsidRDefault="0074693C" w:rsidP="0074693C">
      <w:pPr>
        <w:keepNext/>
        <w:rPr>
          <w:rFonts w:cs="Times New Roman"/>
          <w:b/>
          <w:szCs w:val="24"/>
        </w:rPr>
      </w:pPr>
    </w:p>
    <w:p w14:paraId="7895A136" w14:textId="77777777" w:rsidR="0074693C" w:rsidRPr="00E2401B" w:rsidRDefault="0074693C" w:rsidP="0074693C">
      <w:pPr>
        <w:keepNext/>
        <w:rPr>
          <w:rFonts w:cs="Times New Roman"/>
          <w:b/>
          <w:szCs w:val="24"/>
        </w:rPr>
      </w:pPr>
    </w:p>
    <w:p w14:paraId="63A2B231" w14:textId="36B169B4" w:rsidR="0074693C" w:rsidRPr="00E2401B" w:rsidRDefault="0074693C" w:rsidP="0074693C">
      <w:pPr>
        <w:keepNext/>
        <w:rPr>
          <w:rFonts w:cs="Times New Roman"/>
          <w:b/>
          <w:szCs w:val="24"/>
        </w:rPr>
      </w:pPr>
      <w:proofErr w:type="gramStart"/>
      <w:r w:rsidRPr="00E2401B">
        <w:rPr>
          <w:rFonts w:cs="Times New Roman"/>
          <w:b/>
          <w:szCs w:val="24"/>
        </w:rPr>
        <w:t xml:space="preserve">Supplementary Figure </w:t>
      </w:r>
      <w:r w:rsidRPr="00E2401B">
        <w:rPr>
          <w:rFonts w:cs="Times New Roman"/>
          <w:b/>
          <w:szCs w:val="24"/>
        </w:rPr>
        <w:fldChar w:fldCharType="begin"/>
      </w:r>
      <w:r w:rsidRPr="00E2401B">
        <w:rPr>
          <w:rFonts w:cs="Times New Roman"/>
          <w:b/>
          <w:szCs w:val="24"/>
        </w:rPr>
        <w:instrText xml:space="preserve"> SEQ Figure \* ARABIC </w:instrText>
      </w:r>
      <w:r w:rsidRPr="00E2401B">
        <w:rPr>
          <w:rFonts w:cs="Times New Roman"/>
          <w:b/>
          <w:szCs w:val="24"/>
        </w:rPr>
        <w:fldChar w:fldCharType="separate"/>
      </w:r>
      <w:r w:rsidR="005C3710" w:rsidRPr="00E2401B">
        <w:rPr>
          <w:rFonts w:cs="Times New Roman"/>
          <w:b/>
          <w:noProof/>
          <w:szCs w:val="24"/>
        </w:rPr>
        <w:t>2</w:t>
      </w:r>
      <w:r w:rsidRPr="00E2401B">
        <w:rPr>
          <w:rFonts w:cs="Times New Roman"/>
          <w:b/>
          <w:szCs w:val="24"/>
        </w:rPr>
        <w:fldChar w:fldCharType="end"/>
      </w:r>
      <w:r w:rsidRPr="00E2401B">
        <w:rPr>
          <w:rFonts w:cs="Times New Roman"/>
          <w:b/>
          <w:szCs w:val="24"/>
        </w:rPr>
        <w:t>.</w:t>
      </w:r>
      <w:proofErr w:type="gramEnd"/>
      <w:r w:rsidRPr="00E2401B">
        <w:rPr>
          <w:rFonts w:cs="Times New Roman"/>
          <w:szCs w:val="24"/>
        </w:rPr>
        <w:t xml:space="preserve"> </w:t>
      </w:r>
      <w:r w:rsidRPr="00E2401B">
        <w:rPr>
          <w:rFonts w:cs="Times New Roman"/>
        </w:rPr>
        <w:t>Depth variability in the areas of normalized spectra attributed to peaks (</w:t>
      </w:r>
      <w:r w:rsidRPr="00E2401B">
        <w:rPr>
          <w:rFonts w:cs="Times New Roman"/>
          <w:i/>
        </w:rPr>
        <w:t>C-M</w:t>
      </w:r>
      <w:r w:rsidRPr="00E2401B">
        <w:rPr>
          <w:rFonts w:cs="Times New Roman"/>
        </w:rPr>
        <w:t>) and bands (</w:t>
      </w:r>
      <w:r w:rsidRPr="00E2401B">
        <w:rPr>
          <w:rFonts w:cs="Times New Roman"/>
          <w:i/>
        </w:rPr>
        <w:t>N, O, P, G, K</w:t>
      </w:r>
      <w:r w:rsidRPr="00E2401B">
        <w:rPr>
          <w:rFonts w:cs="Times New Roman"/>
        </w:rPr>
        <w:t>, and total CRAM) obtained on the 600 MHz instrument. Horizontal dashed lines indicate the upper and lower bounds of the sulfate-methane transition zone (SMTZ, 125</w:t>
      </w:r>
      <w:r w:rsidRPr="00E2401B">
        <w:rPr>
          <w:rFonts w:cs="Times New Roman"/>
        </w:rPr>
        <w:sym w:font="Symbol" w:char="F0B1"/>
      </w:r>
      <w:r w:rsidRPr="00E2401B">
        <w:rPr>
          <w:rFonts w:cs="Times New Roman"/>
        </w:rPr>
        <w:t>20 cm; see Section 4.1.1.)</w:t>
      </w:r>
      <w:r w:rsidRPr="00E2401B">
        <w:t>.</w:t>
      </w:r>
      <w:r w:rsidRPr="00E2401B">
        <w:rPr>
          <w:rFonts w:cs="Times New Roman"/>
          <w:szCs w:val="24"/>
        </w:rPr>
        <w:t xml:space="preserve"> </w:t>
      </w:r>
    </w:p>
    <w:p w14:paraId="55CE2D44" w14:textId="0C6D74D6" w:rsidR="00EE76A6" w:rsidRPr="00E2401B" w:rsidRDefault="00EE76A6">
      <w:pPr>
        <w:spacing w:before="0" w:after="200" w:line="276" w:lineRule="auto"/>
      </w:pPr>
      <w:r w:rsidRPr="00E2401B">
        <w:br w:type="page"/>
      </w:r>
    </w:p>
    <w:p w14:paraId="17E23C01" w14:textId="77777777" w:rsidR="00EE76A6" w:rsidRPr="00E2401B" w:rsidRDefault="00EE76A6" w:rsidP="00EE76A6">
      <w:pPr>
        <w:keepNext/>
        <w:rPr>
          <w:rFonts w:cs="Times New Roman"/>
          <w:b/>
          <w:szCs w:val="24"/>
        </w:rPr>
      </w:pPr>
    </w:p>
    <w:p w14:paraId="5D24BBF1" w14:textId="77777777" w:rsidR="00EE76A6" w:rsidRPr="00E2401B" w:rsidRDefault="00EE76A6" w:rsidP="00EE76A6">
      <w:pPr>
        <w:keepNext/>
        <w:rPr>
          <w:rFonts w:cs="Times New Roman"/>
          <w:b/>
          <w:szCs w:val="24"/>
        </w:rPr>
      </w:pPr>
    </w:p>
    <w:p w14:paraId="654AF4A0" w14:textId="3F0C7A73" w:rsidR="00EE76A6" w:rsidRPr="00E2401B" w:rsidRDefault="00EE76A6" w:rsidP="00EE76A6">
      <w:pPr>
        <w:keepNext/>
        <w:jc w:val="center"/>
        <w:rPr>
          <w:rFonts w:cs="Times New Roman"/>
          <w:b/>
          <w:szCs w:val="24"/>
        </w:rPr>
      </w:pPr>
      <w:r w:rsidRPr="00E2401B">
        <w:rPr>
          <w:noProof/>
        </w:rPr>
        <w:drawing>
          <wp:inline distT="0" distB="0" distL="0" distR="0" wp14:anchorId="5CC257CE" wp14:editId="26AF655C">
            <wp:extent cx="6126480" cy="288226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480" cy="2882265"/>
                    </a:xfrm>
                    <a:prstGeom prst="rect">
                      <a:avLst/>
                    </a:prstGeom>
                    <a:noFill/>
                    <a:ln>
                      <a:noFill/>
                    </a:ln>
                  </pic:spPr>
                </pic:pic>
              </a:graphicData>
            </a:graphic>
          </wp:inline>
        </w:drawing>
      </w:r>
    </w:p>
    <w:p w14:paraId="7B08D209" w14:textId="77777777" w:rsidR="005759FD" w:rsidRPr="00E2401B" w:rsidRDefault="005759FD" w:rsidP="00EE76A6">
      <w:pPr>
        <w:keepNext/>
        <w:rPr>
          <w:rFonts w:cs="Times New Roman"/>
          <w:b/>
          <w:szCs w:val="24"/>
        </w:rPr>
      </w:pPr>
    </w:p>
    <w:p w14:paraId="3D2D8F60" w14:textId="0591E990" w:rsidR="00EE76A6" w:rsidRPr="002B4A57" w:rsidRDefault="00EE76A6" w:rsidP="00EE76A6">
      <w:pPr>
        <w:keepNext/>
        <w:rPr>
          <w:rFonts w:cs="Times New Roman"/>
          <w:b/>
          <w:szCs w:val="24"/>
        </w:rPr>
      </w:pPr>
      <w:proofErr w:type="gramStart"/>
      <w:r w:rsidRPr="00E2401B">
        <w:rPr>
          <w:rFonts w:cs="Times New Roman"/>
          <w:b/>
          <w:szCs w:val="24"/>
        </w:rPr>
        <w:t xml:space="preserve">Supplementary Figure </w:t>
      </w:r>
      <w:r w:rsidRPr="00E2401B">
        <w:rPr>
          <w:rFonts w:cs="Times New Roman"/>
          <w:b/>
          <w:szCs w:val="24"/>
        </w:rPr>
        <w:fldChar w:fldCharType="begin"/>
      </w:r>
      <w:r w:rsidRPr="00E2401B">
        <w:rPr>
          <w:rFonts w:cs="Times New Roman"/>
          <w:b/>
          <w:szCs w:val="24"/>
        </w:rPr>
        <w:instrText xml:space="preserve"> SEQ Figure \* ARABIC </w:instrText>
      </w:r>
      <w:r w:rsidRPr="00E2401B">
        <w:rPr>
          <w:rFonts w:cs="Times New Roman"/>
          <w:b/>
          <w:szCs w:val="24"/>
        </w:rPr>
        <w:fldChar w:fldCharType="separate"/>
      </w:r>
      <w:r w:rsidR="005C3710" w:rsidRPr="00E2401B">
        <w:rPr>
          <w:rFonts w:cs="Times New Roman"/>
          <w:b/>
          <w:noProof/>
          <w:szCs w:val="24"/>
        </w:rPr>
        <w:t>3</w:t>
      </w:r>
      <w:r w:rsidRPr="00E2401B">
        <w:rPr>
          <w:rFonts w:cs="Times New Roman"/>
          <w:b/>
          <w:szCs w:val="24"/>
        </w:rPr>
        <w:fldChar w:fldCharType="end"/>
      </w:r>
      <w:r w:rsidRPr="00E2401B">
        <w:rPr>
          <w:rFonts w:cs="Times New Roman"/>
          <w:b/>
          <w:szCs w:val="24"/>
        </w:rPr>
        <w:t>.</w:t>
      </w:r>
      <w:proofErr w:type="gramEnd"/>
      <w:r w:rsidRPr="00E2401B">
        <w:rPr>
          <w:rFonts w:cs="Times New Roman"/>
          <w:szCs w:val="24"/>
        </w:rPr>
        <w:t xml:space="preserve"> </w:t>
      </w:r>
      <w:r w:rsidRPr="00E2401B">
        <w:rPr>
          <w:rFonts w:cs="Times New Roman"/>
        </w:rPr>
        <w:t>DOC concentrations (</w:t>
      </w:r>
      <w:r w:rsidRPr="00E2401B">
        <w:rPr>
          <w:rFonts w:cs="Times New Roman"/>
        </w:rPr>
        <w:sym w:font="Symbol" w:char="F06D"/>
      </w:r>
      <w:r w:rsidRPr="00E2401B">
        <w:rPr>
          <w:rFonts w:cs="Times New Roman"/>
        </w:rPr>
        <w:t>M) attributed to peaks (</w:t>
      </w:r>
      <w:r w:rsidRPr="00E2401B">
        <w:rPr>
          <w:rFonts w:cs="Times New Roman"/>
          <w:i/>
        </w:rPr>
        <w:t>C</w:t>
      </w:r>
      <w:r w:rsidRPr="00E2401B">
        <w:rPr>
          <w:rFonts w:cs="Times New Roman"/>
        </w:rPr>
        <w:t>-</w:t>
      </w:r>
      <w:r w:rsidR="00E76A62">
        <w:rPr>
          <w:rFonts w:cs="Times New Roman"/>
          <w:i/>
        </w:rPr>
        <w:t>M</w:t>
      </w:r>
      <w:r w:rsidRPr="00E2401B">
        <w:rPr>
          <w:rFonts w:cs="Times New Roman"/>
        </w:rPr>
        <w:t>)</w:t>
      </w:r>
      <w:r w:rsidR="00E76A62">
        <w:rPr>
          <w:rFonts w:cs="Times New Roman"/>
        </w:rPr>
        <w:t>, bands (</w:t>
      </w:r>
      <w:r w:rsidR="00E76A62">
        <w:rPr>
          <w:rFonts w:cs="Times New Roman"/>
          <w:i/>
        </w:rPr>
        <w:t>N-P</w:t>
      </w:r>
      <w:r w:rsidR="00E76A62">
        <w:rPr>
          <w:rFonts w:cs="Times New Roman"/>
        </w:rPr>
        <w:t xml:space="preserve">, </w:t>
      </w:r>
      <w:r w:rsidR="00E76A62" w:rsidRPr="00E76A62">
        <w:rPr>
          <w:rFonts w:cs="Times New Roman"/>
          <w:i/>
        </w:rPr>
        <w:t>G</w:t>
      </w:r>
      <w:r w:rsidR="00E76A62">
        <w:rPr>
          <w:rFonts w:cs="Times New Roman"/>
        </w:rPr>
        <w:t xml:space="preserve">, </w:t>
      </w:r>
      <w:r w:rsidR="00E76A62" w:rsidRPr="00E76A62">
        <w:rPr>
          <w:rFonts w:cs="Times New Roman"/>
          <w:i/>
        </w:rPr>
        <w:t>K</w:t>
      </w:r>
      <w:r w:rsidR="00E76A62">
        <w:rPr>
          <w:rFonts w:cs="Times New Roman"/>
        </w:rPr>
        <w:t>),</w:t>
      </w:r>
      <w:r w:rsidRPr="00E2401B">
        <w:rPr>
          <w:rFonts w:cs="Times New Roman"/>
        </w:rPr>
        <w:t xml:space="preserve"> and CRAM. Bands </w:t>
      </w:r>
      <w:r w:rsidRPr="00E2401B">
        <w:rPr>
          <w:rFonts w:cs="Times New Roman"/>
          <w:i/>
        </w:rPr>
        <w:t>G</w:t>
      </w:r>
      <w:r w:rsidRPr="00E2401B">
        <w:rPr>
          <w:rFonts w:cs="Times New Roman"/>
        </w:rPr>
        <w:t xml:space="preserve"> and </w:t>
      </w:r>
      <w:r w:rsidRPr="00E2401B">
        <w:rPr>
          <w:rFonts w:cs="Times New Roman"/>
          <w:i/>
        </w:rPr>
        <w:t>K</w:t>
      </w:r>
      <w:r w:rsidRPr="00E2401B">
        <w:rPr>
          <w:rFonts w:cs="Times New Roman"/>
        </w:rPr>
        <w:t xml:space="preserve"> are considered parts of CRAM. DOC values were calculated from peak areas in the normalized spectra obtained on the 600 MHz instrument as described in S1. Dashed lines indicate the upper and lower bounds of the sulfate-methane transition zone (SMTZ, </w:t>
      </w:r>
      <w:r w:rsidRPr="00E2401B">
        <w:rPr>
          <w:color w:val="000000" w:themeColor="text1"/>
        </w:rPr>
        <w:t>125</w:t>
      </w:r>
      <w:r w:rsidRPr="00E2401B">
        <w:rPr>
          <w:color w:val="000000" w:themeColor="text1"/>
        </w:rPr>
        <w:sym w:font="Symbol" w:char="F0B1"/>
      </w:r>
      <w:r w:rsidRPr="00E2401B">
        <w:rPr>
          <w:color w:val="000000" w:themeColor="text1"/>
        </w:rPr>
        <w:t>10 cm</w:t>
      </w:r>
      <w:r w:rsidRPr="00E2401B">
        <w:rPr>
          <w:rFonts w:cs="Times New Roman"/>
        </w:rPr>
        <w:t>; see Section 4.1.1.)</w:t>
      </w:r>
      <w:r w:rsidRPr="00E2401B">
        <w:t>.</w:t>
      </w:r>
      <w:r w:rsidRPr="001549D3">
        <w:rPr>
          <w:rFonts w:cs="Times New Roman"/>
          <w:szCs w:val="24"/>
        </w:rPr>
        <w:t xml:space="preserve"> </w:t>
      </w:r>
    </w:p>
    <w:p w14:paraId="5E27EFF6" w14:textId="77777777" w:rsidR="00DE23E8" w:rsidRDefault="00DE23E8" w:rsidP="00654E8F">
      <w:pPr>
        <w:spacing w:before="240"/>
      </w:pPr>
    </w:p>
    <w:p w14:paraId="11F96684" w14:textId="1379CDC6" w:rsidR="00075439" w:rsidRPr="00E2401B" w:rsidRDefault="00075439" w:rsidP="00075439">
      <w:pPr>
        <w:pStyle w:val="Heading1"/>
      </w:pPr>
      <w:r w:rsidRPr="00E2401B">
        <w:t>References</w:t>
      </w:r>
    </w:p>
    <w:p w14:paraId="2003EB23" w14:textId="36640CCC" w:rsidR="00FF34BE" w:rsidRPr="00E2401B" w:rsidRDefault="00FF34BE" w:rsidP="00FF34BE">
      <w:pPr>
        <w:widowControl w:val="0"/>
        <w:autoSpaceDE w:val="0"/>
        <w:autoSpaceDN w:val="0"/>
        <w:adjustRightInd w:val="0"/>
        <w:ind w:left="480" w:hanging="480"/>
        <w:rPr>
          <w:rFonts w:cs="Times New Roman"/>
          <w:noProof/>
          <w:szCs w:val="24"/>
        </w:rPr>
      </w:pPr>
      <w:r w:rsidRPr="00E2401B">
        <w:fldChar w:fldCharType="begin" w:fldLock="1"/>
      </w:r>
      <w:r w:rsidRPr="00E2401B">
        <w:instrText xml:space="preserve">ADDIN Mendeley Bibliography CSL_BIBLIOGRAPHY </w:instrText>
      </w:r>
      <w:r w:rsidRPr="00E2401B">
        <w:fldChar w:fldCharType="separate"/>
      </w:r>
      <w:r w:rsidRPr="00E2401B">
        <w:rPr>
          <w:rFonts w:cs="Times New Roman"/>
          <w:noProof/>
          <w:szCs w:val="24"/>
        </w:rPr>
        <w:t xml:space="preserve">Abdulla, H. A., Burdige, D. J., and Komada, T. (2018). Accumulation of Deaminated Peptides in Anoxic Sediments of Santa Barbara Basin. </w:t>
      </w:r>
      <w:r w:rsidRPr="00E2401B">
        <w:rPr>
          <w:rFonts w:cs="Times New Roman"/>
          <w:i/>
          <w:iCs/>
          <w:noProof/>
          <w:szCs w:val="24"/>
        </w:rPr>
        <w:t>Geochim. Cosmochim. Acta</w:t>
      </w:r>
      <w:r w:rsidRPr="00E2401B">
        <w:rPr>
          <w:rFonts w:cs="Times New Roman"/>
          <w:noProof/>
          <w:szCs w:val="24"/>
        </w:rPr>
        <w:t xml:space="preserve"> 223, 245–258.</w:t>
      </w:r>
    </w:p>
    <w:p w14:paraId="516058FB" w14:textId="374BCA1F" w:rsidR="00FF34BE" w:rsidRPr="00E2401B" w:rsidRDefault="00FF34BE" w:rsidP="00FF34BE">
      <w:pPr>
        <w:widowControl w:val="0"/>
        <w:autoSpaceDE w:val="0"/>
        <w:autoSpaceDN w:val="0"/>
        <w:adjustRightInd w:val="0"/>
        <w:ind w:left="480" w:hanging="480"/>
        <w:rPr>
          <w:rFonts w:cs="Times New Roman"/>
          <w:noProof/>
          <w:szCs w:val="24"/>
        </w:rPr>
      </w:pPr>
      <w:r w:rsidRPr="00E2401B">
        <w:rPr>
          <w:rFonts w:cs="Times New Roman"/>
          <w:noProof/>
          <w:szCs w:val="24"/>
        </w:rPr>
        <w:t xml:space="preserve">Burdige, D. J., Komada, T., Magen, C., and Chanton, J. P. (2016). Modeling studies of dissolved organic matter cycling in Santa Barbara Basin (CA, USA) sediments. </w:t>
      </w:r>
      <w:r w:rsidRPr="00E2401B">
        <w:rPr>
          <w:rFonts w:cs="Times New Roman"/>
          <w:i/>
          <w:iCs/>
          <w:noProof/>
          <w:szCs w:val="24"/>
        </w:rPr>
        <w:t>Geochim. Cosmochim. Acta</w:t>
      </w:r>
      <w:r w:rsidRPr="00E2401B">
        <w:rPr>
          <w:rFonts w:cs="Times New Roman"/>
          <w:noProof/>
          <w:szCs w:val="24"/>
        </w:rPr>
        <w:t xml:space="preserve"> 195, 100–119. </w:t>
      </w:r>
    </w:p>
    <w:p w14:paraId="78428905" w14:textId="77777777" w:rsidR="00FF34BE" w:rsidRPr="00E2401B" w:rsidRDefault="00FF34BE" w:rsidP="00FF34BE">
      <w:pPr>
        <w:widowControl w:val="0"/>
        <w:autoSpaceDE w:val="0"/>
        <w:autoSpaceDN w:val="0"/>
        <w:adjustRightInd w:val="0"/>
        <w:ind w:left="480" w:hanging="480"/>
        <w:rPr>
          <w:rFonts w:cs="Times New Roman"/>
          <w:noProof/>
          <w:szCs w:val="24"/>
        </w:rPr>
      </w:pPr>
      <w:r w:rsidRPr="00E2401B">
        <w:rPr>
          <w:rFonts w:cs="Times New Roman"/>
          <w:noProof/>
          <w:szCs w:val="24"/>
        </w:rPr>
        <w:t xml:space="preserve">Hertkorn, N., Benner, R., Frommberger, M., Schmitt-Kopplin, P., Witt, M., Kaiser, K., et al. (2006). Characterization of a major refractory component of marine dissolved organic matter. </w:t>
      </w:r>
      <w:r w:rsidRPr="00E2401B">
        <w:rPr>
          <w:rFonts w:cs="Times New Roman"/>
          <w:i/>
          <w:iCs/>
          <w:noProof/>
          <w:szCs w:val="24"/>
        </w:rPr>
        <w:t>Geochim. Cosmochim. Acta</w:t>
      </w:r>
      <w:r w:rsidRPr="00E2401B">
        <w:rPr>
          <w:rFonts w:cs="Times New Roman"/>
          <w:noProof/>
          <w:szCs w:val="24"/>
        </w:rPr>
        <w:t xml:space="preserve"> 70, 2990–3010.</w:t>
      </w:r>
    </w:p>
    <w:p w14:paraId="2B8F7DFA" w14:textId="77777777" w:rsidR="00FF34BE" w:rsidRPr="00E2401B" w:rsidRDefault="00FF34BE" w:rsidP="00FF34BE">
      <w:pPr>
        <w:widowControl w:val="0"/>
        <w:autoSpaceDE w:val="0"/>
        <w:autoSpaceDN w:val="0"/>
        <w:adjustRightInd w:val="0"/>
        <w:ind w:left="480" w:hanging="480"/>
        <w:rPr>
          <w:rFonts w:cs="Times New Roman"/>
          <w:noProof/>
        </w:rPr>
      </w:pPr>
      <w:r w:rsidRPr="00E2401B">
        <w:rPr>
          <w:rFonts w:cs="Times New Roman"/>
          <w:noProof/>
          <w:szCs w:val="24"/>
        </w:rPr>
        <w:t xml:space="preserve">Hertkorn, N., Harir, M., Koch, B., Michalke, B., and Schmitt-Kopplin, P. (2013). High-field NMR spectroscopy and FTICR mass spectrometry: powerful discovery tools for the molecular level characterization of marine dissolved organic matter. </w:t>
      </w:r>
      <w:r w:rsidRPr="00E2401B">
        <w:rPr>
          <w:rFonts w:cs="Times New Roman"/>
          <w:i/>
          <w:iCs/>
          <w:noProof/>
          <w:szCs w:val="24"/>
        </w:rPr>
        <w:t>Biogeosciences</w:t>
      </w:r>
      <w:r w:rsidRPr="00E2401B">
        <w:rPr>
          <w:rFonts w:cs="Times New Roman"/>
          <w:noProof/>
          <w:szCs w:val="24"/>
        </w:rPr>
        <w:t xml:space="preserve"> 10, 1583–1624.</w:t>
      </w:r>
    </w:p>
    <w:p w14:paraId="1B5E769F" w14:textId="67BB7843" w:rsidR="00075439" w:rsidRPr="001549D3" w:rsidRDefault="00FF34BE" w:rsidP="00E2401B">
      <w:r w:rsidRPr="00E2401B">
        <w:fldChar w:fldCharType="end"/>
      </w:r>
    </w:p>
    <w:sectPr w:rsidR="00075439"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76409" w14:textId="77777777" w:rsidR="003179CF" w:rsidRDefault="003179CF" w:rsidP="00117666">
      <w:pPr>
        <w:spacing w:after="0"/>
      </w:pPr>
      <w:r>
        <w:separator/>
      </w:r>
    </w:p>
  </w:endnote>
  <w:endnote w:type="continuationSeparator" w:id="0">
    <w:p w14:paraId="58560139" w14:textId="77777777" w:rsidR="003179CF" w:rsidRDefault="003179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26EBB" w14:textId="77777777" w:rsidR="003179CF" w:rsidRPr="00577C4C" w:rsidRDefault="003179CF">
    <w:pPr>
      <w:rPr>
        <w:color w:val="C00000"/>
        <w:szCs w:val="24"/>
      </w:rPr>
    </w:pPr>
    <w:r>
      <w:rPr>
        <w:noProof/>
      </w:rPr>
      <mc:AlternateContent>
        <mc:Choice Requires="wps">
          <w:drawing>
            <wp:anchor distT="0" distB="0" distL="114300" distR="114300" simplePos="0" relativeHeight="251659264" behindDoc="0" locked="0" layoutInCell="1" allowOverlap="1" wp14:anchorId="4B57F893" wp14:editId="08E7EA8F">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2F0001BE" w14:textId="77777777" w:rsidR="003179CF" w:rsidRPr="00577C4C" w:rsidRDefault="003179C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13105">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2F0001BE" w14:textId="77777777" w:rsidR="003179CF" w:rsidRPr="00577C4C" w:rsidRDefault="003179C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8255B">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AE198" w14:textId="77777777" w:rsidR="003179CF" w:rsidRPr="00577C4C" w:rsidRDefault="003179CF">
    <w:pPr>
      <w:rPr>
        <w:b/>
        <w:sz w:val="20"/>
        <w:szCs w:val="24"/>
      </w:rPr>
    </w:pPr>
    <w:r>
      <w:rPr>
        <w:noProof/>
      </w:rPr>
      <mc:AlternateContent>
        <mc:Choice Requires="wps">
          <w:drawing>
            <wp:anchor distT="0" distB="0" distL="114300" distR="114300" simplePos="0" relativeHeight="251646976" behindDoc="0" locked="0" layoutInCell="1" allowOverlap="1" wp14:anchorId="441E2A8B" wp14:editId="5452F1FC">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3FE15C90" w14:textId="77777777" w:rsidR="003179CF" w:rsidRPr="00577C4C" w:rsidRDefault="003179C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375EF">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3FE15C90" w14:textId="77777777" w:rsidR="003179CF" w:rsidRPr="00577C4C" w:rsidRDefault="003179C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76A62">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DB8C8" w14:textId="77777777" w:rsidR="003179CF" w:rsidRDefault="003179CF" w:rsidP="00117666">
      <w:pPr>
        <w:spacing w:after="0"/>
      </w:pPr>
      <w:r>
        <w:separator/>
      </w:r>
    </w:p>
  </w:footnote>
  <w:footnote w:type="continuationSeparator" w:id="0">
    <w:p w14:paraId="0F2B25C4" w14:textId="77777777" w:rsidR="003179CF" w:rsidRDefault="003179CF"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A0DDB" w14:textId="77777777" w:rsidR="003179CF" w:rsidRPr="009151AA" w:rsidRDefault="003179C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1CF70" w14:textId="77777777" w:rsidR="003179CF" w:rsidRDefault="003179CF" w:rsidP="0093429D">
    <w:r w:rsidRPr="005A1D84">
      <w:rPr>
        <w:b/>
        <w:noProof/>
        <w:color w:val="A6A6A6" w:themeColor="background1" w:themeShade="A6"/>
      </w:rPr>
      <w:drawing>
        <wp:inline distT="0" distB="0" distL="0" distR="0" wp14:anchorId="0D1A2213" wp14:editId="3E99D7F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9F7"/>
    <w:rsid w:val="0001436A"/>
    <w:rsid w:val="00034304"/>
    <w:rsid w:val="00035434"/>
    <w:rsid w:val="00052A14"/>
    <w:rsid w:val="00075439"/>
    <w:rsid w:val="00077D53"/>
    <w:rsid w:val="000E5953"/>
    <w:rsid w:val="00105FD9"/>
    <w:rsid w:val="00117666"/>
    <w:rsid w:val="001549D3"/>
    <w:rsid w:val="00160065"/>
    <w:rsid w:val="00177D84"/>
    <w:rsid w:val="001A000D"/>
    <w:rsid w:val="001B137D"/>
    <w:rsid w:val="002375EF"/>
    <w:rsid w:val="00267D18"/>
    <w:rsid w:val="002868E2"/>
    <w:rsid w:val="002869C3"/>
    <w:rsid w:val="002936E4"/>
    <w:rsid w:val="002B4A57"/>
    <w:rsid w:val="002C74CA"/>
    <w:rsid w:val="003115D7"/>
    <w:rsid w:val="003179CF"/>
    <w:rsid w:val="0034440A"/>
    <w:rsid w:val="003544FB"/>
    <w:rsid w:val="0038255B"/>
    <w:rsid w:val="003D2F2D"/>
    <w:rsid w:val="00401590"/>
    <w:rsid w:val="00447801"/>
    <w:rsid w:val="00452E9C"/>
    <w:rsid w:val="004735C8"/>
    <w:rsid w:val="004822C8"/>
    <w:rsid w:val="0048607B"/>
    <w:rsid w:val="004961FF"/>
    <w:rsid w:val="00517A89"/>
    <w:rsid w:val="005250F2"/>
    <w:rsid w:val="00562080"/>
    <w:rsid w:val="005759FD"/>
    <w:rsid w:val="00593EEA"/>
    <w:rsid w:val="005A5EEE"/>
    <w:rsid w:val="005B0D07"/>
    <w:rsid w:val="005C3710"/>
    <w:rsid w:val="006375C7"/>
    <w:rsid w:val="00654E8F"/>
    <w:rsid w:val="00660D05"/>
    <w:rsid w:val="006820B1"/>
    <w:rsid w:val="006B7D14"/>
    <w:rsid w:val="00701727"/>
    <w:rsid w:val="0070566C"/>
    <w:rsid w:val="00713105"/>
    <w:rsid w:val="00714C50"/>
    <w:rsid w:val="00725A7D"/>
    <w:rsid w:val="0074693C"/>
    <w:rsid w:val="007501BE"/>
    <w:rsid w:val="00790BB3"/>
    <w:rsid w:val="007C206C"/>
    <w:rsid w:val="007E10CD"/>
    <w:rsid w:val="00817DD6"/>
    <w:rsid w:val="00885156"/>
    <w:rsid w:val="008D5A10"/>
    <w:rsid w:val="008F2942"/>
    <w:rsid w:val="009151AA"/>
    <w:rsid w:val="0093429D"/>
    <w:rsid w:val="00943573"/>
    <w:rsid w:val="00970F7D"/>
    <w:rsid w:val="00994A3D"/>
    <w:rsid w:val="009B0796"/>
    <w:rsid w:val="009C2B12"/>
    <w:rsid w:val="009D5192"/>
    <w:rsid w:val="00A174D9"/>
    <w:rsid w:val="00A8044A"/>
    <w:rsid w:val="00AA5748"/>
    <w:rsid w:val="00AB6715"/>
    <w:rsid w:val="00AF5691"/>
    <w:rsid w:val="00B13105"/>
    <w:rsid w:val="00B1671E"/>
    <w:rsid w:val="00B16A61"/>
    <w:rsid w:val="00B25EB8"/>
    <w:rsid w:val="00B37F4D"/>
    <w:rsid w:val="00C47CBD"/>
    <w:rsid w:val="00C52A7B"/>
    <w:rsid w:val="00C56BAF"/>
    <w:rsid w:val="00C679AA"/>
    <w:rsid w:val="00C75972"/>
    <w:rsid w:val="00CD066B"/>
    <w:rsid w:val="00CD6ED3"/>
    <w:rsid w:val="00CE4E0E"/>
    <w:rsid w:val="00CE4FEE"/>
    <w:rsid w:val="00D1739E"/>
    <w:rsid w:val="00DA5796"/>
    <w:rsid w:val="00DB59C3"/>
    <w:rsid w:val="00DC259A"/>
    <w:rsid w:val="00DE23E8"/>
    <w:rsid w:val="00E21085"/>
    <w:rsid w:val="00E2401B"/>
    <w:rsid w:val="00E341FC"/>
    <w:rsid w:val="00E52377"/>
    <w:rsid w:val="00E64E17"/>
    <w:rsid w:val="00E76A62"/>
    <w:rsid w:val="00E866C9"/>
    <w:rsid w:val="00EA3D3C"/>
    <w:rsid w:val="00EE76A6"/>
    <w:rsid w:val="00F46900"/>
    <w:rsid w:val="00F61D89"/>
    <w:rsid w:val="00F739F7"/>
    <w:rsid w:val="00F80295"/>
    <w:rsid w:val="00FF34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66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nhideWhenUsed/>
    <w:rsid w:val="00AB6715"/>
    <w:rPr>
      <w:sz w:val="16"/>
      <w:szCs w:val="16"/>
    </w:rPr>
  </w:style>
  <w:style w:type="paragraph" w:styleId="CommentText">
    <w:name w:val="annotation text"/>
    <w:basedOn w:val="Normal"/>
    <w:link w:val="CommentTextChar"/>
    <w:unhideWhenUsed/>
    <w:rsid w:val="00AB6715"/>
    <w:rPr>
      <w:sz w:val="20"/>
      <w:szCs w:val="20"/>
    </w:rPr>
  </w:style>
  <w:style w:type="character" w:customStyle="1" w:styleId="CommentTextChar">
    <w:name w:val="Comment Text Char"/>
    <w:basedOn w:val="DefaultParagraphFont"/>
    <w:link w:val="CommentText"/>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TAMainText">
    <w:name w:val="TA_Main_Text"/>
    <w:basedOn w:val="Normal"/>
    <w:link w:val="TAMainTextChar"/>
    <w:rsid w:val="003115D7"/>
    <w:pPr>
      <w:spacing w:before="0" w:after="0" w:line="480" w:lineRule="auto"/>
      <w:ind w:firstLine="202"/>
      <w:jc w:val="both"/>
    </w:pPr>
    <w:rPr>
      <w:rFonts w:ascii="Times" w:eastAsia="Times New Roman" w:hAnsi="Times" w:cs="Times New Roman"/>
      <w:szCs w:val="20"/>
      <w:lang w:val="en-GB"/>
    </w:rPr>
  </w:style>
  <w:style w:type="character" w:customStyle="1" w:styleId="TAMainTextChar">
    <w:name w:val="TA_Main_Text Char"/>
    <w:link w:val="TAMainText"/>
    <w:rsid w:val="003115D7"/>
    <w:rPr>
      <w:rFonts w:ascii="Times" w:eastAsia="Times New Roman" w:hAnsi="Times" w:cs="Times New Roman"/>
      <w:sz w:val="24"/>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nhideWhenUsed/>
    <w:rsid w:val="00AB6715"/>
    <w:rPr>
      <w:sz w:val="16"/>
      <w:szCs w:val="16"/>
    </w:rPr>
  </w:style>
  <w:style w:type="paragraph" w:styleId="CommentText">
    <w:name w:val="annotation text"/>
    <w:basedOn w:val="Normal"/>
    <w:link w:val="CommentTextChar"/>
    <w:unhideWhenUsed/>
    <w:rsid w:val="00AB6715"/>
    <w:rPr>
      <w:sz w:val="20"/>
      <w:szCs w:val="20"/>
    </w:rPr>
  </w:style>
  <w:style w:type="character" w:customStyle="1" w:styleId="CommentTextChar">
    <w:name w:val="Comment Text Char"/>
    <w:basedOn w:val="DefaultParagraphFont"/>
    <w:link w:val="CommentText"/>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TAMainText">
    <w:name w:val="TA_Main_Text"/>
    <w:basedOn w:val="Normal"/>
    <w:link w:val="TAMainTextChar"/>
    <w:rsid w:val="003115D7"/>
    <w:pPr>
      <w:spacing w:before="0" w:after="0" w:line="480" w:lineRule="auto"/>
      <w:ind w:firstLine="202"/>
      <w:jc w:val="both"/>
    </w:pPr>
    <w:rPr>
      <w:rFonts w:ascii="Times" w:eastAsia="Times New Roman" w:hAnsi="Times" w:cs="Times New Roman"/>
      <w:szCs w:val="20"/>
      <w:lang w:val="en-GB"/>
    </w:rPr>
  </w:style>
  <w:style w:type="character" w:customStyle="1" w:styleId="TAMainTextChar">
    <w:name w:val="TA_Main_Text Char"/>
    <w:link w:val="TAMainText"/>
    <w:rsid w:val="003115D7"/>
    <w:rPr>
      <w:rFonts w:ascii="Times" w:eastAsia="Times New Roman" w:hAnsi="Times"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tkomada@sfsu.edu"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omokokomada:Downloads:Frontiers_Supplementary_Material: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IsDeleted xmlns="018c3ce0-25d7-4964-8f5f-0766fc370baa">false</IsDeleted>
    <TitleName xmlns="018c3ce0-25d7-4964-8f5f-0766fc370baa">Data Sheet 1.DOCX</TitleName>
    <DocumentType xmlns="018c3ce0-25d7-4964-8f5f-0766fc370baa">Data Sheet</DocumentType>
    <DocumentId xmlns="018c3ce0-25d7-4964-8f5f-0766fc370baa">Data Sheet 1.DOCX</DocumentId>
    <FileFormat xmlns="018c3ce0-25d7-4964-8f5f-0766fc370baa">DOCX</FileFormat>
    <StageName xmlns="018c3ce0-25d7-4964-8f5f-0766fc370baa" xsi:nil="true"/>
    <Checked_x0020_Out_x0020_To xmlns="018c3ce0-25d7-4964-8f5f-0766fc370baa">
      <UserInfo>
        <DisplayName/>
        <AccountId xsi:nil="true"/>
        <AccountType/>
      </UserInfo>
    </Checked_x0020_Out_x0020_T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2825E98EFF9E4D8D11324E44C75DA3" ma:contentTypeVersion="7" ma:contentTypeDescription="Create a new document." ma:contentTypeScope="" ma:versionID="179f5f275d18c64e07b53ab4529d24bc">
  <xsd:schema xmlns:xsd="http://www.w3.org/2001/XMLSchema" xmlns:p="http://schemas.microsoft.com/office/2006/metadata/properties" xmlns:ns2="018c3ce0-25d7-4964-8f5f-0766fc370baa" targetNamespace="http://schemas.microsoft.com/office/2006/metadata/properties" ma:root="true" ma:fieldsID="5b048e0c7ee6cc25658af98c0a1f5fda" ns2:_="">
    <xsd:import namespace="018c3ce0-25d7-4964-8f5f-0766fc370baa"/>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018c3ce0-25d7-4964-8f5f-0766fc370baa"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211E32F-0631-4408-B7AC-901DF5A1610E}">
  <ds:schemaRefs>
    <ds:schemaRef ds:uri="http://schemas.microsoft.com/sharepoint/v3/contenttype/forms"/>
  </ds:schemaRefs>
</ds:datastoreItem>
</file>

<file path=customXml/itemProps2.xml><?xml version="1.0" encoding="utf-8"?>
<ds:datastoreItem xmlns:ds="http://schemas.openxmlformats.org/officeDocument/2006/customXml" ds:itemID="{79A50E8D-6CEA-4B7F-AAC1-6C439622A815}">
  <ds:schemaRefs>
    <ds:schemaRef ds:uri="http://schemas.microsoft.com/office/2006/metadata/properties"/>
    <ds:schemaRef ds:uri="018c3ce0-25d7-4964-8f5f-0766fc370baa"/>
  </ds:schemaRefs>
</ds:datastoreItem>
</file>

<file path=customXml/itemProps3.xml><?xml version="1.0" encoding="utf-8"?>
<ds:datastoreItem xmlns:ds="http://schemas.openxmlformats.org/officeDocument/2006/customXml" ds:itemID="{5213CAAB-AF86-4F40-A8A7-FA5BE02EC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c3ce0-25d7-4964-8f5f-0766fc370b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D84FE50-AF19-C24E-B2FF-99A9DB79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5</Pages>
  <Words>2187</Words>
  <Characters>12471</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Tomoko Komada</dc:creator>
  <cp:lastModifiedBy>Tomoko Komada</cp:lastModifiedBy>
  <cp:revision>3</cp:revision>
  <cp:lastPrinted>2017-12-15T20:35:00Z</cp:lastPrinted>
  <dcterms:created xsi:type="dcterms:W3CDTF">2018-05-09T20:41:00Z</dcterms:created>
  <dcterms:modified xsi:type="dcterms:W3CDTF">2018-05-09T20:41:00Z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44344827-09a1-3ea0-ace0-ff4fb200a876</vt:lpwstr>
  </property>
  <property fmtid="{D5CDD505-2E9C-101B-9397-08002B2CF9AE}" pid="4" name="Mendeley Citation Style_1">
    <vt:lpwstr>http://www.zotero.org/styles/frontiers-in-marine-science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http://www.zotero.org/styles/aquatic-geochemistry</vt:lpwstr>
  </property>
  <property fmtid="{D5CDD505-2E9C-101B-9397-08002B2CF9AE}" pid="8" name="Mendeley Recent Style Name 1_1">
    <vt:lpwstr>Aquatic Geochemistry</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http://www.zotero.org/styles/environmental-science-and-technology</vt:lpwstr>
  </property>
  <property fmtid="{D5CDD505-2E9C-101B-9397-08002B2CF9AE}" pid="12" name="Mendeley Recent Style Name 3_1">
    <vt:lpwstr>Environmental Science &amp; Technology</vt:lpwstr>
  </property>
  <property fmtid="{D5CDD505-2E9C-101B-9397-08002B2CF9AE}" pid="13" name="Mendeley Recent Style Id 4_1">
    <vt:lpwstr>http://www.zotero.org/styles/frontiers-in-marine-science</vt:lpwstr>
  </property>
  <property fmtid="{D5CDD505-2E9C-101B-9397-08002B2CF9AE}" pid="14" name="Mendeley Recent Style Name 4_1">
    <vt:lpwstr>Frontiers in Marine Science</vt:lpwstr>
  </property>
  <property fmtid="{D5CDD505-2E9C-101B-9397-08002B2CF9AE}" pid="15" name="Mendeley Recent Style Id 5_1">
    <vt:lpwstr>http://www.zotero.org/styles/geochimica-et-cosmochimica-acta</vt:lpwstr>
  </property>
  <property fmtid="{D5CDD505-2E9C-101B-9397-08002B2CF9AE}" pid="16" name="Mendeley Recent Style Name 5_1">
    <vt:lpwstr>Geochimica et Cosmochimica Acta</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y fmtid="{D5CDD505-2E9C-101B-9397-08002B2CF9AE}" pid="25" name="ContentTypeId">
    <vt:lpwstr>0x010100F42825E98EFF9E4D8D11324E44C75DA3</vt:lpwstr>
  </property>
</Properties>
</file>