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73E" w:rsidRDefault="006A473E" w:rsidP="00137987">
      <w:pPr>
        <w:pStyle w:val="Navaden1"/>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Supplementary Methods</w:t>
      </w:r>
      <w:bookmarkStart w:id="0" w:name="_GoBack"/>
      <w:bookmarkEnd w:id="0"/>
    </w:p>
    <w:p w:rsidR="00137987" w:rsidRPr="002C01EC" w:rsidRDefault="00137987" w:rsidP="00137987">
      <w:pPr>
        <w:pStyle w:val="Navaden1"/>
        <w:spacing w:line="360" w:lineRule="auto"/>
        <w:jc w:val="both"/>
        <w:rPr>
          <w:rFonts w:ascii="Times New Roman" w:hAnsi="Times New Roman" w:cs="Times New Roman"/>
          <w:b/>
          <w:sz w:val="24"/>
          <w:szCs w:val="24"/>
          <w:lang w:val="en-US"/>
        </w:rPr>
      </w:pPr>
      <w:r w:rsidRPr="002C01EC">
        <w:rPr>
          <w:rFonts w:ascii="Times New Roman" w:hAnsi="Times New Roman" w:cs="Times New Roman"/>
          <w:b/>
          <w:sz w:val="24"/>
          <w:szCs w:val="24"/>
          <w:lang w:val="en-US"/>
        </w:rPr>
        <w:t>Functional complement assays and concentrations of complement components</w:t>
      </w:r>
    </w:p>
    <w:p w:rsidR="00137987" w:rsidRPr="002C01EC" w:rsidRDefault="00137987" w:rsidP="00137987">
      <w:pPr>
        <w:pStyle w:val="Navaden1"/>
        <w:spacing w:line="360" w:lineRule="auto"/>
        <w:jc w:val="both"/>
        <w:rPr>
          <w:rFonts w:ascii="Times New Roman" w:hAnsi="Times New Roman" w:cs="Times New Roman"/>
          <w:sz w:val="24"/>
          <w:szCs w:val="24"/>
          <w:lang w:val="en-US"/>
        </w:rPr>
      </w:pPr>
      <w:r w:rsidRPr="002C01EC">
        <w:rPr>
          <w:rFonts w:ascii="Times New Roman" w:hAnsi="Times New Roman" w:cs="Times New Roman"/>
          <w:sz w:val="24"/>
          <w:szCs w:val="24"/>
          <w:lang w:val="en-US"/>
        </w:rPr>
        <w:t>The activity of the classical complement pathway (CH50; normal range: 63-137%) and the alternative pathway (AH50; normal range: 77-123 U) was determined by hemolytic titration assays, where dilutions of patient’s serum are incubated with antibody-sensitized sheep erythrocytes or rabbit erythrocytes and results are expressed as percentage of a pooled normal human serum. Serum concentrations of complement components C2 (normal range: 14-25 mg/l), C6 (normal range: 45-96 mg/l), C7 (normal range: 55-85 mg/l) and C8 (normal range: 112-172 mg/l) were measured by radial immunodiffusion (The Binding Site, UK). Only measurements of complement components and functional complement assays in patients after the first year of age were taken into account, as they are sometimes severely, but transiently reduced in healthy infants.</w:t>
      </w:r>
      <w:r w:rsidRPr="002C01EC">
        <w:rPr>
          <w:rFonts w:ascii="Times New Roman" w:hAnsi="Times New Roman" w:cs="Times New Roman"/>
          <w:sz w:val="24"/>
          <w:szCs w:val="24"/>
          <w:lang w:val="en-US"/>
        </w:rPr>
        <w:fldChar w:fldCharType="begin" w:fldLock="1"/>
      </w:r>
      <w:r w:rsidR="00131C07">
        <w:rPr>
          <w:rFonts w:ascii="Times New Roman" w:hAnsi="Times New Roman" w:cs="Times New Roman"/>
          <w:sz w:val="24"/>
          <w:szCs w:val="24"/>
          <w:lang w:val="en-US"/>
        </w:rPr>
        <w:instrText>ADDIN CSL_CITATION { "citationItems" : [ { "id" : "ITEM-1", "itemData" : { "ISSN" : "0108-0202", "PMID" : "6349252", "abstract" : "Samples of blood were obtained from 100 healthy full-term women in labour and, after delivery, from the umbilical cord of their infants. By electroimmunoassay, complement components were quantitated in serum (C1q, C1r, C1s, C1 IA, C2, P, D. I, H, C6 and C7) or in EDTA-plasma (C4, C3, B, C5. and C). The concentrations of C7 in cord serum was twice that found by others using a functional assay. Concentrations of C1r, I and C6 in the cord sample were 50-60 per cent of those in healthy blood donors used as reference, and that of D was about 130 per cent. The cord serum and plasma concentrations of the remaining components agreed with previously reported values. The maternal levels of C2, C4, C3, B, H, C5 were 40-60 per cent higher than those of the reference.", "author" : [ { "dropping-particle" : "", "family" : "Johnson", "given" : "U", "non-dropping-particle" : "", "parse-names" : false, "suffix" : "" }, { "dropping-particle" : "", "family" : "Truedsson", "given" : "L", "non-dropping-particle" : "", "parse-names" : false, "suffix" : "" }, { "dropping-particle" : "", "family" : "Gustavii", "given" : "B", "non-dropping-particle" : "", "parse-names" : false, "suffix" : "" } ], "container-title" : "Acta pathologica, microbiologica, et immunologica Scandinavica. Section C, Immunology", "id" : "ITEM-1", "issue" : "2", "issued" : { "date-parts" : [ [ "1983", "4" ] ] }, "page" : "147-50", "title" : "Complement components in 100 newborns and their mothers determined by electroimmunoassay.", "type" : "article-journal", "volume" : "91" }, "uris" : [ "http://www.mendeley.com/documents/?uuid=fbb05fe1-a1c1-3ce5-8d2e-b5b129d2e2f0" ] }, { "id" : "ITEM-2", "itemData" : { "ISSN" : "1093-5266", "PMID" : "9507037", "abstract" : "Activation of the complement system occurs in several diseases. For reliable identification of complement activation in neonates, we establish reference ranges of several components in cord blood of healthy term newborns. For this study, cord blood samples were taken from 125 healthy term newborns. Concentrations of C1r, C2, C5, C7, Properdin, and factors D, H, and I were determined by single radial immunodiffusion. C3a and C5a were measured by specific EIA and complement function was measured by hemolytic assays. The results were expressed as 5th percentile, median, and 95th percentile. The following respective concentrations were found: C1r: 27, 47, 65 mg/l; C2: 12.0, 18.0, 24.0 mg/l; C5: 64, 92, 127 mg/l; C7: 32, 60, 89 mg/l; Properdin: 5.6, 9.7, 14.2 mg/l; factor D: 3.6, 5.2, 7.3 mg/l; factor H: 178, 234, 296 mg/l; and factor I: 15, 24, 32 mg/l. The functional activity of the whole complement system was 24%, 43%, 97% and for the alternative pathway 39%, 58%, 76%. The concentration of the activated split products C3a was 4, 65, 255 microg/l and of C5a, 0.11, 0.26, 1.19 microg/l. These reference values may be important for the detection of deficiencies of native complement proteins or perinatal processes leading to an activation of the complement system.", "author" : [ { "dropping-particle" : "", "family" : "Sonntag", "given" : "J", "non-dropping-particle" : "", "parse-names" : false, "suffix" : "" }, { "dropping-particle" : "", "family" : "Brandenburg", "given" : "U", "non-dropping-particle" : "", "parse-names" : false, "suffix" : "" }, { "dropping-particle" : "", "family" : "Polzehl", "given" : "D", "non-dropping-particle" : "", "parse-names" : false, "suffix" : "" }, { "dropping-particle" : "", "family" : "Strauss", "given" : "E", "non-dropping-particle" : "", "parse-names" : false, "suffix" : "" }, { "dropping-particle" : "", "family" : "Vogel", "given" : "M", "non-dropping-particle" : "", "parse-names" : false, "suffix" : "" }, { "dropping-particle" : "", "family" : "Dudenhausen", "given" : "J W", "non-dropping-particle" : "", "parse-names" : false, "suffix" : "" }, { "dropping-particle" : "", "family" : "Obladen", "given" : "M", "non-dropping-particle" : "", "parse-names" : false, "suffix" : "" } ], "container-title" : "Pediatric and developmental pathology : the official journal of the Society for Pediatric Pathology and the Paediatric Pathology Society", "id" : "ITEM-2", "issue" : "2", "issued" : { "date-parts" : [ [ "0" ] ] }, "page" : "131-5", "title" : "Complement system in healthy term newborns: reference values in umbilical cord blood.", "type" : "article-journal", "volume" : "1" }, "uris" : [ "http://www.mendeley.com/documents/?uuid=c738d9d4-0a3f-3345-8b84-45215608f605" ] } ], "mendeley" : { "formattedCitation" : "(1,2)", "plainTextFormattedCitation" : "(1,2)", "previouslyFormattedCitation" : "(Johnson, Truedsson, and Gustavii 1983; Sonntag et al., n.d.)" }, "properties" : {  }, "schema" : "https://github.com/citation-style-language/schema/raw/master/csl-citation.json" }</w:instrText>
      </w:r>
      <w:r w:rsidRPr="002C01EC">
        <w:rPr>
          <w:rFonts w:ascii="Times New Roman" w:hAnsi="Times New Roman" w:cs="Times New Roman"/>
          <w:sz w:val="24"/>
          <w:szCs w:val="24"/>
          <w:lang w:val="en-US"/>
        </w:rPr>
        <w:fldChar w:fldCharType="separate"/>
      </w:r>
      <w:r w:rsidR="00131C07" w:rsidRPr="00131C07">
        <w:rPr>
          <w:rFonts w:ascii="Times New Roman" w:hAnsi="Times New Roman" w:cs="Times New Roman"/>
          <w:noProof/>
          <w:sz w:val="24"/>
          <w:szCs w:val="24"/>
          <w:lang w:val="en-US"/>
        </w:rPr>
        <w:t>(1,2)</w:t>
      </w:r>
      <w:r w:rsidRPr="002C01EC">
        <w:rPr>
          <w:rFonts w:ascii="Times New Roman" w:hAnsi="Times New Roman" w:cs="Times New Roman"/>
          <w:sz w:val="24"/>
          <w:szCs w:val="24"/>
          <w:lang w:val="en-US"/>
        </w:rPr>
        <w:fldChar w:fldCharType="end"/>
      </w:r>
      <w:r w:rsidRPr="002C01EC">
        <w:rPr>
          <w:rFonts w:ascii="Times New Roman" w:hAnsi="Times New Roman" w:cs="Times New Roman"/>
          <w:sz w:val="24"/>
          <w:szCs w:val="24"/>
          <w:lang w:val="en-US"/>
        </w:rPr>
        <w:t xml:space="preserve"> </w:t>
      </w:r>
      <w:r w:rsidRPr="002C01EC">
        <w:rPr>
          <w:rFonts w:ascii="Times New Roman" w:hAnsi="Times New Roman" w:cs="Times New Roman"/>
          <w:color w:val="231F20"/>
          <w:sz w:val="24"/>
          <w:szCs w:val="24"/>
          <w:lang w:val="en-US"/>
        </w:rPr>
        <w:t>Serum protein concentration of C1 inhibitor (normal range: 0.20–0.35 g/l), C4 (normal range: 0.16–0.31 g/l) (Siemens, Marburg, Germany) was quantified by means of radial immunodiffusion and C1 inhibitor activity (functional levels ≤40% of normal are considered decreased) was measured using enzyme immunoassay (</w:t>
      </w:r>
      <w:proofErr w:type="spellStart"/>
      <w:r w:rsidRPr="002C01EC">
        <w:rPr>
          <w:rFonts w:ascii="Times New Roman" w:hAnsi="Times New Roman" w:cs="Times New Roman"/>
          <w:color w:val="231F20"/>
          <w:sz w:val="24"/>
          <w:szCs w:val="24"/>
          <w:lang w:val="en-US"/>
        </w:rPr>
        <w:t>Quidel</w:t>
      </w:r>
      <w:proofErr w:type="spellEnd"/>
      <w:r w:rsidRPr="002C01EC">
        <w:rPr>
          <w:rFonts w:ascii="Times New Roman" w:hAnsi="Times New Roman" w:cs="Times New Roman"/>
          <w:color w:val="231F20"/>
          <w:sz w:val="24"/>
          <w:szCs w:val="24"/>
          <w:lang w:val="en-US"/>
        </w:rPr>
        <w:t xml:space="preserve"> Corporation, CA, USA) in concordance </w:t>
      </w:r>
      <w:r w:rsidRPr="002C01EC">
        <w:rPr>
          <w:rFonts w:ascii="Times New Roman" w:hAnsi="Times New Roman" w:cs="Times New Roman"/>
          <w:sz w:val="24"/>
          <w:szCs w:val="24"/>
          <w:lang w:val="en-US"/>
        </w:rPr>
        <w:t>to the manufacturer's instructions.</w:t>
      </w:r>
    </w:p>
    <w:p w:rsidR="00137987" w:rsidRPr="002C01EC" w:rsidRDefault="00137987" w:rsidP="00137987">
      <w:pPr>
        <w:pStyle w:val="Navaden1"/>
        <w:spacing w:line="360" w:lineRule="auto"/>
        <w:jc w:val="both"/>
        <w:rPr>
          <w:rFonts w:ascii="Times New Roman" w:hAnsi="Times New Roman" w:cs="Times New Roman"/>
          <w:b/>
          <w:sz w:val="24"/>
          <w:szCs w:val="24"/>
          <w:lang w:val="en-US"/>
        </w:rPr>
      </w:pPr>
      <w:r w:rsidRPr="002C01EC">
        <w:rPr>
          <w:rFonts w:ascii="Times New Roman" w:hAnsi="Times New Roman" w:cs="Times New Roman"/>
          <w:b/>
          <w:sz w:val="24"/>
          <w:szCs w:val="24"/>
          <w:lang w:val="en-US"/>
        </w:rPr>
        <w:t>Genotyping</w:t>
      </w:r>
      <w:r w:rsidR="00AE3C62">
        <w:rPr>
          <w:rFonts w:ascii="Times New Roman" w:hAnsi="Times New Roman" w:cs="Times New Roman"/>
          <w:b/>
          <w:sz w:val="24"/>
          <w:szCs w:val="24"/>
          <w:lang w:val="en-US"/>
        </w:rPr>
        <w:t xml:space="preserve"> in C1-C9 deficiencies</w:t>
      </w:r>
    </w:p>
    <w:p w:rsidR="00137987" w:rsidRPr="002C01EC" w:rsidRDefault="00137987" w:rsidP="00137987">
      <w:pPr>
        <w:pStyle w:val="Navaden1"/>
        <w:spacing w:line="360" w:lineRule="auto"/>
        <w:jc w:val="both"/>
        <w:rPr>
          <w:rFonts w:ascii="Times New Roman" w:hAnsi="Times New Roman" w:cs="Times New Roman"/>
          <w:b/>
          <w:sz w:val="24"/>
          <w:szCs w:val="24"/>
          <w:lang w:val="en-US"/>
        </w:rPr>
      </w:pPr>
      <w:r w:rsidRPr="002C01EC">
        <w:rPr>
          <w:rFonts w:ascii="Times New Roman" w:hAnsi="Times New Roman" w:cs="Times New Roman"/>
          <w:b/>
          <w:sz w:val="24"/>
          <w:szCs w:val="24"/>
          <w:lang w:val="en-US"/>
        </w:rPr>
        <w:t>DNA isolation and primer selection</w:t>
      </w:r>
    </w:p>
    <w:p w:rsidR="00137987" w:rsidRPr="002C01EC" w:rsidRDefault="00137987" w:rsidP="00137987">
      <w:pPr>
        <w:pStyle w:val="Navaden1"/>
        <w:spacing w:line="360" w:lineRule="auto"/>
        <w:jc w:val="both"/>
        <w:rPr>
          <w:rFonts w:ascii="Times New Roman" w:hAnsi="Times New Roman" w:cs="Times New Roman"/>
          <w:sz w:val="24"/>
          <w:szCs w:val="24"/>
          <w:lang w:val="en-US"/>
        </w:rPr>
      </w:pPr>
      <w:r w:rsidRPr="002C01EC">
        <w:rPr>
          <w:rFonts w:ascii="Times New Roman" w:hAnsi="Times New Roman" w:cs="Times New Roman"/>
          <w:sz w:val="24"/>
          <w:szCs w:val="24"/>
          <w:lang w:val="en-US"/>
        </w:rPr>
        <w:t xml:space="preserve">Peripheral blood (5 mL) for DNA isolation was taken together with blood for routine laboratory work. DNA isolation was performed using the </w:t>
      </w:r>
      <w:proofErr w:type="spellStart"/>
      <w:r w:rsidRPr="002C01EC">
        <w:rPr>
          <w:rFonts w:ascii="Times New Roman" w:hAnsi="Times New Roman" w:cs="Times New Roman"/>
          <w:sz w:val="24"/>
          <w:szCs w:val="24"/>
          <w:lang w:val="en-US"/>
        </w:rPr>
        <w:t>FlexiGene</w:t>
      </w:r>
      <w:proofErr w:type="spellEnd"/>
      <w:r w:rsidRPr="002C01EC">
        <w:rPr>
          <w:rFonts w:ascii="Times New Roman" w:hAnsi="Times New Roman" w:cs="Times New Roman"/>
          <w:sz w:val="24"/>
          <w:szCs w:val="24"/>
          <w:lang w:val="en-US"/>
        </w:rPr>
        <w:t xml:space="preserve"> isolation kit (Qiagen, Germany), according to the recommended protocol. DNA was stored at the 4 °C prior to further molecular analyses. PCR primers (Eurofins MWG Operon, Germany) were designed according to the established laboratory protocol (sequences are available upon request), covering whole coding region and intron/exon boundaries of whole </w:t>
      </w:r>
      <w:r w:rsidRPr="002C01EC">
        <w:rPr>
          <w:rFonts w:ascii="Times New Roman" w:hAnsi="Times New Roman" w:cs="Times New Roman"/>
          <w:i/>
          <w:sz w:val="24"/>
          <w:szCs w:val="24"/>
          <w:lang w:val="en-US"/>
        </w:rPr>
        <w:t>C2</w:t>
      </w:r>
      <w:r w:rsidRPr="002C01EC">
        <w:rPr>
          <w:rFonts w:ascii="Times New Roman" w:hAnsi="Times New Roman" w:cs="Times New Roman"/>
          <w:sz w:val="24"/>
          <w:szCs w:val="24"/>
          <w:lang w:val="en-US"/>
        </w:rPr>
        <w:t xml:space="preserve"> gene (18 exons) and exon 9 of </w:t>
      </w:r>
      <w:r w:rsidRPr="002C01EC">
        <w:rPr>
          <w:rFonts w:ascii="Times New Roman" w:hAnsi="Times New Roman" w:cs="Times New Roman"/>
          <w:i/>
          <w:sz w:val="24"/>
          <w:szCs w:val="24"/>
          <w:lang w:val="en-US"/>
        </w:rPr>
        <w:t>C8B</w:t>
      </w:r>
      <w:r w:rsidRPr="002C01EC">
        <w:rPr>
          <w:rFonts w:ascii="Times New Roman" w:hAnsi="Times New Roman" w:cs="Times New Roman"/>
          <w:sz w:val="24"/>
          <w:szCs w:val="24"/>
          <w:lang w:val="en-US"/>
        </w:rPr>
        <w:t xml:space="preserve"> gene.</w:t>
      </w:r>
    </w:p>
    <w:p w:rsidR="00137987" w:rsidRPr="002C01EC" w:rsidRDefault="00137987" w:rsidP="00137987">
      <w:pPr>
        <w:pStyle w:val="Navaden1"/>
        <w:spacing w:line="360" w:lineRule="auto"/>
        <w:jc w:val="both"/>
        <w:rPr>
          <w:rFonts w:ascii="Times New Roman" w:hAnsi="Times New Roman" w:cs="Times New Roman"/>
          <w:b/>
          <w:sz w:val="24"/>
          <w:szCs w:val="24"/>
          <w:lang w:val="en-US"/>
        </w:rPr>
      </w:pPr>
      <w:r w:rsidRPr="002C01EC">
        <w:rPr>
          <w:rFonts w:ascii="Times New Roman" w:hAnsi="Times New Roman" w:cs="Times New Roman"/>
          <w:b/>
          <w:sz w:val="24"/>
          <w:szCs w:val="24"/>
          <w:lang w:val="en-US"/>
        </w:rPr>
        <w:t>Polymerase chain reaction</w:t>
      </w:r>
    </w:p>
    <w:p w:rsidR="00137987" w:rsidRPr="002C01EC" w:rsidRDefault="00137987" w:rsidP="00137987">
      <w:pPr>
        <w:pStyle w:val="Navaden1"/>
        <w:spacing w:line="360" w:lineRule="auto"/>
        <w:jc w:val="both"/>
        <w:rPr>
          <w:rFonts w:ascii="Times New Roman" w:hAnsi="Times New Roman" w:cs="Times New Roman"/>
          <w:sz w:val="24"/>
          <w:szCs w:val="24"/>
          <w:lang w:val="en-US"/>
        </w:rPr>
      </w:pPr>
      <w:r w:rsidRPr="002C01EC">
        <w:rPr>
          <w:rFonts w:ascii="Times New Roman" w:hAnsi="Times New Roman" w:cs="Times New Roman"/>
          <w:sz w:val="24"/>
          <w:szCs w:val="24"/>
          <w:lang w:val="en-US"/>
        </w:rPr>
        <w:t xml:space="preserve">The reaction with </w:t>
      </w:r>
      <w:proofErr w:type="spellStart"/>
      <w:r w:rsidRPr="002C01EC">
        <w:rPr>
          <w:rFonts w:ascii="Times New Roman" w:hAnsi="Times New Roman" w:cs="Times New Roman"/>
          <w:sz w:val="24"/>
          <w:szCs w:val="24"/>
          <w:lang w:val="en-US"/>
        </w:rPr>
        <w:t>GoTaq</w:t>
      </w:r>
      <w:proofErr w:type="spellEnd"/>
      <w:r w:rsidRPr="002C01EC">
        <w:rPr>
          <w:rFonts w:ascii="Times New Roman" w:hAnsi="Times New Roman" w:cs="Times New Roman"/>
          <w:sz w:val="24"/>
          <w:szCs w:val="24"/>
          <w:lang w:val="en-US"/>
        </w:rPr>
        <w:t xml:space="preserve"> G2 Green Master Mix (Promega, USA) was set up using 100 ng of </w:t>
      </w:r>
      <w:r>
        <w:rPr>
          <w:rFonts w:ascii="Times New Roman" w:hAnsi="Times New Roman" w:cs="Times New Roman"/>
          <w:sz w:val="24"/>
          <w:szCs w:val="24"/>
          <w:lang w:val="en-US"/>
        </w:rPr>
        <w:t>genomic</w:t>
      </w:r>
      <w:r w:rsidRPr="002C01EC">
        <w:rPr>
          <w:rFonts w:ascii="Times New Roman" w:hAnsi="Times New Roman" w:cs="Times New Roman"/>
          <w:sz w:val="24"/>
          <w:szCs w:val="24"/>
          <w:lang w:val="en-US"/>
        </w:rPr>
        <w:t xml:space="preserve"> DNA and 2X </w:t>
      </w:r>
      <w:proofErr w:type="spellStart"/>
      <w:r w:rsidRPr="002C01EC">
        <w:rPr>
          <w:rFonts w:ascii="Times New Roman" w:hAnsi="Times New Roman" w:cs="Times New Roman"/>
          <w:sz w:val="24"/>
          <w:szCs w:val="24"/>
          <w:lang w:val="en-US"/>
        </w:rPr>
        <w:t>GoTaq</w:t>
      </w:r>
      <w:proofErr w:type="spellEnd"/>
      <w:r w:rsidRPr="002C01EC">
        <w:rPr>
          <w:rFonts w:ascii="Times New Roman" w:hAnsi="Times New Roman" w:cs="Times New Roman"/>
          <w:sz w:val="24"/>
          <w:szCs w:val="24"/>
          <w:lang w:val="en-US"/>
        </w:rPr>
        <w:t xml:space="preserve"> G2 Green Master Mix in a final reaction volume of 20 </w:t>
      </w:r>
      <w:proofErr w:type="spellStart"/>
      <w:r w:rsidRPr="002C01EC">
        <w:rPr>
          <w:rFonts w:ascii="Times New Roman" w:hAnsi="Times New Roman" w:cs="Times New Roman"/>
          <w:sz w:val="24"/>
          <w:szCs w:val="24"/>
          <w:lang w:val="en-US"/>
        </w:rPr>
        <w:t>μL</w:t>
      </w:r>
      <w:proofErr w:type="spellEnd"/>
      <w:r w:rsidRPr="002C01EC">
        <w:rPr>
          <w:rFonts w:ascii="Times New Roman" w:hAnsi="Times New Roman" w:cs="Times New Roman"/>
          <w:sz w:val="24"/>
          <w:szCs w:val="24"/>
          <w:lang w:val="en-US"/>
        </w:rPr>
        <w:t xml:space="preserve">. The thermocycling procedure consisted of initial denaturing step at 95°C for 2 min followed by 35 cycles of 94°C for 30 s, annealing step at 58°C for 30s, extension step at 72°C for 40 s and final extension at 72°C for 7 min. The PCR products were subjected to electrophoresis in 1.5% agarose gel stained with </w:t>
      </w:r>
      <w:proofErr w:type="spellStart"/>
      <w:r w:rsidRPr="002C01EC">
        <w:rPr>
          <w:rFonts w:ascii="Times New Roman" w:hAnsi="Times New Roman" w:cs="Times New Roman"/>
          <w:sz w:val="24"/>
          <w:szCs w:val="24"/>
          <w:lang w:val="en-US"/>
        </w:rPr>
        <w:t>SyberGreen</w:t>
      </w:r>
      <w:proofErr w:type="spellEnd"/>
      <w:r w:rsidRPr="002C01EC">
        <w:rPr>
          <w:rFonts w:ascii="Times New Roman" w:hAnsi="Times New Roman" w:cs="Times New Roman"/>
          <w:sz w:val="24"/>
          <w:szCs w:val="24"/>
          <w:lang w:val="en-US"/>
        </w:rPr>
        <w:t xml:space="preserve"> and photographed under ultraviolet light using the UV </w:t>
      </w:r>
      <w:proofErr w:type="gramStart"/>
      <w:r w:rsidRPr="002C01EC">
        <w:rPr>
          <w:rFonts w:ascii="Times New Roman" w:hAnsi="Times New Roman" w:cs="Times New Roman"/>
          <w:sz w:val="24"/>
          <w:szCs w:val="24"/>
          <w:lang w:val="en-US"/>
        </w:rPr>
        <w:lastRenderedPageBreak/>
        <w:t>G:BOX</w:t>
      </w:r>
      <w:proofErr w:type="gramEnd"/>
      <w:r w:rsidRPr="002C01EC">
        <w:rPr>
          <w:rFonts w:ascii="Times New Roman" w:hAnsi="Times New Roman" w:cs="Times New Roman"/>
          <w:sz w:val="24"/>
          <w:szCs w:val="24"/>
          <w:lang w:val="en-US"/>
        </w:rPr>
        <w:t xml:space="preserve"> (</w:t>
      </w:r>
      <w:proofErr w:type="spellStart"/>
      <w:r w:rsidRPr="002C01EC">
        <w:rPr>
          <w:rFonts w:ascii="Times New Roman" w:hAnsi="Times New Roman" w:cs="Times New Roman"/>
          <w:sz w:val="24"/>
          <w:szCs w:val="24"/>
          <w:lang w:val="en-US"/>
        </w:rPr>
        <w:t>Syngene</w:t>
      </w:r>
      <w:proofErr w:type="spellEnd"/>
      <w:r w:rsidRPr="002C01EC">
        <w:rPr>
          <w:rFonts w:ascii="Times New Roman" w:hAnsi="Times New Roman" w:cs="Times New Roman"/>
          <w:sz w:val="24"/>
          <w:szCs w:val="24"/>
          <w:lang w:val="en-US"/>
        </w:rPr>
        <w:t>, USA).</w:t>
      </w:r>
    </w:p>
    <w:p w:rsidR="00137987" w:rsidRPr="002C01EC" w:rsidRDefault="00137987" w:rsidP="00137987">
      <w:pPr>
        <w:pStyle w:val="Navaden1"/>
        <w:spacing w:line="360" w:lineRule="auto"/>
        <w:jc w:val="both"/>
        <w:rPr>
          <w:rFonts w:ascii="Times New Roman" w:hAnsi="Times New Roman" w:cs="Times New Roman"/>
          <w:b/>
          <w:sz w:val="24"/>
          <w:szCs w:val="24"/>
          <w:lang w:val="en-US"/>
        </w:rPr>
      </w:pPr>
      <w:r w:rsidRPr="002C01EC">
        <w:rPr>
          <w:rFonts w:ascii="Times New Roman" w:hAnsi="Times New Roman" w:cs="Times New Roman"/>
          <w:b/>
          <w:sz w:val="24"/>
          <w:szCs w:val="24"/>
          <w:lang w:val="en-US"/>
        </w:rPr>
        <w:t>Sanger sequencing</w:t>
      </w:r>
    </w:p>
    <w:p w:rsidR="00137987" w:rsidRPr="002C01EC" w:rsidRDefault="00137987" w:rsidP="00137987">
      <w:pPr>
        <w:pStyle w:val="Navaden1"/>
        <w:spacing w:line="360" w:lineRule="auto"/>
        <w:jc w:val="both"/>
        <w:rPr>
          <w:rFonts w:ascii="Times New Roman" w:hAnsi="Times New Roman" w:cs="Times New Roman"/>
          <w:sz w:val="24"/>
          <w:szCs w:val="24"/>
          <w:lang w:val="en-US"/>
        </w:rPr>
      </w:pPr>
      <w:r w:rsidRPr="002C01EC">
        <w:rPr>
          <w:rFonts w:ascii="Times New Roman" w:hAnsi="Times New Roman" w:cs="Times New Roman"/>
          <w:sz w:val="24"/>
          <w:szCs w:val="24"/>
          <w:lang w:val="en-US"/>
        </w:rPr>
        <w:t xml:space="preserve">PCR products (2,5 </w:t>
      </w:r>
      <w:proofErr w:type="spellStart"/>
      <w:r w:rsidRPr="002C01EC">
        <w:rPr>
          <w:rFonts w:ascii="Times New Roman" w:hAnsi="Times New Roman" w:cs="Times New Roman"/>
          <w:sz w:val="24"/>
          <w:szCs w:val="24"/>
          <w:lang w:val="en-US"/>
        </w:rPr>
        <w:t>μL</w:t>
      </w:r>
      <w:proofErr w:type="spellEnd"/>
      <w:r w:rsidRPr="002C01EC">
        <w:rPr>
          <w:rFonts w:ascii="Times New Roman" w:hAnsi="Times New Roman" w:cs="Times New Roman"/>
          <w:sz w:val="24"/>
          <w:szCs w:val="24"/>
          <w:lang w:val="en-US"/>
        </w:rPr>
        <w:t xml:space="preserve">) were purified using 1 </w:t>
      </w:r>
      <w:proofErr w:type="spellStart"/>
      <w:r w:rsidRPr="002C01EC">
        <w:rPr>
          <w:rFonts w:ascii="Times New Roman" w:hAnsi="Times New Roman" w:cs="Times New Roman"/>
          <w:sz w:val="24"/>
          <w:szCs w:val="24"/>
          <w:lang w:val="en-US"/>
        </w:rPr>
        <w:t>μL</w:t>
      </w:r>
      <w:proofErr w:type="spellEnd"/>
      <w:r w:rsidRPr="002C01EC">
        <w:rPr>
          <w:rFonts w:ascii="Times New Roman" w:hAnsi="Times New Roman" w:cs="Times New Roman"/>
          <w:sz w:val="24"/>
          <w:szCs w:val="24"/>
          <w:lang w:val="en-US"/>
        </w:rPr>
        <w:t xml:space="preserve"> </w:t>
      </w:r>
      <w:proofErr w:type="spellStart"/>
      <w:r w:rsidRPr="002C01EC">
        <w:rPr>
          <w:rFonts w:ascii="Times New Roman" w:hAnsi="Times New Roman" w:cs="Times New Roman"/>
          <w:sz w:val="24"/>
          <w:szCs w:val="24"/>
          <w:lang w:val="en-US"/>
        </w:rPr>
        <w:t>ExoSAP</w:t>
      </w:r>
      <w:proofErr w:type="spellEnd"/>
      <w:r w:rsidRPr="002C01EC">
        <w:rPr>
          <w:rFonts w:ascii="Times New Roman" w:hAnsi="Times New Roman" w:cs="Times New Roman"/>
          <w:sz w:val="24"/>
          <w:szCs w:val="24"/>
          <w:lang w:val="en-US"/>
        </w:rPr>
        <w:t xml:space="preserve">-IT enzyme mix (Affymetrix, USA), (incubation at 37°C for 15 min, enzyme deactivation at 80°C for 15 min) and subjected to direct nucleotide sequencing using the Big Dye Terminator cycle sequencing kit (Applied Biosystems, USA) following the manufacturer’s instructions. The sequencing was performed on Applied Biosystems 3500 Genetic Analyzer (Applied Biosystems, USA). Sequences were analyzed with the Sequencing Analysis Software v5.2.0 (Applied Biosystems, USA) </w:t>
      </w:r>
      <w:proofErr w:type="spellStart"/>
      <w:r w:rsidR="00AE3C62" w:rsidRPr="00AE3C62">
        <w:rPr>
          <w:rFonts w:ascii="Times New Roman" w:hAnsi="Times New Roman" w:cs="Times New Roman"/>
          <w:sz w:val="24"/>
          <w:szCs w:val="24"/>
        </w:rPr>
        <w:t>and</w:t>
      </w:r>
      <w:proofErr w:type="spellEnd"/>
      <w:r w:rsidR="00AE3C62" w:rsidRPr="00AE3C62">
        <w:rPr>
          <w:rFonts w:ascii="Times New Roman" w:hAnsi="Times New Roman" w:cs="Times New Roman"/>
          <w:sz w:val="24"/>
          <w:szCs w:val="24"/>
        </w:rPr>
        <w:t xml:space="preserve"> </w:t>
      </w:r>
      <w:proofErr w:type="spellStart"/>
      <w:r w:rsidR="00AE3C62" w:rsidRPr="00AE3C62">
        <w:rPr>
          <w:rFonts w:ascii="Times New Roman" w:hAnsi="Times New Roman" w:cs="Times New Roman"/>
          <w:sz w:val="24"/>
          <w:szCs w:val="24"/>
        </w:rPr>
        <w:t>alignment</w:t>
      </w:r>
      <w:proofErr w:type="spellEnd"/>
      <w:r w:rsidR="00AE3C62" w:rsidRPr="00AE3C62">
        <w:rPr>
          <w:rFonts w:ascii="Times New Roman" w:hAnsi="Times New Roman" w:cs="Times New Roman"/>
          <w:sz w:val="24"/>
          <w:szCs w:val="24"/>
        </w:rPr>
        <w:t xml:space="preserve"> </w:t>
      </w:r>
      <w:proofErr w:type="spellStart"/>
      <w:r w:rsidR="00AE3C62" w:rsidRPr="00AE3C62">
        <w:rPr>
          <w:rFonts w:ascii="Times New Roman" w:hAnsi="Times New Roman" w:cs="Times New Roman"/>
          <w:sz w:val="24"/>
          <w:szCs w:val="24"/>
        </w:rPr>
        <w:t>was</w:t>
      </w:r>
      <w:proofErr w:type="spellEnd"/>
      <w:r w:rsidR="00AE3C62" w:rsidRPr="00AE3C62">
        <w:rPr>
          <w:rFonts w:ascii="Times New Roman" w:hAnsi="Times New Roman" w:cs="Times New Roman"/>
          <w:sz w:val="24"/>
          <w:szCs w:val="24"/>
        </w:rPr>
        <w:t xml:space="preserve"> </w:t>
      </w:r>
      <w:proofErr w:type="spellStart"/>
      <w:r w:rsidR="00AE3C62" w:rsidRPr="00AE3C62">
        <w:rPr>
          <w:rFonts w:ascii="Times New Roman" w:hAnsi="Times New Roman" w:cs="Times New Roman"/>
          <w:sz w:val="24"/>
          <w:szCs w:val="24"/>
        </w:rPr>
        <w:t>performed</w:t>
      </w:r>
      <w:proofErr w:type="spellEnd"/>
      <w:r w:rsidR="00AE3C62" w:rsidRPr="00AE3C62">
        <w:rPr>
          <w:rFonts w:ascii="Times New Roman" w:hAnsi="Times New Roman" w:cs="Times New Roman"/>
          <w:sz w:val="24"/>
          <w:szCs w:val="24"/>
        </w:rPr>
        <w:t xml:space="preserve"> </w:t>
      </w:r>
      <w:proofErr w:type="spellStart"/>
      <w:r w:rsidR="00AE3C62" w:rsidRPr="00AE3C62">
        <w:rPr>
          <w:rFonts w:ascii="Times New Roman" w:hAnsi="Times New Roman" w:cs="Times New Roman"/>
          <w:sz w:val="24"/>
          <w:szCs w:val="24"/>
        </w:rPr>
        <w:t>with</w:t>
      </w:r>
      <w:proofErr w:type="spellEnd"/>
      <w:r w:rsidR="00AE3C62" w:rsidRPr="00AE3C62">
        <w:rPr>
          <w:rFonts w:ascii="Times New Roman" w:hAnsi="Times New Roman" w:cs="Times New Roman"/>
          <w:sz w:val="24"/>
          <w:szCs w:val="24"/>
        </w:rPr>
        <w:t xml:space="preserve"> </w:t>
      </w:r>
      <w:proofErr w:type="spellStart"/>
      <w:r w:rsidR="00AE3C62" w:rsidRPr="00AE3C62">
        <w:rPr>
          <w:rFonts w:ascii="Times New Roman" w:hAnsi="Times New Roman" w:cs="Times New Roman"/>
          <w:sz w:val="24"/>
          <w:szCs w:val="24"/>
        </w:rPr>
        <w:t>the</w:t>
      </w:r>
      <w:proofErr w:type="spellEnd"/>
      <w:r w:rsidR="00AE3C62" w:rsidRPr="00AE3C62">
        <w:rPr>
          <w:rFonts w:ascii="Times New Roman" w:hAnsi="Times New Roman" w:cs="Times New Roman"/>
          <w:sz w:val="24"/>
          <w:szCs w:val="24"/>
        </w:rPr>
        <w:t xml:space="preserve"> </w:t>
      </w:r>
      <w:proofErr w:type="spellStart"/>
      <w:r w:rsidR="00AE3C62" w:rsidRPr="00AE3C62">
        <w:rPr>
          <w:rFonts w:ascii="Times New Roman" w:hAnsi="Times New Roman" w:cs="Times New Roman"/>
          <w:sz w:val="24"/>
          <w:szCs w:val="24"/>
        </w:rPr>
        <w:t>Nucleotide</w:t>
      </w:r>
      <w:proofErr w:type="spellEnd"/>
      <w:r w:rsidR="00AE3C62" w:rsidRPr="00AE3C62">
        <w:rPr>
          <w:rFonts w:ascii="Times New Roman" w:hAnsi="Times New Roman" w:cs="Times New Roman"/>
          <w:sz w:val="24"/>
          <w:szCs w:val="24"/>
        </w:rPr>
        <w:t xml:space="preserve"> BLAST program</w:t>
      </w:r>
      <w:r w:rsidR="00AE3C62">
        <w:rPr>
          <w:rFonts w:ascii="Times New Roman" w:hAnsi="Times New Roman" w:cs="Times New Roman"/>
          <w:sz w:val="24"/>
          <w:szCs w:val="24"/>
        </w:rPr>
        <w:t xml:space="preserve"> (</w:t>
      </w:r>
      <w:hyperlink r:id="rId5" w:tgtFrame="_blank" w:history="1">
        <w:r w:rsidR="00AE3C62" w:rsidRPr="00AE3C62">
          <w:rPr>
            <w:rStyle w:val="Hiperpovezava"/>
            <w:rFonts w:ascii="Times New Roman" w:hAnsi="Times New Roman" w:cs="Times New Roman"/>
            <w:sz w:val="24"/>
            <w:szCs w:val="24"/>
          </w:rPr>
          <w:t>https://blast.ncbi.nlm.nih.gov/Blast</w:t>
        </w:r>
      </w:hyperlink>
      <w:r w:rsidR="00AE3C62" w:rsidRPr="00AE3C62">
        <w:rPr>
          <w:rFonts w:ascii="Times New Roman" w:hAnsi="Times New Roman" w:cs="Times New Roman"/>
          <w:sz w:val="24"/>
          <w:szCs w:val="24"/>
        </w:rPr>
        <w:t>).</w:t>
      </w:r>
      <w:r w:rsidR="00AE3C62">
        <w:rPr>
          <w:rFonts w:ascii="Times New Roman" w:hAnsi="Times New Roman" w:cs="Times New Roman"/>
          <w:sz w:val="24"/>
          <w:szCs w:val="24"/>
        </w:rPr>
        <w:t xml:space="preserve"> </w:t>
      </w:r>
      <w:r w:rsidRPr="002C01EC">
        <w:rPr>
          <w:rFonts w:ascii="Times New Roman" w:hAnsi="Times New Roman" w:cs="Times New Roman"/>
          <w:sz w:val="24"/>
          <w:szCs w:val="24"/>
          <w:lang w:val="en-US"/>
        </w:rPr>
        <w:t>All identified mutations/variants were validated in additional independent round of PCR and once again sequenced.</w:t>
      </w:r>
    </w:p>
    <w:p w:rsidR="00137987" w:rsidRPr="002C01EC" w:rsidRDefault="00137987" w:rsidP="006A473E">
      <w:pPr>
        <w:pStyle w:val="Navaden1"/>
        <w:spacing w:line="360" w:lineRule="auto"/>
        <w:jc w:val="both"/>
        <w:rPr>
          <w:rFonts w:ascii="Times New Roman" w:hAnsi="Times New Roman" w:cs="Times New Roman"/>
          <w:sz w:val="24"/>
          <w:szCs w:val="24"/>
          <w:lang w:val="en-US"/>
        </w:rPr>
      </w:pPr>
      <w:r w:rsidRPr="002C01EC">
        <w:rPr>
          <w:rFonts w:ascii="Times New Roman" w:hAnsi="Times New Roman" w:cs="Times New Roman"/>
          <w:sz w:val="24"/>
          <w:szCs w:val="24"/>
          <w:lang w:val="en-US"/>
        </w:rPr>
        <w:t xml:space="preserve">Data from the Sequence Analysis Software were aligned with the native </w:t>
      </w:r>
      <w:r w:rsidRPr="002C01EC">
        <w:rPr>
          <w:rFonts w:ascii="Times New Roman" w:hAnsi="Times New Roman" w:cs="Times New Roman"/>
          <w:i/>
          <w:sz w:val="24"/>
          <w:szCs w:val="24"/>
          <w:lang w:val="en-US"/>
        </w:rPr>
        <w:t>C2</w:t>
      </w:r>
      <w:r w:rsidRPr="002C01EC">
        <w:rPr>
          <w:rFonts w:ascii="Times New Roman" w:hAnsi="Times New Roman" w:cs="Times New Roman"/>
          <w:sz w:val="24"/>
          <w:szCs w:val="24"/>
          <w:lang w:val="en-US"/>
        </w:rPr>
        <w:t xml:space="preserve"> sequence (NM_000063) and </w:t>
      </w:r>
      <w:r w:rsidRPr="002C01EC">
        <w:rPr>
          <w:rFonts w:ascii="Times New Roman" w:hAnsi="Times New Roman" w:cs="Times New Roman"/>
          <w:i/>
          <w:sz w:val="24"/>
          <w:szCs w:val="24"/>
          <w:lang w:val="en-US"/>
        </w:rPr>
        <w:t>C8B</w:t>
      </w:r>
      <w:r w:rsidRPr="002C01EC">
        <w:rPr>
          <w:rFonts w:ascii="Times New Roman" w:hAnsi="Times New Roman" w:cs="Times New Roman"/>
          <w:sz w:val="24"/>
          <w:szCs w:val="24"/>
          <w:lang w:val="en-US"/>
        </w:rPr>
        <w:t xml:space="preserve"> sequence (NM_000066), (</w:t>
      </w:r>
      <w:hyperlink r:id="rId6">
        <w:r w:rsidRPr="002C01EC">
          <w:rPr>
            <w:rFonts w:ascii="Times New Roman" w:hAnsi="Times New Roman" w:cs="Times New Roman"/>
            <w:color w:val="0563C1"/>
            <w:sz w:val="24"/>
            <w:szCs w:val="24"/>
            <w:u w:val="single"/>
            <w:lang w:val="en-US"/>
          </w:rPr>
          <w:t>http://www3.ncbi.nlm.nih.gov</w:t>
        </w:r>
      </w:hyperlink>
      <w:r w:rsidRPr="002C01EC">
        <w:rPr>
          <w:rFonts w:ascii="Times New Roman" w:hAnsi="Times New Roman" w:cs="Times New Roman"/>
          <w:sz w:val="24"/>
          <w:szCs w:val="24"/>
          <w:lang w:val="en-US"/>
        </w:rPr>
        <w:t xml:space="preserve">). </w:t>
      </w:r>
      <w:r w:rsidRPr="002C01EC">
        <w:rPr>
          <w:rFonts w:ascii="Times New Roman" w:hAnsi="Times New Roman" w:cs="Times New Roman"/>
          <w:color w:val="231F20"/>
          <w:sz w:val="24"/>
          <w:szCs w:val="24"/>
          <w:lang w:val="en-US"/>
        </w:rPr>
        <w:t>Nomenclature is cited according to the HGVS guidelines (</w:t>
      </w:r>
      <w:hyperlink r:id="rId7">
        <w:r w:rsidRPr="002C01EC">
          <w:rPr>
            <w:rFonts w:ascii="Times New Roman" w:hAnsi="Times New Roman" w:cs="Times New Roman"/>
            <w:color w:val="0563C1"/>
            <w:sz w:val="24"/>
            <w:szCs w:val="24"/>
            <w:u w:val="single"/>
            <w:lang w:val="en-US"/>
          </w:rPr>
          <w:t>www.hgvs.org/mutnomen</w:t>
        </w:r>
      </w:hyperlink>
      <w:r w:rsidRPr="002C01EC">
        <w:rPr>
          <w:rFonts w:ascii="Times New Roman" w:hAnsi="Times New Roman" w:cs="Times New Roman"/>
          <w:color w:val="231F20"/>
          <w:sz w:val="24"/>
          <w:szCs w:val="24"/>
          <w:lang w:val="en-US"/>
        </w:rPr>
        <w:t xml:space="preserve">): ‘c.’ indicates a coding DNA sequence and ‘p.’ indicates a protein sequence. Sequence variants were checked using the </w:t>
      </w:r>
      <w:proofErr w:type="spellStart"/>
      <w:r w:rsidRPr="002C01EC">
        <w:rPr>
          <w:rFonts w:ascii="Times New Roman" w:hAnsi="Times New Roman" w:cs="Times New Roman"/>
          <w:color w:val="231F20"/>
          <w:sz w:val="24"/>
          <w:szCs w:val="24"/>
          <w:lang w:val="en-US"/>
        </w:rPr>
        <w:t>Mutalyzer</w:t>
      </w:r>
      <w:proofErr w:type="spellEnd"/>
      <w:r w:rsidRPr="002C01EC">
        <w:rPr>
          <w:rFonts w:ascii="Times New Roman" w:hAnsi="Times New Roman" w:cs="Times New Roman"/>
          <w:color w:val="231F20"/>
          <w:sz w:val="24"/>
          <w:szCs w:val="24"/>
          <w:lang w:val="en-US"/>
        </w:rPr>
        <w:t xml:space="preserve"> program (http://www.LOVD.nl/mutalyzer). Family segregation analysis was performed in several family members. </w:t>
      </w:r>
      <w:r w:rsidRPr="002C01EC">
        <w:rPr>
          <w:rFonts w:ascii="Times New Roman" w:hAnsi="Times New Roman" w:cs="Times New Roman"/>
          <w:sz w:val="24"/>
          <w:szCs w:val="24"/>
          <w:lang w:val="en-US"/>
        </w:rPr>
        <w:t xml:space="preserve">All genetic analyses for </w:t>
      </w:r>
      <w:r w:rsidRPr="002C01EC">
        <w:rPr>
          <w:rFonts w:ascii="Times New Roman" w:hAnsi="Times New Roman" w:cs="Times New Roman"/>
          <w:i/>
          <w:sz w:val="24"/>
          <w:szCs w:val="24"/>
          <w:lang w:val="en-US"/>
        </w:rPr>
        <w:t>C2</w:t>
      </w:r>
      <w:r w:rsidRPr="002C01EC">
        <w:rPr>
          <w:rFonts w:ascii="Times New Roman" w:hAnsi="Times New Roman" w:cs="Times New Roman"/>
          <w:sz w:val="24"/>
          <w:szCs w:val="24"/>
          <w:lang w:val="en-US"/>
        </w:rPr>
        <w:t xml:space="preserve"> and </w:t>
      </w:r>
      <w:r w:rsidRPr="002C01EC">
        <w:rPr>
          <w:rFonts w:ascii="Times New Roman" w:hAnsi="Times New Roman" w:cs="Times New Roman"/>
          <w:i/>
          <w:sz w:val="24"/>
          <w:szCs w:val="24"/>
          <w:lang w:val="en-US"/>
        </w:rPr>
        <w:t>C8B</w:t>
      </w:r>
      <w:r w:rsidRPr="002C01EC">
        <w:rPr>
          <w:rFonts w:ascii="Times New Roman" w:hAnsi="Times New Roman" w:cs="Times New Roman"/>
          <w:sz w:val="24"/>
          <w:szCs w:val="24"/>
          <w:lang w:val="en-US"/>
        </w:rPr>
        <w:t xml:space="preserve"> deficiency were performed in the genetic laboratory of the University Children’s Hospital Ljubljana, Slovenia.</w:t>
      </w:r>
    </w:p>
    <w:p w:rsidR="00137987" w:rsidRPr="002C01EC" w:rsidRDefault="00137987" w:rsidP="00137987">
      <w:pPr>
        <w:pStyle w:val="Navaden1"/>
        <w:spacing w:line="360" w:lineRule="auto"/>
        <w:jc w:val="both"/>
        <w:rPr>
          <w:rFonts w:ascii="Times New Roman" w:hAnsi="Times New Roman" w:cs="Times New Roman"/>
          <w:b/>
          <w:sz w:val="24"/>
          <w:szCs w:val="24"/>
          <w:lang w:val="en-US"/>
        </w:rPr>
      </w:pPr>
      <w:r w:rsidRPr="002C01EC">
        <w:rPr>
          <w:rFonts w:ascii="Times New Roman" w:hAnsi="Times New Roman" w:cs="Times New Roman"/>
          <w:b/>
          <w:sz w:val="24"/>
          <w:szCs w:val="24"/>
          <w:lang w:val="en-US"/>
        </w:rPr>
        <w:t>Genotyping in HAE</w:t>
      </w:r>
    </w:p>
    <w:p w:rsidR="00AE3C62" w:rsidRPr="00AE3C62" w:rsidRDefault="00137987" w:rsidP="00AE3C62">
      <w:pPr>
        <w:pStyle w:val="Navaden1"/>
        <w:spacing w:line="360" w:lineRule="auto"/>
        <w:jc w:val="both"/>
        <w:rPr>
          <w:rFonts w:ascii="Times New Roman" w:hAnsi="Times New Roman" w:cs="Times New Roman"/>
          <w:sz w:val="24"/>
          <w:szCs w:val="24"/>
        </w:rPr>
      </w:pPr>
      <w:r w:rsidRPr="002C01EC">
        <w:rPr>
          <w:rFonts w:ascii="Times New Roman" w:hAnsi="Times New Roman" w:cs="Times New Roman"/>
          <w:sz w:val="24"/>
          <w:szCs w:val="24"/>
          <w:lang w:val="en-US"/>
        </w:rPr>
        <w:t xml:space="preserve">Genomic DNA was extracted from EDTA-containing whole blood samples using a </w:t>
      </w:r>
      <w:proofErr w:type="spellStart"/>
      <w:r w:rsidRPr="002C01EC">
        <w:rPr>
          <w:rFonts w:ascii="Times New Roman" w:hAnsi="Times New Roman" w:cs="Times New Roman"/>
          <w:sz w:val="24"/>
          <w:szCs w:val="24"/>
          <w:lang w:val="en-US"/>
        </w:rPr>
        <w:t>QIAamp</w:t>
      </w:r>
      <w:proofErr w:type="spellEnd"/>
      <w:r w:rsidRPr="002C01EC">
        <w:rPr>
          <w:rFonts w:ascii="Times New Roman" w:hAnsi="Times New Roman" w:cs="Times New Roman"/>
          <w:sz w:val="24"/>
          <w:szCs w:val="24"/>
          <w:lang w:val="en-US"/>
        </w:rPr>
        <w:t xml:space="preserve"> DNA Blood Mini Kit (Qiagen, Hilden, Germany) per the manufacturer's instructions. The detection of SERPING1 mutations, in promoter, noncoding exon 1 and in the 7 coding exons and exon-intron boundaries were performed as described previously</w:t>
      </w:r>
      <w:r w:rsidRPr="002C01EC">
        <w:rPr>
          <w:rFonts w:ascii="Times New Roman" w:hAnsi="Times New Roman" w:cs="Times New Roman"/>
          <w:sz w:val="24"/>
          <w:szCs w:val="24"/>
          <w:lang w:val="en-US"/>
        </w:rPr>
        <w:fldChar w:fldCharType="begin" w:fldLock="1"/>
      </w:r>
      <w:r w:rsidR="00131C07">
        <w:rPr>
          <w:rFonts w:ascii="Times New Roman" w:hAnsi="Times New Roman" w:cs="Times New Roman"/>
          <w:sz w:val="24"/>
          <w:szCs w:val="24"/>
          <w:lang w:val="en-US"/>
        </w:rPr>
        <w:instrText>ADDIN CSL_CITATION { "citationItems" : [ { "id" : "ITEM-1", "itemData" : { "DOI" : "10.1006/clim.2000.4947", "ISSN" : "1521-6616", "PMID" : "11161971", "abstract" : "C1 esterase inhibitor (C1INH) is an important regulatory protein of the classical pathway of complement. Mutations in the gene for this protein cause the autosomal dominant disorder hereditary angioedema (HAE). Approximately 85% of patients with HAE have a Type I defect, characterized by a diminished level of antigenic and functional C1INH. Patients with Type II defects have sufficient protein, but one allele produces dysfunctional protein. We have sequenced the DNA from HAE patients and have discovered four previously unreported mutations. The first mutation is a splice site error at nucleotide 8721, which changes the 3' acceptor splice site AG to GG at the end of intron 5 at nucleotide 8721-8722. The second mutation is a single base insertion in exon 3 between nucleotides 2467 and 2468. The third mutation is a missense error present in the eighth exon of the C1INH; at nucleotide 16867 (amino acid 470), a T to A mutation transforms a Met to a Lys. The fourth mutation closely resembles the third mutation in that it is a missense error occurring in exon 8 in the distal hinge region; a T16827C substitution changes the Phe at amino acid 457 to Leu. This report compiles a list of 97 distinct defects in the C1INH gene that cause hereditary angioedema.", "author" : [ { "dropping-particle" : "", "family" : "Bowen", "given" : "B", "non-dropping-particle" : "", "parse-names" : false, "suffix" : "" }, { "dropping-particle" : "", "family" : "Hawk", "given" : "J J", "non-dropping-particle" : "", "parse-names" : false, "suffix" : "" }, { "dropping-particle" : "", "family" : "Sibunka", "given" : "S", "non-dropping-particle" : "", "parse-names" : false, "suffix" : "" }, { "dropping-particle" : "", "family" : "Hovick", "given" : "S", "non-dropping-particle" : "", "parse-names" : false, "suffix" : "" }, { "dropping-particle" : "", "family" : "Weiler", "given" : "J M", "non-dropping-particle" : "", "parse-names" : false, "suffix" : "" } ], "container-title" : "Clinical immunology (Orlando, Fla.)", "id" : "ITEM-1", "issue" : "2", "issued" : { "date-parts" : [ [ "2001", "2" ] ] }, "page" : "157-63", "title" : "A review of the reported defects in the human C1 esterase inhibitor gene producing hereditary angioedema including four new mutations.", "type" : "article-journal", "volume" : "98" }, "uris" : [ "http://www.mendeley.com/documents/?uuid=7ccc5786-0382-3cdc-b71c-199025d459ef" ] }, { "id" : "ITEM-2", "itemData" : { "DOI" : "10.1016/j.humimm.2009.08.010", "ISSN" : "1879-1166", "PMID" : "19706314", "abstract" : "This study constitutes the first molecular analysis of hereditary angioedema (HAE) in Greece, where 11 patients from three unrelated families with recurrent angioedema attacks and decreased C1 inhibitor antigenic levels were analyzed for SERPING1 mutations. Interestingly, one family displayed a novel SERPING1 alteration, characterized by the substitution of two consecutive nucleotides TC to AA, resulting in a termination codon (F225X). To the best of our knowledge, this is the first report of such a mutation in SERPING1, causing HAE. The second family displayed the nonsense mutation W482X, and the third the missense mutation M1V, already described in the literature. The type of mutation did not predict clearly the disease phenotype, since even members of the same family displayed a variety of the frequency and the severity of angioedema attacks. Our study identified a novel mutagenesis mechanism for HAE pathogenesis, providing additional evidence for the genetic heterogeneity of the disease.", "author" : [ { "dropping-particle" : "", "family" : "Speletas", "given" : "Matthaios", "non-dropping-particle" : "", "parse-names" : false, "suffix" : "" }, { "dropping-particle" : "", "family" : "Boukas", "given" : "Konstantinos", "non-dropping-particle" : "", "parse-names" : false, "suffix" : "" }, { "dropping-particle" : "", "family" : "Papadopoulou-Alataki", "given" : "Efimia", "non-dropping-particle" : "", "parse-names" : false, "suffix" : "" }, { "dropping-particle" : "", "family" : "Tsitsami", "given" : "Elena", "non-dropping-particle" : "", "parse-names" : false, "suffix" : "" }, { "dropping-particle" : "", "family" : "Germenis", "given" : "Anastasios E", "non-dropping-particle" : "", "parse-names" : false, "suffix" : "" } ], "container-title" : "Human immunology", "id" : "ITEM-2", "issue" : "11", "issued" : { "date-parts" : [ [ "2009", "11" ] ] }, "page" : "925-9", "title" : "Hereditary angioedema in Greek families caused by novel and recurrent mutations.", "type" : "article-journal", "volume" : "70" }, "uris" : [ "http://www.mendeley.com/documents/?uuid=04428823-ca09-3033-8941-7493b37f752b" ] } ], "mendeley" : { "formattedCitation" : "(3,4)", "plainTextFormattedCitation" : "(3,4)", "previouslyFormattedCitation" : "(B. Bowen et al. 2001; Speletas et al. 2009)" }, "properties" : {  }, "schema" : "https://github.com/citation-style-language/schema/raw/master/csl-citation.json" }</w:instrText>
      </w:r>
      <w:r w:rsidRPr="002C01EC">
        <w:rPr>
          <w:rFonts w:ascii="Times New Roman" w:hAnsi="Times New Roman" w:cs="Times New Roman"/>
          <w:sz w:val="24"/>
          <w:szCs w:val="24"/>
          <w:lang w:val="en-US"/>
        </w:rPr>
        <w:fldChar w:fldCharType="separate"/>
      </w:r>
      <w:r w:rsidR="00131C07" w:rsidRPr="00131C07">
        <w:rPr>
          <w:rFonts w:ascii="Times New Roman" w:hAnsi="Times New Roman" w:cs="Times New Roman"/>
          <w:noProof/>
          <w:sz w:val="24"/>
          <w:szCs w:val="24"/>
          <w:lang w:val="en-US"/>
        </w:rPr>
        <w:t>(3,4)</w:t>
      </w:r>
      <w:r w:rsidRPr="002C01EC">
        <w:rPr>
          <w:rFonts w:ascii="Times New Roman" w:hAnsi="Times New Roman" w:cs="Times New Roman"/>
          <w:sz w:val="24"/>
          <w:szCs w:val="24"/>
          <w:lang w:val="en-US"/>
        </w:rPr>
        <w:fldChar w:fldCharType="end"/>
      </w:r>
      <w:r w:rsidRPr="002C01EC">
        <w:rPr>
          <w:rFonts w:ascii="Times New Roman" w:hAnsi="Times New Roman" w:cs="Times New Roman"/>
          <w:sz w:val="24"/>
          <w:szCs w:val="24"/>
          <w:lang w:val="en-US"/>
        </w:rPr>
        <w:t xml:space="preserve">. To identify mutations, all sequences were compared with the SERPING1 reference sequence in the GenBank (GenBank accession number # X54486.1). </w:t>
      </w:r>
      <w:proofErr w:type="spellStart"/>
      <w:r w:rsidR="00AE3C62" w:rsidRPr="00AE3C62">
        <w:rPr>
          <w:rFonts w:ascii="Times New Roman" w:hAnsi="Times New Roman" w:cs="Times New Roman"/>
          <w:sz w:val="24"/>
          <w:szCs w:val="24"/>
        </w:rPr>
        <w:t>Alignment</w:t>
      </w:r>
      <w:proofErr w:type="spellEnd"/>
      <w:r w:rsidR="00AE3C62" w:rsidRPr="00AE3C62">
        <w:rPr>
          <w:rFonts w:ascii="Times New Roman" w:hAnsi="Times New Roman" w:cs="Times New Roman"/>
          <w:sz w:val="24"/>
          <w:szCs w:val="24"/>
        </w:rPr>
        <w:t xml:space="preserve"> </w:t>
      </w:r>
      <w:proofErr w:type="spellStart"/>
      <w:r w:rsidR="00AE3C62" w:rsidRPr="00AE3C62">
        <w:rPr>
          <w:rFonts w:ascii="Times New Roman" w:hAnsi="Times New Roman" w:cs="Times New Roman"/>
          <w:sz w:val="24"/>
          <w:szCs w:val="24"/>
        </w:rPr>
        <w:t>was</w:t>
      </w:r>
      <w:proofErr w:type="spellEnd"/>
      <w:r w:rsidR="00AE3C62" w:rsidRPr="00AE3C62">
        <w:rPr>
          <w:rFonts w:ascii="Times New Roman" w:hAnsi="Times New Roman" w:cs="Times New Roman"/>
          <w:sz w:val="24"/>
          <w:szCs w:val="24"/>
        </w:rPr>
        <w:t xml:space="preserve"> </w:t>
      </w:r>
      <w:proofErr w:type="spellStart"/>
      <w:r w:rsidR="00AE3C62" w:rsidRPr="00AE3C62">
        <w:rPr>
          <w:rFonts w:ascii="Times New Roman" w:hAnsi="Times New Roman" w:cs="Times New Roman"/>
          <w:sz w:val="24"/>
          <w:szCs w:val="24"/>
        </w:rPr>
        <w:t>performed</w:t>
      </w:r>
      <w:proofErr w:type="spellEnd"/>
      <w:r w:rsidR="00AE3C62">
        <w:rPr>
          <w:rFonts w:ascii="Times New Roman" w:hAnsi="Times New Roman" w:cs="Times New Roman"/>
          <w:sz w:val="24"/>
          <w:szCs w:val="24"/>
        </w:rPr>
        <w:t xml:space="preserve"> </w:t>
      </w:r>
      <w:proofErr w:type="spellStart"/>
      <w:r w:rsidR="00AE3C62" w:rsidRPr="00AE3C62">
        <w:rPr>
          <w:rFonts w:ascii="Times New Roman" w:hAnsi="Times New Roman" w:cs="Times New Roman"/>
          <w:sz w:val="24"/>
          <w:szCs w:val="24"/>
        </w:rPr>
        <w:t>with</w:t>
      </w:r>
      <w:proofErr w:type="spellEnd"/>
      <w:r w:rsidR="00AE3C62" w:rsidRPr="00AE3C62">
        <w:rPr>
          <w:rFonts w:ascii="Times New Roman" w:hAnsi="Times New Roman" w:cs="Times New Roman"/>
          <w:sz w:val="24"/>
          <w:szCs w:val="24"/>
        </w:rPr>
        <w:t xml:space="preserve"> </w:t>
      </w:r>
      <w:proofErr w:type="spellStart"/>
      <w:r w:rsidR="00AE3C62" w:rsidRPr="00AE3C62">
        <w:rPr>
          <w:rFonts w:ascii="Times New Roman" w:hAnsi="Times New Roman" w:cs="Times New Roman"/>
          <w:sz w:val="24"/>
          <w:szCs w:val="24"/>
        </w:rPr>
        <w:t>the</w:t>
      </w:r>
      <w:proofErr w:type="spellEnd"/>
      <w:r w:rsidR="00AE3C62" w:rsidRPr="00AE3C62">
        <w:rPr>
          <w:rFonts w:ascii="Times New Roman" w:hAnsi="Times New Roman" w:cs="Times New Roman"/>
          <w:sz w:val="24"/>
          <w:szCs w:val="24"/>
        </w:rPr>
        <w:t xml:space="preserve"> </w:t>
      </w:r>
      <w:proofErr w:type="spellStart"/>
      <w:r w:rsidR="00AE3C62" w:rsidRPr="00AE3C62">
        <w:rPr>
          <w:rFonts w:ascii="Times New Roman" w:hAnsi="Times New Roman" w:cs="Times New Roman"/>
          <w:sz w:val="24"/>
          <w:szCs w:val="24"/>
        </w:rPr>
        <w:t>Nucleotide</w:t>
      </w:r>
      <w:proofErr w:type="spellEnd"/>
      <w:r w:rsidR="00AE3C62" w:rsidRPr="00AE3C62">
        <w:rPr>
          <w:rFonts w:ascii="Times New Roman" w:hAnsi="Times New Roman" w:cs="Times New Roman"/>
          <w:sz w:val="24"/>
          <w:szCs w:val="24"/>
        </w:rPr>
        <w:t xml:space="preserve"> BLAST program (</w:t>
      </w:r>
      <w:hyperlink r:id="rId8" w:tgtFrame="_blank" w:history="1">
        <w:r w:rsidR="00AE3C62" w:rsidRPr="00AE3C62">
          <w:rPr>
            <w:rStyle w:val="Hiperpovezava"/>
            <w:rFonts w:ascii="Times New Roman" w:hAnsi="Times New Roman" w:cs="Times New Roman"/>
            <w:sz w:val="24"/>
            <w:szCs w:val="24"/>
          </w:rPr>
          <w:t>https://blast.ncbi.nlm.nih.gov/Blast</w:t>
        </w:r>
      </w:hyperlink>
      <w:r w:rsidR="00AE3C62" w:rsidRPr="00AE3C62">
        <w:rPr>
          <w:rFonts w:ascii="Times New Roman" w:hAnsi="Times New Roman" w:cs="Times New Roman"/>
          <w:sz w:val="24"/>
          <w:szCs w:val="24"/>
        </w:rPr>
        <w:t>).</w:t>
      </w:r>
    </w:p>
    <w:p w:rsidR="00137987" w:rsidRDefault="00137987" w:rsidP="00137987">
      <w:pPr>
        <w:pStyle w:val="Navaden1"/>
        <w:spacing w:line="360" w:lineRule="auto"/>
        <w:jc w:val="both"/>
        <w:rPr>
          <w:rFonts w:ascii="Times New Roman" w:hAnsi="Times New Roman" w:cs="Times New Roman"/>
          <w:sz w:val="24"/>
          <w:szCs w:val="24"/>
          <w:lang w:val="en-US"/>
        </w:rPr>
      </w:pPr>
    </w:p>
    <w:p w:rsidR="00131C07" w:rsidRDefault="00131C07" w:rsidP="00137987">
      <w:pPr>
        <w:pStyle w:val="Navaden1"/>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References</w:t>
      </w:r>
    </w:p>
    <w:p w:rsidR="00131C07" w:rsidRPr="00131C07" w:rsidRDefault="00131C07" w:rsidP="00131C07">
      <w:pPr>
        <w:widowControl w:val="0"/>
        <w:autoSpaceDE w:val="0"/>
        <w:autoSpaceDN w:val="0"/>
        <w:adjustRightInd w:val="0"/>
        <w:spacing w:line="360" w:lineRule="auto"/>
        <w:ind w:left="640" w:hanging="640"/>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Pr="00131C07">
        <w:rPr>
          <w:rFonts w:ascii="Times New Roman" w:hAnsi="Times New Roman" w:cs="Times New Roman"/>
          <w:noProof/>
          <w:sz w:val="24"/>
          <w:szCs w:val="24"/>
        </w:rPr>
        <w:t xml:space="preserve">1. </w:t>
      </w:r>
      <w:r w:rsidRPr="00131C07">
        <w:rPr>
          <w:rFonts w:ascii="Times New Roman" w:hAnsi="Times New Roman" w:cs="Times New Roman"/>
          <w:noProof/>
          <w:sz w:val="24"/>
          <w:szCs w:val="24"/>
        </w:rPr>
        <w:tab/>
        <w:t xml:space="preserve">Johnson U, Truedsson L, Gustavii B. Complement components in 100 newborns and their mothers determined by electroimmunoassay. </w:t>
      </w:r>
      <w:r w:rsidRPr="00131C07">
        <w:rPr>
          <w:rFonts w:ascii="Times New Roman" w:hAnsi="Times New Roman" w:cs="Times New Roman"/>
          <w:i/>
          <w:iCs/>
          <w:noProof/>
          <w:sz w:val="24"/>
          <w:szCs w:val="24"/>
        </w:rPr>
        <w:t xml:space="preserve">Acta Pathol Microbiol Immunol </w:t>
      </w:r>
      <w:r w:rsidRPr="00131C07">
        <w:rPr>
          <w:rFonts w:ascii="Times New Roman" w:hAnsi="Times New Roman" w:cs="Times New Roman"/>
          <w:i/>
          <w:iCs/>
          <w:noProof/>
          <w:sz w:val="24"/>
          <w:szCs w:val="24"/>
        </w:rPr>
        <w:lastRenderedPageBreak/>
        <w:t>Scand C</w:t>
      </w:r>
      <w:r w:rsidRPr="00131C07">
        <w:rPr>
          <w:rFonts w:ascii="Times New Roman" w:hAnsi="Times New Roman" w:cs="Times New Roman"/>
          <w:noProof/>
          <w:sz w:val="24"/>
          <w:szCs w:val="24"/>
        </w:rPr>
        <w:t xml:space="preserve"> (1983) </w:t>
      </w:r>
      <w:r w:rsidRPr="00131C07">
        <w:rPr>
          <w:rFonts w:ascii="Times New Roman" w:hAnsi="Times New Roman" w:cs="Times New Roman"/>
          <w:b/>
          <w:bCs/>
          <w:noProof/>
          <w:sz w:val="24"/>
          <w:szCs w:val="24"/>
        </w:rPr>
        <w:t>91</w:t>
      </w:r>
      <w:r w:rsidRPr="00131C07">
        <w:rPr>
          <w:rFonts w:ascii="Times New Roman" w:hAnsi="Times New Roman" w:cs="Times New Roman"/>
          <w:noProof/>
          <w:sz w:val="24"/>
          <w:szCs w:val="24"/>
        </w:rPr>
        <w:t>:147–50.</w:t>
      </w:r>
    </w:p>
    <w:p w:rsidR="00131C07" w:rsidRPr="00131C07" w:rsidRDefault="00131C07" w:rsidP="00131C07">
      <w:pPr>
        <w:widowControl w:val="0"/>
        <w:autoSpaceDE w:val="0"/>
        <w:autoSpaceDN w:val="0"/>
        <w:adjustRightInd w:val="0"/>
        <w:spacing w:line="360" w:lineRule="auto"/>
        <w:ind w:left="640" w:hanging="640"/>
        <w:rPr>
          <w:rFonts w:ascii="Times New Roman" w:hAnsi="Times New Roman" w:cs="Times New Roman"/>
          <w:noProof/>
          <w:sz w:val="24"/>
          <w:szCs w:val="24"/>
        </w:rPr>
      </w:pPr>
      <w:r w:rsidRPr="00131C07">
        <w:rPr>
          <w:rFonts w:ascii="Times New Roman" w:hAnsi="Times New Roman" w:cs="Times New Roman"/>
          <w:noProof/>
          <w:sz w:val="24"/>
          <w:szCs w:val="24"/>
        </w:rPr>
        <w:t xml:space="preserve">2. </w:t>
      </w:r>
      <w:r w:rsidRPr="00131C07">
        <w:rPr>
          <w:rFonts w:ascii="Times New Roman" w:hAnsi="Times New Roman" w:cs="Times New Roman"/>
          <w:noProof/>
          <w:sz w:val="24"/>
          <w:szCs w:val="24"/>
        </w:rPr>
        <w:tab/>
        <w:t xml:space="preserve">Sonntag J, Brandenburg U, Polzehl D, Strauss E, Vogel M, Dudenhausen JW, Obladen M. Complement system in healthy term newborns: reference values in umbilical cord blood. </w:t>
      </w:r>
      <w:r w:rsidRPr="00131C07">
        <w:rPr>
          <w:rFonts w:ascii="Times New Roman" w:hAnsi="Times New Roman" w:cs="Times New Roman"/>
          <w:i/>
          <w:iCs/>
          <w:noProof/>
          <w:sz w:val="24"/>
          <w:szCs w:val="24"/>
        </w:rPr>
        <w:t>Pediatr Dev Pathol</w:t>
      </w:r>
      <w:r w:rsidRPr="00131C07">
        <w:rPr>
          <w:rFonts w:ascii="Times New Roman" w:hAnsi="Times New Roman" w:cs="Times New Roman"/>
          <w:noProof/>
          <w:sz w:val="24"/>
          <w:szCs w:val="24"/>
        </w:rPr>
        <w:t xml:space="preserve"> </w:t>
      </w:r>
      <w:r w:rsidRPr="00131C07">
        <w:rPr>
          <w:rFonts w:ascii="Times New Roman" w:hAnsi="Times New Roman" w:cs="Times New Roman"/>
          <w:b/>
          <w:bCs/>
          <w:noProof/>
          <w:sz w:val="24"/>
          <w:szCs w:val="24"/>
        </w:rPr>
        <w:t>1</w:t>
      </w:r>
      <w:r w:rsidRPr="00131C07">
        <w:rPr>
          <w:rFonts w:ascii="Times New Roman" w:hAnsi="Times New Roman" w:cs="Times New Roman"/>
          <w:noProof/>
          <w:sz w:val="24"/>
          <w:szCs w:val="24"/>
        </w:rPr>
        <w:t>:131–5.</w:t>
      </w:r>
    </w:p>
    <w:p w:rsidR="00131C07" w:rsidRPr="00131C07" w:rsidRDefault="00131C07" w:rsidP="00131C07">
      <w:pPr>
        <w:widowControl w:val="0"/>
        <w:autoSpaceDE w:val="0"/>
        <w:autoSpaceDN w:val="0"/>
        <w:adjustRightInd w:val="0"/>
        <w:spacing w:line="360" w:lineRule="auto"/>
        <w:ind w:left="640" w:hanging="640"/>
        <w:rPr>
          <w:rFonts w:ascii="Times New Roman" w:hAnsi="Times New Roman" w:cs="Times New Roman"/>
          <w:noProof/>
          <w:sz w:val="24"/>
          <w:szCs w:val="24"/>
        </w:rPr>
      </w:pPr>
      <w:r w:rsidRPr="00131C07">
        <w:rPr>
          <w:rFonts w:ascii="Times New Roman" w:hAnsi="Times New Roman" w:cs="Times New Roman"/>
          <w:noProof/>
          <w:sz w:val="24"/>
          <w:szCs w:val="24"/>
        </w:rPr>
        <w:t xml:space="preserve">3. </w:t>
      </w:r>
      <w:r w:rsidRPr="00131C07">
        <w:rPr>
          <w:rFonts w:ascii="Times New Roman" w:hAnsi="Times New Roman" w:cs="Times New Roman"/>
          <w:noProof/>
          <w:sz w:val="24"/>
          <w:szCs w:val="24"/>
        </w:rPr>
        <w:tab/>
        <w:t xml:space="preserve">Bowen B, Hawk JJ, Sibunka S, Hovick S, Weiler JM. A review of the reported defects in the human C1 esterase inhibitor gene producing hereditary angioedema including four new mutations. </w:t>
      </w:r>
      <w:r w:rsidRPr="00131C07">
        <w:rPr>
          <w:rFonts w:ascii="Times New Roman" w:hAnsi="Times New Roman" w:cs="Times New Roman"/>
          <w:i/>
          <w:iCs/>
          <w:noProof/>
          <w:sz w:val="24"/>
          <w:szCs w:val="24"/>
        </w:rPr>
        <w:t>Clin Immunol</w:t>
      </w:r>
      <w:r w:rsidRPr="00131C07">
        <w:rPr>
          <w:rFonts w:ascii="Times New Roman" w:hAnsi="Times New Roman" w:cs="Times New Roman"/>
          <w:noProof/>
          <w:sz w:val="24"/>
          <w:szCs w:val="24"/>
        </w:rPr>
        <w:t xml:space="preserve"> (2001) </w:t>
      </w:r>
      <w:r w:rsidRPr="00131C07">
        <w:rPr>
          <w:rFonts w:ascii="Times New Roman" w:hAnsi="Times New Roman" w:cs="Times New Roman"/>
          <w:b/>
          <w:bCs/>
          <w:noProof/>
          <w:sz w:val="24"/>
          <w:szCs w:val="24"/>
        </w:rPr>
        <w:t>98</w:t>
      </w:r>
      <w:r w:rsidRPr="00131C07">
        <w:rPr>
          <w:rFonts w:ascii="Times New Roman" w:hAnsi="Times New Roman" w:cs="Times New Roman"/>
          <w:noProof/>
          <w:sz w:val="24"/>
          <w:szCs w:val="24"/>
        </w:rPr>
        <w:t>:157–63. doi:10.1006/clim.2000.4947</w:t>
      </w:r>
    </w:p>
    <w:p w:rsidR="00131C07" w:rsidRPr="00131C07" w:rsidRDefault="00131C07" w:rsidP="00131C07">
      <w:pPr>
        <w:widowControl w:val="0"/>
        <w:autoSpaceDE w:val="0"/>
        <w:autoSpaceDN w:val="0"/>
        <w:adjustRightInd w:val="0"/>
        <w:spacing w:line="360" w:lineRule="auto"/>
        <w:ind w:left="640" w:hanging="640"/>
        <w:rPr>
          <w:rFonts w:ascii="Times New Roman" w:hAnsi="Times New Roman" w:cs="Times New Roman"/>
          <w:noProof/>
          <w:sz w:val="24"/>
        </w:rPr>
      </w:pPr>
      <w:r w:rsidRPr="00131C07">
        <w:rPr>
          <w:rFonts w:ascii="Times New Roman" w:hAnsi="Times New Roman" w:cs="Times New Roman"/>
          <w:noProof/>
          <w:sz w:val="24"/>
          <w:szCs w:val="24"/>
        </w:rPr>
        <w:t xml:space="preserve">4. </w:t>
      </w:r>
      <w:r w:rsidRPr="00131C07">
        <w:rPr>
          <w:rFonts w:ascii="Times New Roman" w:hAnsi="Times New Roman" w:cs="Times New Roman"/>
          <w:noProof/>
          <w:sz w:val="24"/>
          <w:szCs w:val="24"/>
        </w:rPr>
        <w:tab/>
        <w:t xml:space="preserve">Speletas M, Boukas K, Papadopoulou-Alataki E, Tsitsami E, Germenis AE. Hereditary angioedema in Greek families caused by novel and recurrent mutations. </w:t>
      </w:r>
      <w:r w:rsidRPr="00131C07">
        <w:rPr>
          <w:rFonts w:ascii="Times New Roman" w:hAnsi="Times New Roman" w:cs="Times New Roman"/>
          <w:i/>
          <w:iCs/>
          <w:noProof/>
          <w:sz w:val="24"/>
          <w:szCs w:val="24"/>
        </w:rPr>
        <w:t>Hum Immunol</w:t>
      </w:r>
      <w:r w:rsidRPr="00131C07">
        <w:rPr>
          <w:rFonts w:ascii="Times New Roman" w:hAnsi="Times New Roman" w:cs="Times New Roman"/>
          <w:noProof/>
          <w:sz w:val="24"/>
          <w:szCs w:val="24"/>
        </w:rPr>
        <w:t xml:space="preserve"> (2009) </w:t>
      </w:r>
      <w:r w:rsidRPr="00131C07">
        <w:rPr>
          <w:rFonts w:ascii="Times New Roman" w:hAnsi="Times New Roman" w:cs="Times New Roman"/>
          <w:b/>
          <w:bCs/>
          <w:noProof/>
          <w:sz w:val="24"/>
          <w:szCs w:val="24"/>
        </w:rPr>
        <w:t>70</w:t>
      </w:r>
      <w:r w:rsidRPr="00131C07">
        <w:rPr>
          <w:rFonts w:ascii="Times New Roman" w:hAnsi="Times New Roman" w:cs="Times New Roman"/>
          <w:noProof/>
          <w:sz w:val="24"/>
          <w:szCs w:val="24"/>
        </w:rPr>
        <w:t>:925–9. doi:10.1016/j.humimm.2009.08.010</w:t>
      </w:r>
    </w:p>
    <w:p w:rsidR="00131C07" w:rsidRPr="002C01EC" w:rsidRDefault="00131C07" w:rsidP="00137987">
      <w:pPr>
        <w:pStyle w:val="Navaden1"/>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p w:rsidR="00C44E81" w:rsidRDefault="00C44E81" w:rsidP="00C44E81"/>
    <w:p w:rsidR="00C44E81" w:rsidRDefault="00C44E81" w:rsidP="00C44E81"/>
    <w:sectPr w:rsidR="00C44E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987"/>
    <w:rsid w:val="00131C07"/>
    <w:rsid w:val="00137987"/>
    <w:rsid w:val="00141972"/>
    <w:rsid w:val="006A473E"/>
    <w:rsid w:val="00AE3C62"/>
    <w:rsid w:val="00C44E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2760"/>
  <w15:chartTrackingRefBased/>
  <w15:docId w15:val="{FBB3DC3F-99D8-48A0-90CC-6F72F62D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vaden1">
    <w:name w:val="Navaden1"/>
    <w:uiPriority w:val="99"/>
    <w:rsid w:val="00137987"/>
    <w:pPr>
      <w:widowControl w:val="0"/>
    </w:pPr>
    <w:rPr>
      <w:rFonts w:ascii="Calibri" w:eastAsia="Calibri" w:hAnsi="Calibri" w:cs="Calibri"/>
      <w:color w:val="000000"/>
      <w:lang w:eastAsia="sl-SI"/>
    </w:rPr>
  </w:style>
  <w:style w:type="paragraph" w:styleId="HTML-oblikovano">
    <w:name w:val="HTML Preformatted"/>
    <w:basedOn w:val="Navaden"/>
    <w:link w:val="HTML-oblikovanoZnak"/>
    <w:uiPriority w:val="99"/>
    <w:semiHidden/>
    <w:unhideWhenUsed/>
    <w:rsid w:val="00AE3C62"/>
    <w:pPr>
      <w:spacing w:after="0" w:line="240" w:lineRule="auto"/>
    </w:pPr>
    <w:rPr>
      <w:rFonts w:ascii="Consolas" w:hAnsi="Consolas"/>
      <w:sz w:val="20"/>
      <w:szCs w:val="20"/>
    </w:rPr>
  </w:style>
  <w:style w:type="character" w:customStyle="1" w:styleId="HTML-oblikovanoZnak">
    <w:name w:val="HTML-oblikovano Znak"/>
    <w:basedOn w:val="Privzetapisavaodstavka"/>
    <w:link w:val="HTML-oblikovano"/>
    <w:uiPriority w:val="99"/>
    <w:semiHidden/>
    <w:rsid w:val="00AE3C62"/>
    <w:rPr>
      <w:rFonts w:ascii="Consolas" w:hAnsi="Consolas"/>
      <w:sz w:val="20"/>
      <w:szCs w:val="20"/>
    </w:rPr>
  </w:style>
  <w:style w:type="character" w:styleId="Hiperpovezava">
    <w:name w:val="Hyperlink"/>
    <w:basedOn w:val="Privzetapisavaodstavka"/>
    <w:uiPriority w:val="99"/>
    <w:unhideWhenUsed/>
    <w:rsid w:val="00AE3C62"/>
    <w:rPr>
      <w:color w:val="0563C1" w:themeColor="hyperlink"/>
      <w:u w:val="single"/>
    </w:rPr>
  </w:style>
  <w:style w:type="character" w:styleId="Nerazreenaomemba">
    <w:name w:val="Unresolved Mention"/>
    <w:basedOn w:val="Privzetapisavaodstavka"/>
    <w:uiPriority w:val="99"/>
    <w:semiHidden/>
    <w:unhideWhenUsed/>
    <w:rsid w:val="00AE3C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111684">
      <w:bodyDiv w:val="1"/>
      <w:marLeft w:val="0"/>
      <w:marRight w:val="0"/>
      <w:marTop w:val="0"/>
      <w:marBottom w:val="0"/>
      <w:divBdr>
        <w:top w:val="none" w:sz="0" w:space="0" w:color="auto"/>
        <w:left w:val="none" w:sz="0" w:space="0" w:color="auto"/>
        <w:bottom w:val="none" w:sz="0" w:space="0" w:color="auto"/>
        <w:right w:val="none" w:sz="0" w:space="0" w:color="auto"/>
      </w:divBdr>
    </w:div>
    <w:div w:id="956066314">
      <w:bodyDiv w:val="1"/>
      <w:marLeft w:val="0"/>
      <w:marRight w:val="0"/>
      <w:marTop w:val="0"/>
      <w:marBottom w:val="0"/>
      <w:divBdr>
        <w:top w:val="none" w:sz="0" w:space="0" w:color="auto"/>
        <w:left w:val="none" w:sz="0" w:space="0" w:color="auto"/>
        <w:bottom w:val="none" w:sz="0" w:space="0" w:color="auto"/>
        <w:right w:val="none" w:sz="0" w:space="0" w:color="auto"/>
      </w:divBdr>
    </w:div>
    <w:div w:id="1489326447">
      <w:bodyDiv w:val="1"/>
      <w:marLeft w:val="0"/>
      <w:marRight w:val="0"/>
      <w:marTop w:val="0"/>
      <w:marBottom w:val="0"/>
      <w:divBdr>
        <w:top w:val="none" w:sz="0" w:space="0" w:color="auto"/>
        <w:left w:val="none" w:sz="0" w:space="0" w:color="auto"/>
        <w:bottom w:val="none" w:sz="0" w:space="0" w:color="auto"/>
        <w:right w:val="none" w:sz="0" w:space="0" w:color="auto"/>
      </w:divBdr>
    </w:div>
    <w:div w:id="162438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st.ncbi.nlm.nih.gov/Blast" TargetMode="External"/><Relationship Id="rId3" Type="http://schemas.openxmlformats.org/officeDocument/2006/relationships/settings" Target="settings.xml"/><Relationship Id="rId7" Type="http://schemas.openxmlformats.org/officeDocument/2006/relationships/hyperlink" Target="http://www.hgvs.org/mutnom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3.ncbi.nlm.nih.gov" TargetMode="External"/><Relationship Id="rId5" Type="http://schemas.openxmlformats.org/officeDocument/2006/relationships/hyperlink" Target="https://blast.ncbi.nlm.nih.gov/Blas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39B1F68-1E37-4DD1-8BFA-14AB7A0C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2336</Words>
  <Characters>13316</Characters>
  <Application>Microsoft Office Word</Application>
  <DocSecurity>0</DocSecurity>
  <Lines>110</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Štefan Blazina</dc:creator>
  <cp:keywords/>
  <dc:description/>
  <cp:lastModifiedBy>Štefan Blazina</cp:lastModifiedBy>
  <cp:revision>2</cp:revision>
  <dcterms:created xsi:type="dcterms:W3CDTF">2018-03-01T18:40:00Z</dcterms:created>
  <dcterms:modified xsi:type="dcterms:W3CDTF">2018-03-01T18:40:00Z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http://www.zotero.org/styles/frontiers-in-immunology</vt:lpwstr>
  </property>
  <property fmtid="{D5CDD505-2E9C-101B-9397-08002B2CF9AE}" pid="11" name="Mendeley Recent Style Name 4_1">
    <vt:lpwstr>Frontiers in Immunology</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http://www.zotero.org/styles/the-journal-of-allergy-and-clinical-immunology</vt:lpwstr>
  </property>
  <property fmtid="{D5CDD505-2E9C-101B-9397-08002B2CF9AE}" pid="21" name="Mendeley Recent Style Name 9_1">
    <vt:lpwstr>The Journal of Allergy and Clinical Immunology</vt:lpwstr>
  </property>
  <property fmtid="{D5CDD505-2E9C-101B-9397-08002B2CF9AE}" pid="22" name="Mendeley Citation Style_1">
    <vt:lpwstr>http://www.zotero.org/styles/frontiers-in-immunology</vt:lpwstr>
  </property>
  <property fmtid="{D5CDD505-2E9C-101B-9397-08002B2CF9AE}" pid="23" name="Mendeley Document_1">
    <vt:lpwstr>True</vt:lpwstr>
  </property>
  <property fmtid="{D5CDD505-2E9C-101B-9397-08002B2CF9AE}" pid="24" name="Mendeley Unique User Id_1">
    <vt:lpwstr>d432438e-f5d4-3cd9-9de2-a945f6ca6f71</vt:lpwstr>
  </property>
</Properties>
</file>