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DB6CB6" w:rsidP="0001436A">
      <w:pPr>
        <w:pStyle w:val="afd"/>
      </w:pPr>
      <w:r w:rsidRPr="00DB6CB6">
        <w:t xml:space="preserve">Non- destructive determination of </w:t>
      </w:r>
      <w:proofErr w:type="spellStart"/>
      <w:r w:rsidRPr="00DB6CB6">
        <w:t>shikimic</w:t>
      </w:r>
      <w:proofErr w:type="spellEnd"/>
      <w:r w:rsidRPr="00DB6CB6">
        <w:t xml:space="preserve"> acid concentration in transgenic maize exhibiting glyphosate tolerance using chlorophyll fluorescence and hyperspectral imaging</w:t>
      </w:r>
    </w:p>
    <w:p w:rsidR="00DB6CB6" w:rsidRDefault="00DB6CB6" w:rsidP="00DB6CB6">
      <w:pPr>
        <w:pStyle w:val="AuthorList"/>
      </w:pPr>
      <w:proofErr w:type="spellStart"/>
      <w:r w:rsidRPr="005B4184">
        <w:t>Xuping</w:t>
      </w:r>
      <w:proofErr w:type="spellEnd"/>
      <w:r w:rsidRPr="005B4184">
        <w:t xml:space="preserve"> Feng</w:t>
      </w:r>
      <w:r w:rsidRPr="005B4184">
        <w:rPr>
          <w:vertAlign w:val="superscript"/>
        </w:rPr>
        <w:t>1</w:t>
      </w:r>
      <w:r w:rsidRPr="005B4184">
        <w:t xml:space="preserve">, </w:t>
      </w:r>
      <w:proofErr w:type="spellStart"/>
      <w:r w:rsidRPr="005B4184">
        <w:rPr>
          <w:rFonts w:eastAsia="仿宋"/>
          <w:color w:val="000000" w:themeColor="text1"/>
        </w:rPr>
        <w:t>Chenliang</w:t>
      </w:r>
      <w:proofErr w:type="spellEnd"/>
      <w:r w:rsidRPr="005B4184">
        <w:rPr>
          <w:rFonts w:eastAsia="仿宋"/>
          <w:color w:val="000000" w:themeColor="text1"/>
        </w:rPr>
        <w:t xml:space="preserve"> </w:t>
      </w:r>
      <w:r w:rsidRPr="005B4184">
        <w:t>Yu</w:t>
      </w:r>
      <w:r w:rsidRPr="00AC6724">
        <w:rPr>
          <w:vertAlign w:val="superscript"/>
        </w:rPr>
        <w:t>2</w:t>
      </w:r>
      <w:r w:rsidRPr="005B4184">
        <w:t>, Yue Chen</w:t>
      </w:r>
      <w:r w:rsidRPr="00AC6724">
        <w:rPr>
          <w:vertAlign w:val="superscript"/>
        </w:rPr>
        <w:t>3</w:t>
      </w:r>
      <w:r w:rsidRPr="005B4184">
        <w:t xml:space="preserve">, </w:t>
      </w:r>
      <w:proofErr w:type="spellStart"/>
      <w:r w:rsidRPr="005B4184">
        <w:t>Jiyun</w:t>
      </w:r>
      <w:proofErr w:type="spellEnd"/>
      <w:r w:rsidRPr="005B4184">
        <w:t xml:space="preserve"> Peng</w:t>
      </w:r>
      <w:r w:rsidRPr="00AC6724">
        <w:rPr>
          <w:vertAlign w:val="superscript"/>
        </w:rPr>
        <w:t>1</w:t>
      </w:r>
      <w:r w:rsidRPr="005B4184">
        <w:t xml:space="preserve">, </w:t>
      </w:r>
      <w:proofErr w:type="spellStart"/>
      <w:r w:rsidRPr="005B4184">
        <w:t>Lanhan</w:t>
      </w:r>
      <w:proofErr w:type="spellEnd"/>
      <w:r w:rsidRPr="005B4184">
        <w:t xml:space="preserve"> Ye</w:t>
      </w:r>
      <w:r w:rsidRPr="00AC6724">
        <w:rPr>
          <w:vertAlign w:val="superscript"/>
        </w:rPr>
        <w:t>1</w:t>
      </w:r>
      <w:r w:rsidRPr="005B4184">
        <w:t xml:space="preserve">, </w:t>
      </w:r>
      <w:proofErr w:type="spellStart"/>
      <w:r w:rsidRPr="005B4184">
        <w:t>Tingting</w:t>
      </w:r>
      <w:proofErr w:type="spellEnd"/>
      <w:r w:rsidRPr="005B4184">
        <w:t xml:space="preserve"> Shen</w:t>
      </w:r>
      <w:r w:rsidRPr="00AC6724">
        <w:rPr>
          <w:vertAlign w:val="superscript"/>
        </w:rPr>
        <w:t>1</w:t>
      </w:r>
      <w:r w:rsidRPr="005B4184">
        <w:t xml:space="preserve">, </w:t>
      </w:r>
      <w:proofErr w:type="spellStart"/>
      <w:r w:rsidRPr="005B4184">
        <w:t>Haiyong</w:t>
      </w:r>
      <w:proofErr w:type="spellEnd"/>
      <w:r w:rsidRPr="005B4184">
        <w:t xml:space="preserve"> Wen</w:t>
      </w:r>
      <w:r w:rsidRPr="00AC6724">
        <w:rPr>
          <w:vertAlign w:val="superscript"/>
        </w:rPr>
        <w:t>1</w:t>
      </w:r>
      <w:r w:rsidRPr="005B4184">
        <w:t>, Yong He</w:t>
      </w:r>
      <w:r w:rsidRPr="00AC6724">
        <w:rPr>
          <w:vertAlign w:val="superscript"/>
        </w:rPr>
        <w:t>1</w:t>
      </w:r>
      <w:r w:rsidRPr="005B4184">
        <w:t>*</w:t>
      </w:r>
    </w:p>
    <w:p w:rsidR="00BE1D5E" w:rsidRPr="005B4184" w:rsidRDefault="00BE1D5E" w:rsidP="00BE1D5E">
      <w:pPr>
        <w:spacing w:before="240" w:after="0"/>
        <w:rPr>
          <w:rFonts w:cs="Times New Roman"/>
          <w:b/>
          <w:szCs w:val="24"/>
        </w:rPr>
      </w:pPr>
      <w:r w:rsidRPr="005B4184">
        <w:rPr>
          <w:rFonts w:cs="Times New Roman"/>
          <w:szCs w:val="24"/>
          <w:vertAlign w:val="superscript"/>
        </w:rPr>
        <w:t>1</w:t>
      </w:r>
      <w:r w:rsidRPr="005B4184">
        <w:rPr>
          <w:rFonts w:cs="Times New Roman"/>
          <w:szCs w:val="24"/>
        </w:rPr>
        <w:t>Key Laboratory of Spectroscopy, Ministry of Agriculture, College of Biosystems Engineering and Food Science, Zhejiang University, Hangzhou 310058, China</w:t>
      </w:r>
    </w:p>
    <w:p w:rsidR="00BE1D5E" w:rsidRPr="005B4184" w:rsidRDefault="00BE1D5E" w:rsidP="00BE1D5E">
      <w:pPr>
        <w:spacing w:after="0"/>
        <w:rPr>
          <w:rFonts w:cs="Times New Roman"/>
          <w:szCs w:val="24"/>
        </w:rPr>
      </w:pPr>
      <w:r w:rsidRPr="005B4184">
        <w:rPr>
          <w:rFonts w:cs="Times New Roman"/>
          <w:szCs w:val="24"/>
          <w:vertAlign w:val="superscript"/>
        </w:rPr>
        <w:t>2</w:t>
      </w:r>
      <w:r w:rsidRPr="005B4184">
        <w:rPr>
          <w:rFonts w:cs="Times New Roman"/>
          <w:szCs w:val="24"/>
        </w:rPr>
        <w:t>Vegetable Research Institute, Zhejiang Academy of Agricultural Sciences, Hangzhou 310021, China</w:t>
      </w:r>
    </w:p>
    <w:p w:rsidR="00BE1D5E" w:rsidRPr="005B4184" w:rsidRDefault="00BE1D5E" w:rsidP="00BE1D5E">
      <w:pPr>
        <w:spacing w:after="0"/>
        <w:rPr>
          <w:rFonts w:cs="Times New Roman"/>
          <w:szCs w:val="24"/>
        </w:rPr>
      </w:pPr>
      <w:r w:rsidRPr="005B4184">
        <w:rPr>
          <w:rFonts w:cs="Times New Roman"/>
          <w:szCs w:val="24"/>
          <w:vertAlign w:val="superscript"/>
        </w:rPr>
        <w:t>3</w:t>
      </w:r>
      <w:r w:rsidRPr="005B4184">
        <w:rPr>
          <w:rFonts w:cs="Times New Roman"/>
          <w:szCs w:val="24"/>
        </w:rPr>
        <w:t>Institute of horticulture, Zhejiang academy of agricultural science, Hangzhou 310021, China</w:t>
      </w:r>
    </w:p>
    <w:p w:rsidR="00BE1D5E" w:rsidRPr="00BE1D5E" w:rsidRDefault="00BE1D5E" w:rsidP="00BE1D5E"/>
    <w:p w:rsidR="00DB6CB6" w:rsidRDefault="002868E2" w:rsidP="00DB6CB6">
      <w:pPr>
        <w:spacing w:before="240" w:after="0"/>
        <w:rPr>
          <w:rFonts w:cs="Times New Roman"/>
          <w:szCs w:val="24"/>
        </w:rPr>
      </w:pPr>
      <w:r w:rsidRPr="00994A3D">
        <w:rPr>
          <w:rFonts w:cs="Times New Roman"/>
          <w:b/>
        </w:rPr>
        <w:t xml:space="preserve">* Correspondence: </w:t>
      </w:r>
      <w:r w:rsidR="00DB6CB6" w:rsidRPr="005B4184">
        <w:rPr>
          <w:rFonts w:cs="Times New Roman"/>
          <w:szCs w:val="24"/>
        </w:rPr>
        <w:t>Yong He</w:t>
      </w:r>
      <w:r w:rsidR="00DB6CB6">
        <w:rPr>
          <w:rFonts w:cs="Times New Roman"/>
          <w:szCs w:val="24"/>
        </w:rPr>
        <w:t>:</w:t>
      </w:r>
      <w:r w:rsidR="00C56D40">
        <w:rPr>
          <w:rFonts w:cs="Times New Roman"/>
          <w:szCs w:val="24"/>
        </w:rPr>
        <w:t xml:space="preserve"> </w:t>
      </w:r>
      <w:r w:rsidR="00DB6CB6" w:rsidRPr="005B4184">
        <w:rPr>
          <w:rFonts w:cs="Times New Roman"/>
          <w:szCs w:val="24"/>
        </w:rPr>
        <w:t>yhe@zju.edu.cn</w:t>
      </w:r>
    </w:p>
    <w:p w:rsidR="007603F3" w:rsidRPr="00BA09A9" w:rsidRDefault="00183CC7" w:rsidP="00E17BEE">
      <w:pPr>
        <w:spacing w:before="240"/>
        <w:rPr>
          <w:rFonts w:cs="Times New Roman"/>
        </w:rPr>
      </w:pPr>
      <w:bookmarkStart w:id="0" w:name="_GoBack"/>
      <w:bookmarkEnd w:id="0"/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E17BEE">
        <w:rPr>
          <w:rFonts w:cs="Times New Roman"/>
          <w:b/>
          <w:szCs w:val="24"/>
        </w:rPr>
        <w:t xml:space="preserve"> </w:t>
      </w:r>
      <w:r w:rsidR="007603F3" w:rsidRPr="00BA09A9">
        <w:rPr>
          <w:rFonts w:cs="Times New Roman"/>
        </w:rPr>
        <w:t xml:space="preserve">Prediction results of the pre-processing models constructed by partial least-squares regression (PLSR) </w:t>
      </w:r>
      <w:r w:rsidR="00A739E7">
        <w:rPr>
          <w:rFonts w:cs="Times New Roman"/>
        </w:rPr>
        <w:t xml:space="preserve">based on spectral information </w:t>
      </w:r>
      <w:r w:rsidR="007603F3" w:rsidRPr="00BA09A9">
        <w:rPr>
          <w:rFonts w:cs="Times New Roman"/>
        </w:rPr>
        <w:t xml:space="preserve">for </w:t>
      </w:r>
      <w:proofErr w:type="spellStart"/>
      <w:r w:rsidR="007603F3" w:rsidRPr="00BA09A9">
        <w:rPr>
          <w:rFonts w:cs="Times New Roman"/>
        </w:rPr>
        <w:t>shikimic</w:t>
      </w:r>
      <w:proofErr w:type="spellEnd"/>
      <w:r w:rsidR="007603F3" w:rsidRPr="00BA09A9">
        <w:rPr>
          <w:rFonts w:cs="Times New Roman"/>
        </w:rPr>
        <w:t xml:space="preserve"> acid concentration</w:t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889"/>
        <w:gridCol w:w="1094"/>
        <w:gridCol w:w="1418"/>
        <w:gridCol w:w="992"/>
        <w:gridCol w:w="1384"/>
      </w:tblGrid>
      <w:tr w:rsidR="007603F3" w:rsidRPr="00B14823" w:rsidTr="00BE4509">
        <w:trPr>
          <w:trHeight w:val="575"/>
          <w:jc w:val="center"/>
        </w:trPr>
        <w:tc>
          <w:tcPr>
            <w:tcW w:w="2269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3F3" w:rsidRPr="00B14823" w:rsidRDefault="007603F3" w:rsidP="006B72D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4823">
              <w:rPr>
                <w:rFonts w:cs="Times New Roman"/>
                <w:color w:val="000000" w:themeColor="text1"/>
                <w:szCs w:val="24"/>
              </w:rPr>
              <w:t>Model type</w:t>
            </w:r>
          </w:p>
        </w:tc>
        <w:tc>
          <w:tcPr>
            <w:tcW w:w="889" w:type="dxa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603F3" w:rsidRPr="00B14823" w:rsidRDefault="007603F3" w:rsidP="006B72D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4823">
              <w:rPr>
                <w:rFonts w:cs="Times New Roman"/>
                <w:color w:val="000000" w:themeColor="text1"/>
                <w:szCs w:val="24"/>
              </w:rPr>
              <w:t>Pa</w:t>
            </w:r>
            <w:r w:rsidRPr="006B72DC">
              <w:rPr>
                <w:rFonts w:cs="Times New Roman"/>
                <w:color w:val="000000" w:themeColor="text1"/>
                <w:szCs w:val="24"/>
              </w:rPr>
              <w:t>r</w:t>
            </w:r>
            <w:r w:rsidRPr="006B72DC">
              <w:rPr>
                <w:rFonts w:eastAsia="宋体" w:cs="Times New Roman"/>
                <w:color w:val="000000" w:themeColor="text1"/>
                <w:szCs w:val="24"/>
                <w:vertAlign w:val="superscript"/>
              </w:rPr>
              <w:t>[a]</w:t>
            </w:r>
          </w:p>
        </w:tc>
        <w:tc>
          <w:tcPr>
            <w:tcW w:w="251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3F3" w:rsidRPr="00B14823" w:rsidRDefault="007603F3" w:rsidP="006B72D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4823">
              <w:rPr>
                <w:rFonts w:cs="Times New Roman"/>
                <w:color w:val="000000" w:themeColor="text1"/>
                <w:szCs w:val="24"/>
              </w:rPr>
              <w:t>Calibration set</w:t>
            </w:r>
          </w:p>
        </w:tc>
        <w:tc>
          <w:tcPr>
            <w:tcW w:w="237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03F3" w:rsidRPr="00B14823" w:rsidRDefault="007603F3" w:rsidP="006B72DC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14823">
              <w:rPr>
                <w:rFonts w:cs="Times New Roman"/>
                <w:color w:val="000000" w:themeColor="text1"/>
                <w:szCs w:val="24"/>
              </w:rPr>
              <w:t>Prediction set</w:t>
            </w:r>
          </w:p>
        </w:tc>
      </w:tr>
      <w:tr w:rsidR="007603F3" w:rsidRPr="00B14823" w:rsidTr="00BE4509">
        <w:trPr>
          <w:trHeight w:val="240"/>
          <w:jc w:val="center"/>
        </w:trPr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 w:rsidRPr="00B14823">
              <w:rPr>
                <w:rFonts w:eastAsia="仿宋" w:cs="Times New Roman"/>
                <w:i/>
                <w:color w:val="000000" w:themeColor="text1"/>
                <w:szCs w:val="24"/>
              </w:rPr>
              <w:t>R</w:t>
            </w:r>
            <w:r w:rsidRPr="00B14823">
              <w:rPr>
                <w:rFonts w:eastAsia="仿宋" w:cs="Times New Roman"/>
                <w:color w:val="000000" w:themeColor="text1"/>
                <w:szCs w:val="24"/>
                <w:eastAsianLayout w:id="1514883840" w:combine="1"/>
              </w:rPr>
              <w:t>2 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 w:rsidRPr="00B14823">
              <w:rPr>
                <w:rFonts w:eastAsia="宋体" w:cs="Times New Roman"/>
                <w:i/>
                <w:color w:val="000000" w:themeColor="text1"/>
                <w:szCs w:val="24"/>
              </w:rPr>
              <w:t>RMSE</w:t>
            </w:r>
            <w:r w:rsidRPr="00B14823">
              <w:rPr>
                <w:rFonts w:eastAsia="宋体" w:cs="Times New Roman"/>
                <w:i/>
                <w:color w:val="000000" w:themeColor="text1"/>
                <w:szCs w:val="24"/>
                <w:vertAlign w:val="subscript"/>
              </w:rPr>
              <w:t>C</w:t>
            </w:r>
            <w:r w:rsidRPr="00B14823">
              <w:rPr>
                <w:rFonts w:eastAsia="宋体" w:cs="Times New Roman"/>
                <w:i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 w:rsidRPr="00B14823">
              <w:rPr>
                <w:rFonts w:eastAsia="仿宋" w:cs="Times New Roman"/>
                <w:i/>
                <w:color w:val="000000" w:themeColor="text1"/>
                <w:szCs w:val="24"/>
              </w:rPr>
              <w:t>R</w:t>
            </w:r>
            <w:r w:rsidRPr="00B14823">
              <w:rPr>
                <w:rFonts w:eastAsia="仿宋" w:cs="Times New Roman"/>
                <w:color w:val="000000" w:themeColor="text1"/>
                <w:szCs w:val="24"/>
                <w:eastAsianLayout w:id="1514883840" w:combine="1"/>
              </w:rPr>
              <w:t>2 p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 w:rsidRPr="00B14823">
              <w:rPr>
                <w:rFonts w:eastAsia="宋体" w:cs="Times New Roman"/>
                <w:i/>
                <w:color w:val="000000" w:themeColor="text1"/>
                <w:szCs w:val="24"/>
              </w:rPr>
              <w:t>RMSE</w:t>
            </w:r>
            <w:r w:rsidRPr="00B14823">
              <w:rPr>
                <w:rFonts w:eastAsia="宋体" w:cs="Times New Roman"/>
                <w:i/>
                <w:color w:val="000000" w:themeColor="text1"/>
                <w:szCs w:val="24"/>
                <w:vertAlign w:val="subscript"/>
              </w:rPr>
              <w:t xml:space="preserve">P </w:t>
            </w:r>
          </w:p>
        </w:tc>
      </w:tr>
      <w:tr w:rsidR="007603F3" w:rsidRPr="00B14823" w:rsidTr="00BE4509">
        <w:trPr>
          <w:trHeight w:val="455"/>
          <w:jc w:val="center"/>
        </w:trPr>
        <w:tc>
          <w:tcPr>
            <w:tcW w:w="226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MSC</w:t>
            </w:r>
            <w:r w:rsidRPr="00B14823">
              <w:rPr>
                <w:rFonts w:cs="Times New Roman"/>
                <w:color w:val="000000" w:themeColor="text1"/>
                <w:szCs w:val="24"/>
              </w:rPr>
              <w:t>–PLSR</w:t>
            </w:r>
          </w:p>
        </w:tc>
        <w:tc>
          <w:tcPr>
            <w:tcW w:w="889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0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0.73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15.24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Cs w:val="24"/>
              </w:rPr>
              <w:t>.73</w:t>
            </w:r>
          </w:p>
        </w:tc>
        <w:tc>
          <w:tcPr>
            <w:tcW w:w="138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15.09</w:t>
            </w:r>
          </w:p>
        </w:tc>
      </w:tr>
      <w:tr w:rsidR="007603F3" w:rsidRPr="00B14823" w:rsidTr="00BE4509">
        <w:trPr>
          <w:trHeight w:val="240"/>
          <w:jc w:val="center"/>
        </w:trPr>
        <w:tc>
          <w:tcPr>
            <w:tcW w:w="226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WT</w:t>
            </w:r>
            <w:r w:rsidRPr="00B14823">
              <w:rPr>
                <w:rFonts w:cs="Times New Roman"/>
                <w:color w:val="000000" w:themeColor="text1"/>
                <w:szCs w:val="24"/>
              </w:rPr>
              <w:t>–PLSR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09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Cs w:val="24"/>
              </w:rPr>
              <w:t>.81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14.74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0.82</w:t>
            </w:r>
          </w:p>
        </w:tc>
        <w:tc>
          <w:tcPr>
            <w:tcW w:w="13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6.78</w:t>
            </w:r>
          </w:p>
        </w:tc>
      </w:tr>
      <w:tr w:rsidR="007603F3" w:rsidRPr="00B14823" w:rsidTr="00BE4509">
        <w:trPr>
          <w:trHeight w:val="455"/>
          <w:jc w:val="center"/>
        </w:trPr>
        <w:tc>
          <w:tcPr>
            <w:tcW w:w="22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SG</w:t>
            </w:r>
            <w:r w:rsidRPr="00B14823">
              <w:rPr>
                <w:rFonts w:cs="Times New Roman"/>
                <w:color w:val="000000" w:themeColor="text1"/>
                <w:szCs w:val="24"/>
              </w:rPr>
              <w:t>–PLSR</w:t>
            </w:r>
          </w:p>
        </w:tc>
        <w:tc>
          <w:tcPr>
            <w:tcW w:w="88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09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Cs w:val="24"/>
              </w:rPr>
              <w:t>.73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14.10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0</w:t>
            </w:r>
            <w:r>
              <w:rPr>
                <w:rFonts w:cs="Times New Roman"/>
                <w:color w:val="000000" w:themeColor="text1"/>
                <w:szCs w:val="24"/>
              </w:rPr>
              <w:t>.76</w:t>
            </w:r>
          </w:p>
        </w:tc>
        <w:tc>
          <w:tcPr>
            <w:tcW w:w="13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3F3" w:rsidRPr="000A66AC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14.66</w:t>
            </w:r>
          </w:p>
        </w:tc>
      </w:tr>
      <w:tr w:rsidR="007603F3" w:rsidRPr="00B14823" w:rsidTr="00BE4509">
        <w:trPr>
          <w:trHeight w:val="64"/>
          <w:jc w:val="center"/>
        </w:trPr>
        <w:tc>
          <w:tcPr>
            <w:tcW w:w="226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SNV</w:t>
            </w:r>
            <w:r w:rsidRPr="00B14823">
              <w:rPr>
                <w:rFonts w:cs="Times New Roman"/>
                <w:color w:val="000000" w:themeColor="text1"/>
                <w:szCs w:val="24"/>
              </w:rPr>
              <w:t>–PLSR</w:t>
            </w:r>
          </w:p>
        </w:tc>
        <w:tc>
          <w:tcPr>
            <w:tcW w:w="8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12.75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0.80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603F3" w:rsidRPr="00B14823" w:rsidRDefault="007603F3" w:rsidP="006B72DC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 w:hint="eastAsia"/>
                <w:color w:val="000000" w:themeColor="text1"/>
                <w:szCs w:val="24"/>
              </w:rPr>
              <w:t>12.21</w:t>
            </w:r>
          </w:p>
        </w:tc>
      </w:tr>
    </w:tbl>
    <w:p w:rsidR="007603F3" w:rsidRPr="00B14823" w:rsidRDefault="007603F3" w:rsidP="007603F3">
      <w:pPr>
        <w:spacing w:line="480" w:lineRule="auto"/>
        <w:rPr>
          <w:rFonts w:cs="Times New Roman"/>
          <w:color w:val="000000" w:themeColor="text1"/>
          <w:szCs w:val="24"/>
        </w:rPr>
      </w:pPr>
      <w:r w:rsidRPr="00894220">
        <w:rPr>
          <w:rFonts w:eastAsia="宋体" w:cs="Times New Roman"/>
          <w:color w:val="000000" w:themeColor="text1"/>
          <w:szCs w:val="24"/>
          <w:vertAlign w:val="superscript"/>
        </w:rPr>
        <w:t>[</w:t>
      </w:r>
      <w:proofErr w:type="gramStart"/>
      <w:r w:rsidRPr="00894220">
        <w:rPr>
          <w:rFonts w:eastAsia="宋体" w:cs="Times New Roman"/>
          <w:color w:val="000000" w:themeColor="text1"/>
          <w:szCs w:val="24"/>
          <w:vertAlign w:val="superscript"/>
        </w:rPr>
        <w:t>a</w:t>
      </w:r>
      <w:proofErr w:type="gramEnd"/>
      <w:r w:rsidRPr="00894220">
        <w:rPr>
          <w:rFonts w:eastAsia="宋体" w:cs="Times New Roman"/>
          <w:color w:val="000000" w:themeColor="text1"/>
          <w:szCs w:val="24"/>
          <w:vertAlign w:val="superscript"/>
        </w:rPr>
        <w:t>]</w:t>
      </w:r>
      <w:r w:rsidRPr="00894220">
        <w:rPr>
          <w:rFonts w:cs="Times New Roman"/>
          <w:color w:val="000000" w:themeColor="text1"/>
          <w:szCs w:val="24"/>
        </w:rPr>
        <w:t>Mo</w:t>
      </w:r>
      <w:r w:rsidRPr="00B14823">
        <w:rPr>
          <w:rFonts w:cs="Times New Roman"/>
          <w:color w:val="000000" w:themeColor="text1"/>
          <w:szCs w:val="24"/>
        </w:rPr>
        <w:t xml:space="preserve">del parameters indicate the optimal number of latent variables for establishing the PLSR calibration model; </w:t>
      </w:r>
      <w:r w:rsidRPr="00B14823">
        <w:rPr>
          <w:rFonts w:eastAsia="仿宋" w:cs="Times New Roman"/>
          <w:i/>
          <w:color w:val="000000" w:themeColor="text1"/>
          <w:szCs w:val="24"/>
        </w:rPr>
        <w:t>R</w:t>
      </w:r>
      <w:r w:rsidRPr="00B14823">
        <w:rPr>
          <w:rFonts w:eastAsia="仿宋" w:cs="Times New Roman"/>
          <w:color w:val="000000" w:themeColor="text1"/>
          <w:szCs w:val="24"/>
          <w:eastAsianLayout w:id="1514883840" w:combine="1"/>
        </w:rPr>
        <w:t>2 c</w:t>
      </w:r>
      <w:r w:rsidRPr="00B14823">
        <w:rPr>
          <w:rFonts w:eastAsia="仿宋" w:cs="Times New Roman"/>
          <w:color w:val="000000" w:themeColor="text1"/>
          <w:szCs w:val="24"/>
        </w:rPr>
        <w:t xml:space="preserve"> </w:t>
      </w:r>
      <w:r w:rsidRPr="00B14823">
        <w:rPr>
          <w:rFonts w:cs="Times New Roman"/>
          <w:color w:val="000000" w:themeColor="text1"/>
          <w:szCs w:val="24"/>
        </w:rPr>
        <w:t xml:space="preserve">and </w:t>
      </w:r>
      <w:r w:rsidRPr="00B14823">
        <w:rPr>
          <w:rFonts w:eastAsia="仿宋" w:cs="Times New Roman"/>
          <w:i/>
          <w:color w:val="000000" w:themeColor="text1"/>
          <w:szCs w:val="24"/>
        </w:rPr>
        <w:t>R</w:t>
      </w:r>
      <w:r w:rsidRPr="00B14823">
        <w:rPr>
          <w:rFonts w:eastAsia="仿宋" w:cs="Times New Roman"/>
          <w:color w:val="000000" w:themeColor="text1"/>
          <w:szCs w:val="24"/>
          <w:eastAsianLayout w:id="1514883840" w:combine="1"/>
        </w:rPr>
        <w:t>2 p</w:t>
      </w:r>
      <w:r w:rsidRPr="00B14823">
        <w:rPr>
          <w:rFonts w:cs="Times New Roman"/>
          <w:color w:val="000000" w:themeColor="text1"/>
          <w:szCs w:val="24"/>
        </w:rPr>
        <w:t xml:space="preserve">, coefficients of determination for calibration and prediction sets, respectively; </w:t>
      </w:r>
      <w:r w:rsidRPr="00B14823">
        <w:rPr>
          <w:rFonts w:cs="Times New Roman"/>
          <w:i/>
          <w:color w:val="000000" w:themeColor="text1"/>
          <w:szCs w:val="24"/>
        </w:rPr>
        <w:t>RMSE</w:t>
      </w:r>
      <w:r w:rsidRPr="00B14823">
        <w:rPr>
          <w:rFonts w:cs="Times New Roman"/>
          <w:i/>
          <w:color w:val="000000" w:themeColor="text1"/>
          <w:szCs w:val="24"/>
          <w:vertAlign w:val="subscript"/>
        </w:rPr>
        <w:t>C</w:t>
      </w:r>
      <w:r w:rsidRPr="00B14823">
        <w:rPr>
          <w:rFonts w:cs="Times New Roman"/>
          <w:color w:val="000000" w:themeColor="text1"/>
          <w:szCs w:val="24"/>
        </w:rPr>
        <w:t xml:space="preserve"> and </w:t>
      </w:r>
      <w:r w:rsidRPr="00B14823">
        <w:rPr>
          <w:rFonts w:cs="Times New Roman"/>
          <w:i/>
          <w:color w:val="000000" w:themeColor="text1"/>
          <w:szCs w:val="24"/>
        </w:rPr>
        <w:t>RMSE</w:t>
      </w:r>
      <w:r w:rsidRPr="00B14823">
        <w:rPr>
          <w:rFonts w:cs="Times New Roman"/>
          <w:i/>
          <w:color w:val="000000" w:themeColor="text1"/>
          <w:szCs w:val="24"/>
          <w:vertAlign w:val="subscript"/>
        </w:rPr>
        <w:t>P</w:t>
      </w:r>
      <w:r w:rsidRPr="00B14823">
        <w:rPr>
          <w:rFonts w:cs="Times New Roman"/>
          <w:color w:val="000000" w:themeColor="text1"/>
          <w:szCs w:val="24"/>
        </w:rPr>
        <w:t xml:space="preserve">, root mean square errors of calibration and prediction sets, </w:t>
      </w:r>
      <w:r w:rsidRPr="00B14823">
        <w:rPr>
          <w:rFonts w:cs="Times New Roman"/>
          <w:color w:val="000000" w:themeColor="text1"/>
          <w:szCs w:val="24"/>
        </w:rPr>
        <w:lastRenderedPageBreak/>
        <w:t xml:space="preserve">respectively; SNV, standard normal variate; </w:t>
      </w:r>
      <w:r>
        <w:rPr>
          <w:rFonts w:cs="Times New Roman"/>
          <w:color w:val="000000" w:themeColor="text1"/>
          <w:szCs w:val="24"/>
        </w:rPr>
        <w:t>SG</w:t>
      </w:r>
      <w:r w:rsidRPr="00B14823">
        <w:rPr>
          <w:rFonts w:cs="Times New Roman"/>
          <w:color w:val="000000" w:themeColor="text1"/>
          <w:szCs w:val="24"/>
        </w:rPr>
        <w:t>,</w:t>
      </w:r>
      <w:r>
        <w:rPr>
          <w:rFonts w:cs="Times New Roman"/>
          <w:color w:val="000000" w:themeColor="text1"/>
          <w:szCs w:val="24"/>
        </w:rPr>
        <w:t xml:space="preserve"> </w:t>
      </w:r>
      <w:proofErr w:type="spellStart"/>
      <w:r w:rsidRPr="00E71BE5">
        <w:rPr>
          <w:color w:val="000000" w:themeColor="text1"/>
          <w:szCs w:val="24"/>
        </w:rPr>
        <w:t>Savitzky-Golay</w:t>
      </w:r>
      <w:proofErr w:type="spellEnd"/>
      <w:r w:rsidRPr="00E71BE5">
        <w:rPr>
          <w:color w:val="000000" w:themeColor="text1"/>
          <w:szCs w:val="24"/>
        </w:rPr>
        <w:t xml:space="preserve"> smoothing</w:t>
      </w:r>
      <w:r w:rsidRPr="00B14823">
        <w:rPr>
          <w:rFonts w:cs="Times New Roman"/>
          <w:color w:val="000000" w:themeColor="text1"/>
          <w:szCs w:val="24"/>
        </w:rPr>
        <w:t>; MSC, multiplicative scatter correction</w:t>
      </w:r>
      <w:r>
        <w:rPr>
          <w:rFonts w:cs="Times New Roman"/>
          <w:color w:val="000000" w:themeColor="text1"/>
          <w:szCs w:val="24"/>
        </w:rPr>
        <w:t xml:space="preserve">; </w:t>
      </w:r>
      <w:r>
        <w:rPr>
          <w:rFonts w:cs="Times New Roman" w:hint="eastAsia"/>
          <w:color w:val="000000" w:themeColor="text1"/>
          <w:szCs w:val="24"/>
        </w:rPr>
        <w:t>WT</w:t>
      </w:r>
      <w:r>
        <w:rPr>
          <w:rFonts w:cs="Times New Roman"/>
          <w:color w:val="000000" w:themeColor="text1"/>
          <w:szCs w:val="24"/>
        </w:rPr>
        <w:t>, w</w:t>
      </w:r>
      <w:r w:rsidRPr="00D01049">
        <w:rPr>
          <w:rFonts w:cs="Times New Roman"/>
          <w:color w:val="000000" w:themeColor="text1"/>
          <w:szCs w:val="24"/>
        </w:rPr>
        <w:t>avelet transformation</w:t>
      </w:r>
    </w:p>
    <w:p w:rsidR="007603F3" w:rsidRDefault="007603F3" w:rsidP="00654E8F">
      <w:pPr>
        <w:spacing w:before="240"/>
        <w:rPr>
          <w:rFonts w:cs="Times New Roman"/>
          <w:b/>
          <w:szCs w:val="24"/>
        </w:rPr>
      </w:pPr>
    </w:p>
    <w:p w:rsidR="007603F3" w:rsidRDefault="007603F3" w:rsidP="00654E8F">
      <w:pPr>
        <w:spacing w:before="240"/>
        <w:rPr>
          <w:rFonts w:cs="Times New Roman"/>
          <w:b/>
          <w:szCs w:val="24"/>
        </w:rPr>
      </w:pPr>
    </w:p>
    <w:sectPr w:rsidR="007603F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F5" w:rsidRDefault="009F1CF5" w:rsidP="00117666">
      <w:pPr>
        <w:spacing w:after="0"/>
      </w:pPr>
      <w:r>
        <w:separator/>
      </w:r>
    </w:p>
  </w:endnote>
  <w:endnote w:type="continuationSeparator" w:id="0">
    <w:p w:rsidR="009F1CF5" w:rsidRDefault="009F1CF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C1F4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C1F46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C1F4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C1F46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F5" w:rsidRDefault="009F1CF5" w:rsidP="00117666">
      <w:pPr>
        <w:spacing w:after="0"/>
      </w:pPr>
      <w:r>
        <w:separator/>
      </w:r>
    </w:p>
  </w:footnote>
  <w:footnote w:type="continuationSeparator" w:id="0">
    <w:p w:rsidR="009F1CF5" w:rsidRDefault="009F1CF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70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709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77"/>
    <w:rsid w:val="0001436A"/>
    <w:rsid w:val="00034304"/>
    <w:rsid w:val="00035434"/>
    <w:rsid w:val="000448B4"/>
    <w:rsid w:val="00052A14"/>
    <w:rsid w:val="00077D53"/>
    <w:rsid w:val="00105FD9"/>
    <w:rsid w:val="00117666"/>
    <w:rsid w:val="001549D3"/>
    <w:rsid w:val="00160065"/>
    <w:rsid w:val="00177D84"/>
    <w:rsid w:val="00183CC7"/>
    <w:rsid w:val="00267D18"/>
    <w:rsid w:val="002868E2"/>
    <w:rsid w:val="002869C3"/>
    <w:rsid w:val="002936E4"/>
    <w:rsid w:val="002B4A57"/>
    <w:rsid w:val="002C74CA"/>
    <w:rsid w:val="002E76B7"/>
    <w:rsid w:val="003544FB"/>
    <w:rsid w:val="003558AE"/>
    <w:rsid w:val="003B3A4F"/>
    <w:rsid w:val="003C4123"/>
    <w:rsid w:val="003D2F2D"/>
    <w:rsid w:val="00401590"/>
    <w:rsid w:val="00423E9C"/>
    <w:rsid w:val="00447801"/>
    <w:rsid w:val="00452E9C"/>
    <w:rsid w:val="004735C8"/>
    <w:rsid w:val="004961FF"/>
    <w:rsid w:val="004A139A"/>
    <w:rsid w:val="004C2268"/>
    <w:rsid w:val="005025AC"/>
    <w:rsid w:val="00513967"/>
    <w:rsid w:val="00517A89"/>
    <w:rsid w:val="005250F2"/>
    <w:rsid w:val="005938A1"/>
    <w:rsid w:val="00593EEA"/>
    <w:rsid w:val="005A5EEE"/>
    <w:rsid w:val="006375C7"/>
    <w:rsid w:val="00654E8F"/>
    <w:rsid w:val="00660D05"/>
    <w:rsid w:val="006820B1"/>
    <w:rsid w:val="006B72DC"/>
    <w:rsid w:val="006B7D14"/>
    <w:rsid w:val="00701727"/>
    <w:rsid w:val="0070566C"/>
    <w:rsid w:val="00714C50"/>
    <w:rsid w:val="00725A7D"/>
    <w:rsid w:val="007501BE"/>
    <w:rsid w:val="007603F3"/>
    <w:rsid w:val="00790BB3"/>
    <w:rsid w:val="007C206C"/>
    <w:rsid w:val="00817DD6"/>
    <w:rsid w:val="00880D75"/>
    <w:rsid w:val="00885156"/>
    <w:rsid w:val="00894220"/>
    <w:rsid w:val="008D56D2"/>
    <w:rsid w:val="009151AA"/>
    <w:rsid w:val="0093429D"/>
    <w:rsid w:val="00943573"/>
    <w:rsid w:val="00970F7D"/>
    <w:rsid w:val="00994A3D"/>
    <w:rsid w:val="009C2B12"/>
    <w:rsid w:val="009F1CF5"/>
    <w:rsid w:val="00A03DED"/>
    <w:rsid w:val="00A174D9"/>
    <w:rsid w:val="00A739E7"/>
    <w:rsid w:val="00A977BD"/>
    <w:rsid w:val="00AB6715"/>
    <w:rsid w:val="00B1671E"/>
    <w:rsid w:val="00B25EB8"/>
    <w:rsid w:val="00B37F4D"/>
    <w:rsid w:val="00BE1D5E"/>
    <w:rsid w:val="00C52A7B"/>
    <w:rsid w:val="00C56BAF"/>
    <w:rsid w:val="00C56D40"/>
    <w:rsid w:val="00C679AA"/>
    <w:rsid w:val="00C75972"/>
    <w:rsid w:val="00CD066B"/>
    <w:rsid w:val="00CE4FEE"/>
    <w:rsid w:val="00D94282"/>
    <w:rsid w:val="00DB59C3"/>
    <w:rsid w:val="00DB6CB6"/>
    <w:rsid w:val="00DC259A"/>
    <w:rsid w:val="00DE23E8"/>
    <w:rsid w:val="00E17BEE"/>
    <w:rsid w:val="00E52377"/>
    <w:rsid w:val="00E64E17"/>
    <w:rsid w:val="00E672B5"/>
    <w:rsid w:val="00E866C9"/>
    <w:rsid w:val="00EA3D3C"/>
    <w:rsid w:val="00EC1F46"/>
    <w:rsid w:val="00F33577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908B54-E64D-4913-AB57-154F4AA2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副标题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批注文字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尾注文本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页脚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脚注文本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页眉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标题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引用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标题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\AppData\Local\Temp\Rar$DIa0.529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4E00F0D-D2E1-4EB9-8EAB-5748C213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3</cp:revision>
  <cp:lastPrinted>2013-10-03T12:51:00Z</cp:lastPrinted>
  <dcterms:created xsi:type="dcterms:W3CDTF">2018-03-16T08:39:00Z</dcterms:created>
  <dcterms:modified xsi:type="dcterms:W3CDTF">2018-03-16T08:40:00Z</dcterms:modified>
</cp:coreProperties>
</file>