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Supplementary Materials:</w:t>
      </w:r>
    </w:p>
    <w:p w:rsidR="00CE0394" w:rsidRDefault="00CE0394" w:rsidP="00CE0394">
      <w:pPr>
        <w:rPr>
          <w:rFonts w:ascii="Times New Roman" w:hAnsi="Times New Roman" w:cs="Times New Roman"/>
          <w:sz w:val="24"/>
          <w:szCs w:val="24"/>
        </w:rPr>
      </w:pPr>
    </w:p>
    <w:p w:rsidR="00CE0394" w:rsidRDefault="00CE0394" w:rsidP="00CE0394">
      <w:pPr>
        <w:spacing w:after="240" w:line="257" w:lineRule="auto"/>
        <w:jc w:val="both"/>
        <w:rPr>
          <w:rFonts w:ascii="Times New Roman" w:hAnsi="Times New Roman" w:cs="Times New Roman"/>
          <w:b/>
          <w:sz w:val="28"/>
          <w:szCs w:val="28"/>
        </w:rPr>
      </w:pPr>
      <w:r>
        <w:rPr>
          <w:rFonts w:ascii="Times New Roman" w:hAnsi="Times New Roman" w:cs="Times New Roman"/>
          <w:b/>
          <w:sz w:val="28"/>
          <w:szCs w:val="28"/>
        </w:rPr>
        <w:t>Resonance Analysis as a Tool for Characterizing Functional Division of Layer 5 Pyramidal Neurons</w:t>
      </w:r>
    </w:p>
    <w:p w:rsidR="00CE0394" w:rsidRPr="001E492E" w:rsidRDefault="00CE0394" w:rsidP="00CE0394">
      <w:pPr>
        <w:spacing w:after="0" w:line="257" w:lineRule="auto"/>
        <w:jc w:val="both"/>
        <w:rPr>
          <w:rFonts w:ascii="Times New Roman" w:hAnsi="Times New Roman" w:cs="Times New Roman"/>
          <w:sz w:val="20"/>
          <w:szCs w:val="20"/>
        </w:rPr>
      </w:pPr>
      <w:r>
        <w:rPr>
          <w:rFonts w:ascii="Times New Roman" w:hAnsi="Times New Roman" w:cs="Times New Roman"/>
          <w:sz w:val="20"/>
          <w:szCs w:val="20"/>
          <w:u w:val="single"/>
        </w:rPr>
        <w:t>Melvin A Felton Jr</w:t>
      </w:r>
      <w:r>
        <w:rPr>
          <w:rFonts w:ascii="Times New Roman" w:hAnsi="Times New Roman" w:cs="Times New Roman"/>
          <w:sz w:val="20"/>
          <w:szCs w:val="20"/>
          <w:vertAlign w:val="superscript"/>
        </w:rPr>
        <w:t>*</w:t>
      </w:r>
      <w:r>
        <w:rPr>
          <w:rFonts w:ascii="Times New Roman" w:hAnsi="Times New Roman" w:cs="Times New Roman"/>
          <w:sz w:val="20"/>
          <w:szCs w:val="20"/>
        </w:rPr>
        <w:t>, Alfred B Yu, David L Boothe, Kelvin S Oie, Piotr J Franaszczuk</w:t>
      </w:r>
    </w:p>
    <w:p w:rsidR="00CE0394" w:rsidRDefault="00CE0394" w:rsidP="00CE0394">
      <w:pPr>
        <w:rPr>
          <w:rFonts w:ascii="Times New Roman" w:hAnsi="Times New Roman" w:cs="Times New Roman"/>
          <w:sz w:val="24"/>
          <w:szCs w:val="24"/>
        </w:rPr>
      </w:pPr>
    </w:p>
    <w:p w:rsidR="00CE0394" w:rsidRDefault="00CE0394" w:rsidP="00CE0394">
      <w:pPr>
        <w:spacing w:after="0"/>
        <w:rPr>
          <w:rFonts w:ascii="Times New Roman" w:hAnsi="Times New Roman" w:cs="Times New Roman"/>
          <w:sz w:val="20"/>
          <w:szCs w:val="20"/>
        </w:rPr>
      </w:pPr>
      <w:r>
        <w:rPr>
          <w:rFonts w:ascii="Times New Roman" w:hAnsi="Times New Roman" w:cs="Times New Roman"/>
          <w:sz w:val="20"/>
          <w:szCs w:val="20"/>
        </w:rPr>
        <w:t xml:space="preserve">Correspondence: </w:t>
      </w:r>
    </w:p>
    <w:p w:rsidR="00CE0394" w:rsidRDefault="00CE0394" w:rsidP="00CE0394">
      <w:pPr>
        <w:spacing w:after="0"/>
        <w:rPr>
          <w:rFonts w:ascii="Times New Roman" w:hAnsi="Times New Roman" w:cs="Times New Roman"/>
          <w:sz w:val="20"/>
          <w:szCs w:val="20"/>
        </w:rPr>
      </w:pPr>
      <w:r>
        <w:rPr>
          <w:rFonts w:ascii="Times New Roman" w:hAnsi="Times New Roman" w:cs="Times New Roman"/>
          <w:sz w:val="20"/>
          <w:szCs w:val="20"/>
        </w:rPr>
        <w:t>Melvin A Felton Jr</w:t>
      </w:r>
    </w:p>
    <w:p w:rsidR="00CE0394" w:rsidRDefault="00CE0394" w:rsidP="00CE0394">
      <w:pPr>
        <w:rPr>
          <w:rFonts w:ascii="Times New Roman" w:hAnsi="Times New Roman" w:cs="Times New Roman"/>
          <w:sz w:val="20"/>
          <w:szCs w:val="20"/>
        </w:rPr>
      </w:pPr>
      <w:hyperlink r:id="rId5" w:history="1">
        <w:r w:rsidRPr="001E5030">
          <w:rPr>
            <w:rStyle w:val="Hyperlink"/>
            <w:rFonts w:ascii="Times New Roman" w:hAnsi="Times New Roman" w:cs="Times New Roman"/>
            <w:sz w:val="20"/>
            <w:szCs w:val="20"/>
          </w:rPr>
          <w:t>melvin.a.felton.civ@mail.mil</w:t>
        </w:r>
      </w:hyperlink>
    </w:p>
    <w:p w:rsidR="00CE0394" w:rsidRPr="009B39BE" w:rsidRDefault="00CE0394" w:rsidP="00CE0394">
      <w:pPr>
        <w:spacing w:after="0"/>
        <w:rPr>
          <w:rFonts w:ascii="Times New Roman" w:hAnsi="Times New Roman" w:cs="Times New Roman"/>
          <w:sz w:val="24"/>
          <w:szCs w:val="24"/>
        </w:rPr>
      </w:pPr>
      <w:r w:rsidRPr="009B39BE">
        <w:rPr>
          <w:rFonts w:ascii="Times New Roman" w:hAnsi="Times New Roman" w:cs="Times New Roman"/>
          <w:sz w:val="24"/>
          <w:szCs w:val="24"/>
        </w:rPr>
        <w:t>Supplementary materials contains:</w:t>
      </w:r>
    </w:p>
    <w:p w:rsidR="00CE0394" w:rsidRPr="009B39BE" w:rsidRDefault="00CE0394" w:rsidP="00CE0394">
      <w:pPr>
        <w:spacing w:after="0"/>
        <w:rPr>
          <w:rFonts w:ascii="Times New Roman" w:hAnsi="Times New Roman" w:cs="Times New Roman"/>
          <w:sz w:val="24"/>
          <w:szCs w:val="24"/>
        </w:rPr>
      </w:pPr>
      <w:r w:rsidRPr="009B39BE">
        <w:rPr>
          <w:rFonts w:ascii="Times New Roman" w:hAnsi="Times New Roman" w:cs="Times New Roman"/>
          <w:sz w:val="24"/>
          <w:szCs w:val="24"/>
        </w:rPr>
        <w:t>1 Supplementary model configuration</w:t>
      </w:r>
    </w:p>
    <w:p w:rsidR="00CE0394" w:rsidRPr="009B39BE" w:rsidRDefault="00CE0394" w:rsidP="00CE0394">
      <w:pPr>
        <w:spacing w:after="0"/>
        <w:rPr>
          <w:rFonts w:ascii="Times New Roman" w:hAnsi="Times New Roman" w:cs="Times New Roman"/>
          <w:sz w:val="24"/>
          <w:szCs w:val="24"/>
        </w:rPr>
      </w:pPr>
      <w:r w:rsidRPr="009B39BE">
        <w:rPr>
          <w:rFonts w:ascii="Times New Roman" w:hAnsi="Times New Roman" w:cs="Times New Roman"/>
          <w:sz w:val="24"/>
          <w:szCs w:val="24"/>
        </w:rPr>
        <w:t>2 Supplementary resonance analysis</w:t>
      </w:r>
    </w:p>
    <w:p w:rsidR="00CE0394" w:rsidRPr="009B39BE" w:rsidRDefault="00CE0394" w:rsidP="00CE0394">
      <w:pPr>
        <w:spacing w:after="0"/>
        <w:rPr>
          <w:rFonts w:ascii="Times New Roman" w:hAnsi="Times New Roman" w:cs="Times New Roman"/>
          <w:sz w:val="24"/>
          <w:szCs w:val="24"/>
        </w:rPr>
      </w:pPr>
      <w:r w:rsidRPr="009B39BE">
        <w:rPr>
          <w:rFonts w:ascii="Times New Roman" w:hAnsi="Times New Roman" w:cs="Times New Roman"/>
          <w:sz w:val="24"/>
          <w:szCs w:val="24"/>
        </w:rPr>
        <w:t>3 Supplementary results</w:t>
      </w:r>
    </w:p>
    <w:p w:rsidR="00CE0394" w:rsidRDefault="00CE0394" w:rsidP="00CE0394">
      <w:pPr>
        <w:spacing w:after="0"/>
        <w:rPr>
          <w:rFonts w:ascii="Times New Roman" w:hAnsi="Times New Roman" w:cs="Times New Roman"/>
          <w:sz w:val="24"/>
          <w:szCs w:val="24"/>
        </w:rPr>
      </w:pPr>
      <w:r w:rsidRPr="009B39BE">
        <w:rPr>
          <w:rFonts w:ascii="Times New Roman" w:hAnsi="Times New Roman" w:cs="Times New Roman"/>
          <w:sz w:val="24"/>
          <w:szCs w:val="24"/>
        </w:rPr>
        <w:t>4 Supplementary discussion</w:t>
      </w:r>
      <w:r>
        <w:rPr>
          <w:rFonts w:ascii="Times New Roman" w:hAnsi="Times New Roman" w:cs="Times New Roman"/>
          <w:sz w:val="24"/>
          <w:szCs w:val="24"/>
        </w:rPr>
        <w:t xml:space="preserve"> </w:t>
      </w: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1 Supplementary model configuration</w:t>
      </w: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1.1 Conductance densities</w:t>
      </w:r>
    </w:p>
    <w:p w:rsidR="00CE0394" w:rsidRPr="00F56A6F" w:rsidRDefault="00CE0394" w:rsidP="00CE0394">
      <w:pPr>
        <w:ind w:firstLine="720"/>
        <w:rPr>
          <w:rFonts w:ascii="Times New Roman" w:hAnsi="Times New Roman" w:cs="Times New Roman"/>
          <w:sz w:val="24"/>
          <w:szCs w:val="24"/>
        </w:rPr>
      </w:pPr>
      <w:r>
        <w:rPr>
          <w:rFonts w:ascii="Times New Roman" w:hAnsi="Times New Roman" w:cs="Times New Roman"/>
          <w:sz w:val="24"/>
          <w:szCs w:val="24"/>
        </w:rPr>
        <w:t xml:space="preserve">The conductance density for each compartment in the baseline model is presented in Table S1. A general feature of this model is a high density of fast ionic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perisomatic</w:t>
      </w:r>
      <w:proofErr w:type="spellEnd"/>
      <w:r>
        <w:rPr>
          <w:rFonts w:ascii="Times New Roman" w:hAnsi="Times New Roman" w:cs="Times New Roman"/>
          <w:sz w:val="24"/>
          <w:szCs w:val="24"/>
        </w:rPr>
        <w:t xml:space="preserve"> compartments and a high density of slow ionic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in distal apical compartments.  This type of configuration has been shown to faithfully reproduce the spiking behavior of layer 5 pyramidal neurons (</w:t>
      </w:r>
      <w:proofErr w:type="spellStart"/>
      <w:r>
        <w:rPr>
          <w:rFonts w:ascii="Times New Roman" w:hAnsi="Times New Roman" w:cs="Times New Roman"/>
          <w:sz w:val="24"/>
          <w:szCs w:val="24"/>
        </w:rPr>
        <w:t>Mainen</w:t>
      </w:r>
      <w:proofErr w:type="spellEnd"/>
      <w:r>
        <w:rPr>
          <w:rFonts w:ascii="Times New Roman" w:hAnsi="Times New Roman" w:cs="Times New Roman"/>
          <w:sz w:val="24"/>
          <w:szCs w:val="24"/>
        </w:rPr>
        <w:t xml:space="preserve"> et al., 1996).  Three of the ionic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whose densities are largest in </w:t>
      </w:r>
      <w:proofErr w:type="spellStart"/>
      <w:r>
        <w:rPr>
          <w:rFonts w:ascii="Times New Roman" w:hAnsi="Times New Roman" w:cs="Times New Roman"/>
          <w:sz w:val="24"/>
          <w:szCs w:val="24"/>
        </w:rPr>
        <w:t>perisomatic</w:t>
      </w:r>
      <w:proofErr w:type="spellEnd"/>
      <w:r>
        <w:rPr>
          <w:rFonts w:ascii="Times New Roman" w:hAnsi="Times New Roman" w:cs="Times New Roman"/>
          <w:sz w:val="24"/>
          <w:szCs w:val="24"/>
        </w:rPr>
        <w:t xml:space="preserve"> compartments include fast sodium (</w:t>
      </w:r>
      <w:proofErr w:type="spellStart"/>
      <w:proofErr w:type="gramStart"/>
      <w:r>
        <w:rPr>
          <w:rFonts w:ascii="Times New Roman" w:hAnsi="Times New Roman" w:cs="Times New Roman"/>
          <w:sz w:val="24"/>
          <w:szCs w:val="24"/>
        </w:rPr>
        <w:t>g</w:t>
      </w:r>
      <w:r w:rsidRPr="009623E4">
        <w:rPr>
          <w:rFonts w:ascii="Times New Roman" w:hAnsi="Times New Roman" w:cs="Times New Roman"/>
          <w:sz w:val="24"/>
          <w:szCs w:val="24"/>
          <w:vertAlign w:val="subscript"/>
        </w:rPr>
        <w:t>Na</w:t>
      </w:r>
      <w:proofErr w:type="spellEnd"/>
      <w:r w:rsidRPr="009623E4">
        <w:rPr>
          <w:rFonts w:ascii="Times New Roman" w:hAnsi="Times New Roman" w:cs="Times New Roman"/>
          <w:sz w:val="24"/>
          <w:szCs w:val="24"/>
          <w:vertAlign w:val="subscript"/>
        </w:rPr>
        <w:t>(</w:t>
      </w:r>
      <w:proofErr w:type="gramEnd"/>
      <w:r w:rsidRPr="009623E4">
        <w:rPr>
          <w:rFonts w:ascii="Times New Roman" w:hAnsi="Times New Roman" w:cs="Times New Roman"/>
          <w:sz w:val="24"/>
          <w:szCs w:val="24"/>
          <w:vertAlign w:val="subscript"/>
        </w:rPr>
        <w:t>F)</w:t>
      </w:r>
      <w:r>
        <w:rPr>
          <w:rFonts w:ascii="Times New Roman" w:hAnsi="Times New Roman" w:cs="Times New Roman"/>
          <w:sz w:val="24"/>
          <w:szCs w:val="24"/>
        </w:rPr>
        <w:t>), persistent sodium (</w:t>
      </w:r>
      <w:proofErr w:type="spellStart"/>
      <w:r>
        <w:rPr>
          <w:rFonts w:ascii="Times New Roman" w:hAnsi="Times New Roman" w:cs="Times New Roman"/>
          <w:sz w:val="24"/>
          <w:szCs w:val="24"/>
        </w:rPr>
        <w:t>g</w:t>
      </w:r>
      <w:r w:rsidRPr="009623E4">
        <w:rPr>
          <w:rFonts w:ascii="Times New Roman" w:hAnsi="Times New Roman" w:cs="Times New Roman"/>
          <w:sz w:val="24"/>
          <w:szCs w:val="24"/>
          <w:vertAlign w:val="subscript"/>
        </w:rPr>
        <w:t>Na</w:t>
      </w:r>
      <w:proofErr w:type="spellEnd"/>
      <w:r w:rsidRPr="009623E4">
        <w:rPr>
          <w:rFonts w:ascii="Times New Roman" w:hAnsi="Times New Roman" w:cs="Times New Roman"/>
          <w:sz w:val="24"/>
          <w:szCs w:val="24"/>
          <w:vertAlign w:val="subscript"/>
        </w:rPr>
        <w:t>(P)</w:t>
      </w:r>
      <w:r>
        <w:rPr>
          <w:rFonts w:ascii="Times New Roman" w:hAnsi="Times New Roman" w:cs="Times New Roman"/>
          <w:sz w:val="24"/>
          <w:szCs w:val="24"/>
        </w:rPr>
        <w:t>), and muscarinic potassium, or M current (</w:t>
      </w:r>
      <w:proofErr w:type="spellStart"/>
      <w:r>
        <w:rPr>
          <w:rFonts w:ascii="Times New Roman" w:hAnsi="Times New Roman" w:cs="Times New Roman"/>
          <w:sz w:val="24"/>
          <w:szCs w:val="24"/>
        </w:rPr>
        <w:t>g</w:t>
      </w:r>
      <w:r w:rsidRPr="003525F6">
        <w:rPr>
          <w:rFonts w:ascii="Times New Roman" w:hAnsi="Times New Roman" w:cs="Times New Roman"/>
          <w:sz w:val="24"/>
          <w:szCs w:val="24"/>
          <w:vertAlign w:val="subscript"/>
        </w:rPr>
        <w:t>K</w:t>
      </w:r>
      <w:proofErr w:type="spellEnd"/>
      <w:r w:rsidRPr="003525F6">
        <w:rPr>
          <w:rFonts w:ascii="Times New Roman" w:hAnsi="Times New Roman" w:cs="Times New Roman"/>
          <w:sz w:val="24"/>
          <w:szCs w:val="24"/>
          <w:vertAlign w:val="subscript"/>
        </w:rPr>
        <w:t>(M)</w:t>
      </w:r>
      <w:r>
        <w:rPr>
          <w:rFonts w:ascii="Times New Roman" w:hAnsi="Times New Roman" w:cs="Times New Roman"/>
          <w:sz w:val="24"/>
          <w:szCs w:val="24"/>
        </w:rPr>
        <w:t xml:space="preserve">).  The density in the initial axon compartment for </w:t>
      </w:r>
      <w:proofErr w:type="spellStart"/>
      <w:r>
        <w:rPr>
          <w:rFonts w:ascii="Times New Roman" w:hAnsi="Times New Roman" w:cs="Times New Roman"/>
          <w:sz w:val="24"/>
          <w:szCs w:val="24"/>
        </w:rPr>
        <w:t>g</w:t>
      </w:r>
      <w:r w:rsidRPr="009623E4">
        <w:rPr>
          <w:rFonts w:ascii="Times New Roman" w:hAnsi="Times New Roman" w:cs="Times New Roman"/>
          <w:sz w:val="24"/>
          <w:szCs w:val="24"/>
          <w:vertAlign w:val="subscript"/>
        </w:rPr>
        <w:t>Na</w:t>
      </w:r>
      <w:proofErr w:type="spellEnd"/>
      <w:r w:rsidRPr="009623E4">
        <w:rPr>
          <w:rFonts w:ascii="Times New Roman" w:hAnsi="Times New Roman" w:cs="Times New Roman"/>
          <w:sz w:val="24"/>
          <w:szCs w:val="24"/>
          <w:vertAlign w:val="subscript"/>
        </w:rPr>
        <w:t>(F)</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g</w:t>
      </w:r>
      <w:r w:rsidRPr="003525F6">
        <w:rPr>
          <w:rFonts w:ascii="Times New Roman" w:hAnsi="Times New Roman" w:cs="Times New Roman"/>
          <w:sz w:val="24"/>
          <w:szCs w:val="24"/>
          <w:vertAlign w:val="subscript"/>
        </w:rPr>
        <w:t>K</w:t>
      </w:r>
      <w:proofErr w:type="spellEnd"/>
      <w:r w:rsidRPr="003525F6">
        <w:rPr>
          <w:rFonts w:ascii="Times New Roman" w:hAnsi="Times New Roman" w:cs="Times New Roman"/>
          <w:sz w:val="24"/>
          <w:szCs w:val="24"/>
          <w:vertAlign w:val="subscript"/>
        </w:rPr>
        <w:t>(M)</w:t>
      </w:r>
      <w:r>
        <w:rPr>
          <w:rFonts w:ascii="Times New Roman" w:hAnsi="Times New Roman" w:cs="Times New Roman"/>
          <w:sz w:val="24"/>
          <w:szCs w:val="24"/>
        </w:rPr>
        <w:t xml:space="preserve"> was increased relative to </w:t>
      </w:r>
      <w:proofErr w:type="spellStart"/>
      <w:r>
        <w:rPr>
          <w:rFonts w:ascii="Times New Roman" w:hAnsi="Times New Roman" w:cs="Times New Roman"/>
          <w:sz w:val="24"/>
          <w:szCs w:val="24"/>
        </w:rPr>
        <w:t>Traub</w:t>
      </w:r>
      <w:proofErr w:type="spellEnd"/>
      <w:r>
        <w:rPr>
          <w:rFonts w:ascii="Times New Roman" w:hAnsi="Times New Roman" w:cs="Times New Roman"/>
          <w:sz w:val="24"/>
          <w:szCs w:val="24"/>
        </w:rPr>
        <w:t xml:space="preserve"> et al. 2003 to give the compartment properties of the initial axon segment known to be possessed by neocortical pyramidal neurons (Chung et al., 2006; Lai and Jan, 2006).  In addition, </w:t>
      </w:r>
      <w:proofErr w:type="spellStart"/>
      <w:proofErr w:type="gramStart"/>
      <w:r>
        <w:rPr>
          <w:rFonts w:ascii="Times New Roman" w:hAnsi="Times New Roman" w:cs="Times New Roman"/>
          <w:sz w:val="24"/>
          <w:szCs w:val="24"/>
        </w:rPr>
        <w:t>g</w:t>
      </w:r>
      <w:r w:rsidRPr="009623E4">
        <w:rPr>
          <w:rFonts w:ascii="Times New Roman" w:hAnsi="Times New Roman" w:cs="Times New Roman"/>
          <w:sz w:val="24"/>
          <w:szCs w:val="24"/>
          <w:vertAlign w:val="subscript"/>
        </w:rPr>
        <w:t>Na</w:t>
      </w:r>
      <w:proofErr w:type="spellEnd"/>
      <w:r w:rsidRPr="009623E4">
        <w:rPr>
          <w:rFonts w:ascii="Times New Roman" w:hAnsi="Times New Roman" w:cs="Times New Roman"/>
          <w:sz w:val="24"/>
          <w:szCs w:val="24"/>
          <w:vertAlign w:val="subscript"/>
        </w:rPr>
        <w:t>(</w:t>
      </w:r>
      <w:proofErr w:type="gramEnd"/>
      <w:r w:rsidRPr="009623E4">
        <w:rPr>
          <w:rFonts w:ascii="Times New Roman" w:hAnsi="Times New Roman" w:cs="Times New Roman"/>
          <w:sz w:val="24"/>
          <w:szCs w:val="24"/>
          <w:vertAlign w:val="subscript"/>
        </w:rPr>
        <w:t>F)</w:t>
      </w:r>
      <w:r>
        <w:rPr>
          <w:rFonts w:ascii="Times New Roman" w:hAnsi="Times New Roman" w:cs="Times New Roman"/>
          <w:sz w:val="24"/>
          <w:szCs w:val="24"/>
        </w:rPr>
        <w:t xml:space="preserve"> was increased in apical dendrite and tuft to facilitate back propagation of </w:t>
      </w:r>
      <w:proofErr w:type="spellStart"/>
      <w:r>
        <w:rPr>
          <w:rFonts w:ascii="Times New Roman" w:hAnsi="Times New Roman" w:cs="Times New Roman"/>
          <w:sz w:val="24"/>
          <w:szCs w:val="24"/>
        </w:rPr>
        <w:t>perisomatic</w:t>
      </w:r>
      <w:proofErr w:type="spellEnd"/>
      <w:r>
        <w:rPr>
          <w:rFonts w:ascii="Times New Roman" w:hAnsi="Times New Roman" w:cs="Times New Roman"/>
          <w:sz w:val="24"/>
          <w:szCs w:val="24"/>
        </w:rPr>
        <w:t xml:space="preserve"> spikes into distal apical regions (</w:t>
      </w:r>
      <w:proofErr w:type="spellStart"/>
      <w:r>
        <w:rPr>
          <w:rFonts w:ascii="Times New Roman" w:hAnsi="Times New Roman" w:cs="Times New Roman"/>
          <w:sz w:val="24"/>
          <w:szCs w:val="24"/>
        </w:rPr>
        <w:t>Gulledge</w:t>
      </w:r>
      <w:proofErr w:type="spellEnd"/>
      <w:r>
        <w:rPr>
          <w:rFonts w:ascii="Times New Roman" w:hAnsi="Times New Roman" w:cs="Times New Roman"/>
          <w:sz w:val="24"/>
          <w:szCs w:val="24"/>
        </w:rPr>
        <w:t xml:space="preserve"> and Stuart, 2003).  </w:t>
      </w: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ab/>
        <w:t xml:space="preserve">Three of the ionic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whose highest density values are in distal apical regions include high-threshold calcium (</w:t>
      </w:r>
      <w:proofErr w:type="spellStart"/>
      <w:r>
        <w:rPr>
          <w:rFonts w:ascii="Times New Roman" w:hAnsi="Times New Roman" w:cs="Times New Roman"/>
          <w:sz w:val="24"/>
          <w:szCs w:val="24"/>
        </w:rPr>
        <w:t>g</w:t>
      </w:r>
      <w:r w:rsidRPr="004D6CB9">
        <w:rPr>
          <w:rFonts w:ascii="Times New Roman" w:hAnsi="Times New Roman" w:cs="Times New Roman"/>
          <w:sz w:val="24"/>
          <w:szCs w:val="24"/>
          <w:vertAlign w:val="subscript"/>
        </w:rPr>
        <w:t>Ca</w:t>
      </w:r>
      <w:proofErr w:type="spellEnd"/>
      <w:r w:rsidRPr="004D6CB9">
        <w:rPr>
          <w:rFonts w:ascii="Times New Roman" w:hAnsi="Times New Roman" w:cs="Times New Roman"/>
          <w:sz w:val="24"/>
          <w:szCs w:val="24"/>
          <w:vertAlign w:val="subscript"/>
        </w:rPr>
        <w:t>(H)</w:t>
      </w:r>
      <w:r>
        <w:rPr>
          <w:rFonts w:ascii="Times New Roman" w:hAnsi="Times New Roman" w:cs="Times New Roman"/>
          <w:sz w:val="24"/>
          <w:szCs w:val="24"/>
        </w:rPr>
        <w:t>), low-threshold calcium (</w:t>
      </w:r>
      <w:proofErr w:type="spellStart"/>
      <w:r>
        <w:rPr>
          <w:rFonts w:ascii="Times New Roman" w:hAnsi="Times New Roman" w:cs="Times New Roman"/>
          <w:sz w:val="24"/>
          <w:szCs w:val="24"/>
        </w:rPr>
        <w:t>g</w:t>
      </w:r>
      <w:r w:rsidRPr="004D6CB9">
        <w:rPr>
          <w:rFonts w:ascii="Times New Roman" w:hAnsi="Times New Roman" w:cs="Times New Roman"/>
          <w:sz w:val="24"/>
          <w:szCs w:val="24"/>
          <w:vertAlign w:val="subscript"/>
        </w:rPr>
        <w:t>Ca</w:t>
      </w:r>
      <w:proofErr w:type="spellEnd"/>
      <w:r w:rsidRPr="004D6CB9">
        <w:rPr>
          <w:rFonts w:ascii="Times New Roman" w:hAnsi="Times New Roman" w:cs="Times New Roman"/>
          <w:sz w:val="24"/>
          <w:szCs w:val="24"/>
          <w:vertAlign w:val="subscript"/>
        </w:rPr>
        <w:t>(L)</w:t>
      </w:r>
      <w:r>
        <w:rPr>
          <w:rFonts w:ascii="Times New Roman" w:hAnsi="Times New Roman" w:cs="Times New Roman"/>
          <w:sz w:val="24"/>
          <w:szCs w:val="24"/>
        </w:rPr>
        <w:t xml:space="preserve">), and </w:t>
      </w:r>
      <w:r w:rsidRPr="008C6ED1">
        <w:rPr>
          <w:rFonts w:ascii="Times New Roman" w:hAnsi="Times New Roman" w:cs="Times New Roman"/>
          <w:sz w:val="24"/>
          <w:szCs w:val="24"/>
        </w:rPr>
        <w:t xml:space="preserve">hyperpolarization-activated cyclic nucleotide-gated nonselective cation (HCN) </w:t>
      </w:r>
      <w:r>
        <w:rPr>
          <w:rFonts w:ascii="Times New Roman" w:hAnsi="Times New Roman" w:cs="Times New Roman"/>
          <w:sz w:val="24"/>
          <w:szCs w:val="24"/>
        </w:rPr>
        <w:t xml:space="preserve"> (g</w:t>
      </w:r>
      <w:r>
        <w:rPr>
          <w:rFonts w:ascii="Times New Roman" w:hAnsi="Times New Roman" w:cs="Times New Roman"/>
          <w:sz w:val="24"/>
          <w:szCs w:val="24"/>
          <w:vertAlign w:val="subscript"/>
        </w:rPr>
        <w:t>h</w:t>
      </w:r>
      <w:bookmarkStart w:id="0" w:name="_GoBack"/>
      <w:bookmarkEnd w:id="0"/>
      <w:r>
        <w:rPr>
          <w:rFonts w:ascii="Times New Roman" w:hAnsi="Times New Roman" w:cs="Times New Roman"/>
          <w:sz w:val="24"/>
          <w:szCs w:val="24"/>
        </w:rPr>
        <w:t xml:space="preserve">).  The densities of these ionic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were patterned after values used by Hay et al. 2011.  For instance, both calcium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were used to define a distal “hot zone”, comprising distal apical dendrite and apical tuft, where </w:t>
      </w:r>
      <w:proofErr w:type="spellStart"/>
      <w:proofErr w:type="gramStart"/>
      <w:r>
        <w:rPr>
          <w:rFonts w:ascii="Times New Roman" w:hAnsi="Times New Roman" w:cs="Times New Roman"/>
          <w:sz w:val="24"/>
          <w:szCs w:val="24"/>
        </w:rPr>
        <w:t>g</w:t>
      </w:r>
      <w:r w:rsidRPr="004D6CB9">
        <w:rPr>
          <w:rFonts w:ascii="Times New Roman" w:hAnsi="Times New Roman" w:cs="Times New Roman"/>
          <w:sz w:val="24"/>
          <w:szCs w:val="24"/>
          <w:vertAlign w:val="subscript"/>
        </w:rPr>
        <w:t>Ca</w:t>
      </w:r>
      <w:proofErr w:type="spellEnd"/>
      <w:r w:rsidRPr="004D6CB9">
        <w:rPr>
          <w:rFonts w:ascii="Times New Roman" w:hAnsi="Times New Roman" w:cs="Times New Roman"/>
          <w:sz w:val="24"/>
          <w:szCs w:val="24"/>
          <w:vertAlign w:val="subscript"/>
        </w:rPr>
        <w:t>(</w:t>
      </w:r>
      <w:proofErr w:type="gramEnd"/>
      <w:r w:rsidRPr="004D6CB9">
        <w:rPr>
          <w:rFonts w:ascii="Times New Roman" w:hAnsi="Times New Roman" w:cs="Times New Roman"/>
          <w:sz w:val="24"/>
          <w:szCs w:val="24"/>
          <w:vertAlign w:val="subscript"/>
        </w:rPr>
        <w:t>H)</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g</w:t>
      </w:r>
      <w:r w:rsidRPr="004D6CB9">
        <w:rPr>
          <w:rFonts w:ascii="Times New Roman" w:hAnsi="Times New Roman" w:cs="Times New Roman"/>
          <w:sz w:val="24"/>
          <w:szCs w:val="24"/>
          <w:vertAlign w:val="subscript"/>
        </w:rPr>
        <w:t>Ca</w:t>
      </w:r>
      <w:proofErr w:type="spellEnd"/>
      <w:r w:rsidRPr="004D6CB9">
        <w:rPr>
          <w:rFonts w:ascii="Times New Roman" w:hAnsi="Times New Roman" w:cs="Times New Roman"/>
          <w:sz w:val="24"/>
          <w:szCs w:val="24"/>
          <w:vertAlign w:val="subscript"/>
        </w:rPr>
        <w:t>(L)</w:t>
      </w:r>
      <w:r>
        <w:rPr>
          <w:rFonts w:ascii="Times New Roman" w:hAnsi="Times New Roman" w:cs="Times New Roman"/>
          <w:sz w:val="24"/>
          <w:szCs w:val="24"/>
        </w:rPr>
        <w:t xml:space="preserve"> had density values 10 and 100 times higher than anywhere else in the dendritic tree, respectively.  In addition, values for </w:t>
      </w:r>
      <w:proofErr w:type="gramStart"/>
      <w:r>
        <w:rPr>
          <w:rFonts w:ascii="Times New Roman" w:hAnsi="Times New Roman" w:cs="Times New Roman"/>
          <w:sz w:val="24"/>
          <w:szCs w:val="24"/>
        </w:rPr>
        <w:t>g</w:t>
      </w:r>
      <w:r w:rsidRPr="004D6CB9">
        <w:rPr>
          <w:rFonts w:ascii="Times New Roman" w:hAnsi="Times New Roman" w:cs="Times New Roman"/>
          <w:sz w:val="24"/>
          <w:szCs w:val="24"/>
          <w:vertAlign w:val="subscript"/>
        </w:rPr>
        <w:t>(</w:t>
      </w:r>
      <w:proofErr w:type="gramEnd"/>
      <w:r w:rsidRPr="004D6CB9">
        <w:rPr>
          <w:rFonts w:ascii="Times New Roman" w:hAnsi="Times New Roman" w:cs="Times New Roman"/>
          <w:sz w:val="24"/>
          <w:szCs w:val="24"/>
          <w:vertAlign w:val="subscript"/>
        </w:rPr>
        <w:t>AR)</w:t>
      </w:r>
      <w:r>
        <w:rPr>
          <w:rFonts w:ascii="Times New Roman" w:hAnsi="Times New Roman" w:cs="Times New Roman"/>
          <w:sz w:val="24"/>
          <w:szCs w:val="24"/>
        </w:rPr>
        <w:t xml:space="preserve"> along the soma-apical dendrite axis were defined using the same exponential function used by Hay et al. 2011.</w:t>
      </w: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lastRenderedPageBreak/>
        <w:tab/>
        <w:t xml:space="preserve">The rest of the ionic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included in our model are potassium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—transient inactivating (</w:t>
      </w:r>
      <w:proofErr w:type="spellStart"/>
      <w:proofErr w:type="gramStart"/>
      <w:r>
        <w:rPr>
          <w:rFonts w:ascii="Times New Roman" w:hAnsi="Times New Roman" w:cs="Times New Roman"/>
          <w:sz w:val="24"/>
          <w:szCs w:val="24"/>
        </w:rPr>
        <w:t>g</w:t>
      </w:r>
      <w:r w:rsidRPr="00FD0858">
        <w:rPr>
          <w:rFonts w:ascii="Times New Roman" w:hAnsi="Times New Roman" w:cs="Times New Roman"/>
          <w:sz w:val="24"/>
          <w:szCs w:val="24"/>
          <w:vertAlign w:val="subscript"/>
        </w:rPr>
        <w:t>K</w:t>
      </w:r>
      <w:proofErr w:type="spellEnd"/>
      <w:r w:rsidRPr="00FD0858">
        <w:rPr>
          <w:rFonts w:ascii="Times New Roman" w:hAnsi="Times New Roman" w:cs="Times New Roman"/>
          <w:sz w:val="24"/>
          <w:szCs w:val="24"/>
          <w:vertAlign w:val="subscript"/>
        </w:rPr>
        <w:t>(</w:t>
      </w:r>
      <w:proofErr w:type="gramEnd"/>
      <w:r w:rsidRPr="00FD0858">
        <w:rPr>
          <w:rFonts w:ascii="Times New Roman" w:hAnsi="Times New Roman" w:cs="Times New Roman"/>
          <w:sz w:val="24"/>
          <w:szCs w:val="24"/>
          <w:vertAlign w:val="subscript"/>
        </w:rPr>
        <w:t>A)</w:t>
      </w:r>
      <w:r>
        <w:rPr>
          <w:rFonts w:ascii="Times New Roman" w:hAnsi="Times New Roman" w:cs="Times New Roman"/>
          <w:sz w:val="24"/>
          <w:szCs w:val="24"/>
        </w:rPr>
        <w:t>), delayed rectifier (</w:t>
      </w:r>
      <w:proofErr w:type="spellStart"/>
      <w:r>
        <w:rPr>
          <w:rFonts w:ascii="Times New Roman" w:hAnsi="Times New Roman" w:cs="Times New Roman"/>
          <w:sz w:val="24"/>
          <w:szCs w:val="24"/>
        </w:rPr>
        <w:t>g</w:t>
      </w:r>
      <w:r w:rsidRPr="00FD0858">
        <w:rPr>
          <w:rFonts w:ascii="Times New Roman" w:hAnsi="Times New Roman" w:cs="Times New Roman"/>
          <w:sz w:val="24"/>
          <w:szCs w:val="24"/>
          <w:vertAlign w:val="subscript"/>
        </w:rPr>
        <w:t>K</w:t>
      </w:r>
      <w:proofErr w:type="spellEnd"/>
      <w:r w:rsidRPr="00FD0858">
        <w:rPr>
          <w:rFonts w:ascii="Times New Roman" w:hAnsi="Times New Roman" w:cs="Times New Roman"/>
          <w:sz w:val="24"/>
          <w:szCs w:val="24"/>
          <w:vertAlign w:val="subscript"/>
        </w:rPr>
        <w:t>(DR)</w:t>
      </w:r>
      <w:r>
        <w:rPr>
          <w:rFonts w:ascii="Times New Roman" w:hAnsi="Times New Roman" w:cs="Times New Roman"/>
          <w:sz w:val="24"/>
          <w:szCs w:val="24"/>
        </w:rPr>
        <w:t>), slowly activating and inactivating (g</w:t>
      </w:r>
      <w:r w:rsidRPr="00FD0858">
        <w:rPr>
          <w:rFonts w:ascii="Times New Roman" w:hAnsi="Times New Roman" w:cs="Times New Roman"/>
          <w:sz w:val="24"/>
          <w:szCs w:val="24"/>
          <w:vertAlign w:val="subscript"/>
        </w:rPr>
        <w:t>K2</w:t>
      </w:r>
      <w:r>
        <w:rPr>
          <w:rFonts w:ascii="Times New Roman" w:hAnsi="Times New Roman" w:cs="Times New Roman"/>
          <w:sz w:val="24"/>
          <w:szCs w:val="24"/>
        </w:rPr>
        <w:t>), and fast voltage- and Ca</w:t>
      </w:r>
      <w:r w:rsidRPr="00FD0858">
        <w:rPr>
          <w:rFonts w:ascii="Times New Roman" w:hAnsi="Times New Roman" w:cs="Times New Roman"/>
          <w:sz w:val="24"/>
          <w:szCs w:val="24"/>
          <w:vertAlign w:val="superscript"/>
        </w:rPr>
        <w:t>2+</w:t>
      </w:r>
      <w:r>
        <w:rPr>
          <w:rFonts w:ascii="Times New Roman" w:hAnsi="Times New Roman" w:cs="Times New Roman"/>
          <w:sz w:val="24"/>
          <w:szCs w:val="24"/>
        </w:rPr>
        <w:t>- dependent (</w:t>
      </w:r>
      <w:proofErr w:type="spellStart"/>
      <w:r>
        <w:rPr>
          <w:rFonts w:ascii="Times New Roman" w:hAnsi="Times New Roman" w:cs="Times New Roman"/>
          <w:sz w:val="24"/>
          <w:szCs w:val="24"/>
        </w:rPr>
        <w:t>g</w:t>
      </w:r>
      <w:r w:rsidRPr="00FD0858">
        <w:rPr>
          <w:rFonts w:ascii="Times New Roman" w:hAnsi="Times New Roman" w:cs="Times New Roman"/>
          <w:sz w:val="24"/>
          <w:szCs w:val="24"/>
          <w:vertAlign w:val="subscript"/>
        </w:rPr>
        <w:t>K</w:t>
      </w:r>
      <w:proofErr w:type="spellEnd"/>
      <w:r w:rsidRPr="00FD0858">
        <w:rPr>
          <w:rFonts w:ascii="Times New Roman" w:hAnsi="Times New Roman" w:cs="Times New Roman"/>
          <w:sz w:val="24"/>
          <w:szCs w:val="24"/>
          <w:vertAlign w:val="subscript"/>
        </w:rPr>
        <w:t>(C)</w:t>
      </w:r>
      <w:r>
        <w:rPr>
          <w:rFonts w:ascii="Times New Roman" w:hAnsi="Times New Roman" w:cs="Times New Roman"/>
          <w:sz w:val="24"/>
          <w:szCs w:val="24"/>
        </w:rPr>
        <w:t xml:space="preserve">).  Dendritic </w:t>
      </w:r>
      <w:proofErr w:type="spellStart"/>
      <w:proofErr w:type="gramStart"/>
      <w:r>
        <w:rPr>
          <w:rFonts w:ascii="Times New Roman" w:hAnsi="Times New Roman" w:cs="Times New Roman"/>
          <w:sz w:val="24"/>
          <w:szCs w:val="24"/>
        </w:rPr>
        <w:t>g</w:t>
      </w:r>
      <w:r w:rsidRPr="00FD0858">
        <w:rPr>
          <w:rFonts w:ascii="Times New Roman" w:hAnsi="Times New Roman" w:cs="Times New Roman"/>
          <w:sz w:val="24"/>
          <w:szCs w:val="24"/>
          <w:vertAlign w:val="subscript"/>
        </w:rPr>
        <w:t>K</w:t>
      </w:r>
      <w:proofErr w:type="spellEnd"/>
      <w:r w:rsidRPr="00FD0858">
        <w:rPr>
          <w:rFonts w:ascii="Times New Roman" w:hAnsi="Times New Roman" w:cs="Times New Roman"/>
          <w:sz w:val="24"/>
          <w:szCs w:val="24"/>
          <w:vertAlign w:val="subscript"/>
        </w:rPr>
        <w:t>(</w:t>
      </w:r>
      <w:proofErr w:type="gramEnd"/>
      <w:r w:rsidRPr="00FD0858">
        <w:rPr>
          <w:rFonts w:ascii="Times New Roman" w:hAnsi="Times New Roman" w:cs="Times New Roman"/>
          <w:sz w:val="24"/>
          <w:szCs w:val="24"/>
          <w:vertAlign w:val="subscript"/>
        </w:rPr>
        <w:t>A)</w:t>
      </w:r>
      <w:r>
        <w:rPr>
          <w:rFonts w:ascii="Times New Roman" w:hAnsi="Times New Roman" w:cs="Times New Roman"/>
          <w:sz w:val="24"/>
          <w:szCs w:val="24"/>
        </w:rPr>
        <w:t xml:space="preserve"> values were given a homogeneous distribution throughout the dendritic tree in accord with observations of layer 5 pyramidal neurons (</w:t>
      </w:r>
      <w:proofErr w:type="spellStart"/>
      <w:r>
        <w:rPr>
          <w:rFonts w:ascii="Times New Roman" w:hAnsi="Times New Roman" w:cs="Times New Roman"/>
          <w:sz w:val="24"/>
          <w:szCs w:val="24"/>
        </w:rPr>
        <w:t>Spruston</w:t>
      </w:r>
      <w:proofErr w:type="spellEnd"/>
      <w:r>
        <w:rPr>
          <w:rFonts w:ascii="Times New Roman" w:hAnsi="Times New Roman" w:cs="Times New Roman"/>
          <w:sz w:val="24"/>
          <w:szCs w:val="24"/>
        </w:rPr>
        <w:t xml:space="preserve"> 2008).  Values for </w:t>
      </w:r>
      <w:proofErr w:type="spellStart"/>
      <w:proofErr w:type="gramStart"/>
      <w:r>
        <w:rPr>
          <w:rFonts w:ascii="Times New Roman" w:hAnsi="Times New Roman" w:cs="Times New Roman"/>
          <w:sz w:val="24"/>
          <w:szCs w:val="24"/>
        </w:rPr>
        <w:t>g</w:t>
      </w:r>
      <w:r w:rsidRPr="00FD0858">
        <w:rPr>
          <w:rFonts w:ascii="Times New Roman" w:hAnsi="Times New Roman" w:cs="Times New Roman"/>
          <w:sz w:val="24"/>
          <w:szCs w:val="24"/>
          <w:vertAlign w:val="subscript"/>
        </w:rPr>
        <w:t>K</w:t>
      </w:r>
      <w:proofErr w:type="spellEnd"/>
      <w:r w:rsidRPr="00FD0858">
        <w:rPr>
          <w:rFonts w:ascii="Times New Roman" w:hAnsi="Times New Roman" w:cs="Times New Roman"/>
          <w:sz w:val="24"/>
          <w:szCs w:val="24"/>
          <w:vertAlign w:val="subscript"/>
        </w:rPr>
        <w:t>(</w:t>
      </w:r>
      <w:proofErr w:type="gramEnd"/>
      <w:r w:rsidRPr="00FD0858">
        <w:rPr>
          <w:rFonts w:ascii="Times New Roman" w:hAnsi="Times New Roman" w:cs="Times New Roman"/>
          <w:sz w:val="24"/>
          <w:szCs w:val="24"/>
          <w:vertAlign w:val="subscript"/>
        </w:rPr>
        <w:t>DR)</w:t>
      </w:r>
      <w:r>
        <w:rPr>
          <w:rFonts w:ascii="Times New Roman" w:hAnsi="Times New Roman" w:cs="Times New Roman"/>
          <w:sz w:val="24"/>
          <w:szCs w:val="24"/>
        </w:rPr>
        <w:t xml:space="preserve"> were adjusted to achieve somatic action potential spikes with amplitudes up to +18 mV in response to 3 </w:t>
      </w:r>
      <w:proofErr w:type="spellStart"/>
      <w:r>
        <w:rPr>
          <w:rFonts w:ascii="Times New Roman" w:hAnsi="Times New Roman" w:cs="Times New Roman"/>
          <w:sz w:val="24"/>
          <w:szCs w:val="24"/>
        </w:rPr>
        <w:t>nA</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square wave current injection into the soma.  Values for g</w:t>
      </w:r>
      <w:r w:rsidRPr="00FD0858">
        <w:rPr>
          <w:rFonts w:ascii="Times New Roman" w:hAnsi="Times New Roman" w:cs="Times New Roman"/>
          <w:sz w:val="24"/>
          <w:szCs w:val="24"/>
          <w:vertAlign w:val="subscript"/>
        </w:rPr>
        <w:t>K2</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g</w:t>
      </w:r>
      <w:r w:rsidRPr="00FD0858">
        <w:rPr>
          <w:rFonts w:ascii="Times New Roman" w:hAnsi="Times New Roman" w:cs="Times New Roman"/>
          <w:sz w:val="24"/>
          <w:szCs w:val="24"/>
          <w:vertAlign w:val="subscript"/>
        </w:rPr>
        <w:t>K</w:t>
      </w:r>
      <w:proofErr w:type="spellEnd"/>
      <w:r w:rsidRPr="00FD0858">
        <w:rPr>
          <w:rFonts w:ascii="Times New Roman" w:hAnsi="Times New Roman" w:cs="Times New Roman"/>
          <w:sz w:val="24"/>
          <w:szCs w:val="24"/>
          <w:vertAlign w:val="subscript"/>
        </w:rPr>
        <w:t>(C)</w:t>
      </w:r>
      <w:r>
        <w:rPr>
          <w:rFonts w:ascii="Times New Roman" w:hAnsi="Times New Roman" w:cs="Times New Roman"/>
          <w:sz w:val="24"/>
          <w:szCs w:val="24"/>
        </w:rPr>
        <w:t xml:space="preserve">, particularly throughout apical dendrite and apical tuft, were chosen to best fit the behavior of distal apical regions of layer 5 pyramidal neurons to an EPSP-like current injection (Hay et al., 2011; </w:t>
      </w:r>
      <w:proofErr w:type="spellStart"/>
      <w:r>
        <w:rPr>
          <w:rFonts w:ascii="Times New Roman" w:hAnsi="Times New Roman" w:cs="Times New Roman"/>
          <w:sz w:val="24"/>
          <w:szCs w:val="24"/>
        </w:rPr>
        <w:t>Larkum</w:t>
      </w:r>
      <w:proofErr w:type="spellEnd"/>
      <w:r>
        <w:rPr>
          <w:rFonts w:ascii="Times New Roman" w:hAnsi="Times New Roman" w:cs="Times New Roman"/>
          <w:sz w:val="24"/>
          <w:szCs w:val="24"/>
        </w:rPr>
        <w:t>, 2013).  A Ca</w:t>
      </w:r>
      <w:r w:rsidRPr="00B8243E">
        <w:rPr>
          <w:rFonts w:ascii="Times New Roman" w:hAnsi="Times New Roman" w:cs="Times New Roman"/>
          <w:sz w:val="24"/>
          <w:szCs w:val="24"/>
          <w:vertAlign w:val="superscript"/>
        </w:rPr>
        <w:t>2+</w:t>
      </w:r>
      <w:r>
        <w:rPr>
          <w:rFonts w:ascii="Times New Roman" w:hAnsi="Times New Roman" w:cs="Times New Roman"/>
          <w:sz w:val="24"/>
          <w:szCs w:val="24"/>
        </w:rPr>
        <w:t xml:space="preserve"> dependent K</w:t>
      </w:r>
      <w:r w:rsidRPr="00B8243E">
        <w:rPr>
          <w:rFonts w:ascii="Times New Roman" w:hAnsi="Times New Roman" w:cs="Times New Roman"/>
          <w:sz w:val="24"/>
          <w:szCs w:val="24"/>
          <w:vertAlign w:val="superscript"/>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afterhyperpolarization</w:t>
      </w:r>
      <w:proofErr w:type="spellEnd"/>
      <w:r>
        <w:rPr>
          <w:rFonts w:ascii="Times New Roman" w:hAnsi="Times New Roman" w:cs="Times New Roman"/>
          <w:sz w:val="24"/>
          <w:szCs w:val="24"/>
        </w:rPr>
        <w:t xml:space="preserve"> current used by </w:t>
      </w:r>
      <w:proofErr w:type="spellStart"/>
      <w:r>
        <w:rPr>
          <w:rFonts w:ascii="Times New Roman" w:hAnsi="Times New Roman" w:cs="Times New Roman"/>
          <w:sz w:val="24"/>
          <w:szCs w:val="24"/>
        </w:rPr>
        <w:t>Traub</w:t>
      </w:r>
      <w:proofErr w:type="spellEnd"/>
      <w:r>
        <w:rPr>
          <w:rFonts w:ascii="Times New Roman" w:hAnsi="Times New Roman" w:cs="Times New Roman"/>
          <w:sz w:val="24"/>
          <w:szCs w:val="24"/>
        </w:rPr>
        <w:t xml:space="preserve"> et al. 2003 and 2005 was excluded from our model.  This type of current is involved in the control of repetitive firing (</w:t>
      </w:r>
      <w:proofErr w:type="spellStart"/>
      <w:r>
        <w:rPr>
          <w:rFonts w:ascii="Times New Roman" w:hAnsi="Times New Roman" w:cs="Times New Roman"/>
          <w:sz w:val="24"/>
          <w:szCs w:val="24"/>
        </w:rPr>
        <w:t>Mainen</w:t>
      </w:r>
      <w:proofErr w:type="spellEnd"/>
      <w:r>
        <w:rPr>
          <w:rFonts w:ascii="Times New Roman" w:hAnsi="Times New Roman" w:cs="Times New Roman"/>
          <w:sz w:val="24"/>
          <w:szCs w:val="24"/>
        </w:rPr>
        <w:t xml:space="preserve"> et al., 1996).  The impact of this current on our model runs was negligible since we were primarily interested in the spiking behavior of the model to very brief current injections (5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that do not induce repetitive firing, and our resonance analysis was performed on a model neuron that was incapable of producing action potentials due to inactivation of the fast sodium conductance (</w:t>
      </w:r>
      <w:proofErr w:type="spellStart"/>
      <w:proofErr w:type="gramStart"/>
      <w:r>
        <w:rPr>
          <w:rFonts w:ascii="Times New Roman" w:hAnsi="Times New Roman" w:cs="Times New Roman"/>
          <w:sz w:val="24"/>
          <w:szCs w:val="24"/>
        </w:rPr>
        <w:t>g</w:t>
      </w:r>
      <w:r>
        <w:rPr>
          <w:rFonts w:ascii="Times New Roman" w:hAnsi="Times New Roman" w:cs="Times New Roman"/>
          <w:sz w:val="24"/>
          <w:szCs w:val="24"/>
          <w:vertAlign w:val="subscript"/>
        </w:rPr>
        <w:t>Na</w:t>
      </w:r>
      <w:proofErr w:type="spellEnd"/>
      <w:r>
        <w:rPr>
          <w:rFonts w:ascii="Times New Roman" w:hAnsi="Times New Roman" w:cs="Times New Roman"/>
          <w:sz w:val="24"/>
          <w:szCs w:val="24"/>
          <w:vertAlign w:val="subscript"/>
        </w:rPr>
        <w:t>(</w:t>
      </w:r>
      <w:proofErr w:type="gramEnd"/>
      <w:r>
        <w:rPr>
          <w:rFonts w:ascii="Times New Roman" w:hAnsi="Times New Roman" w:cs="Times New Roman"/>
          <w:sz w:val="24"/>
          <w:szCs w:val="24"/>
          <w:vertAlign w:val="subscript"/>
        </w:rPr>
        <w:t>F)</w:t>
      </w:r>
      <w:r>
        <w:rPr>
          <w:rFonts w:ascii="Times New Roman" w:hAnsi="Times New Roman" w:cs="Times New Roman"/>
          <w:sz w:val="24"/>
          <w:szCs w:val="24"/>
        </w:rPr>
        <w:t xml:space="preserve">) which was achieved by setting the conductance density for this channel in every compartment to zero. </w:t>
      </w: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 xml:space="preserve">   </w:t>
      </w:r>
    </w:p>
    <w:p w:rsidR="00CE0394" w:rsidRDefault="00CE0394" w:rsidP="00CE0394">
      <w:pPr>
        <w:pStyle w:val="Caption"/>
        <w:keepNext/>
      </w:pPr>
      <w:r>
        <w:t>Table S</w:t>
      </w:r>
      <w:r>
        <w:fldChar w:fldCharType="begin"/>
      </w:r>
      <w:r>
        <w:instrText xml:space="preserve"> SEQ Table \* ARABIC </w:instrText>
      </w:r>
      <w:r>
        <w:fldChar w:fldCharType="separate"/>
      </w:r>
      <w:r>
        <w:rPr>
          <w:noProof/>
        </w:rPr>
        <w:t>1</w:t>
      </w:r>
      <w:r>
        <w:rPr>
          <w:noProof/>
        </w:rPr>
        <w:fldChar w:fldCharType="end"/>
      </w:r>
      <w:r>
        <w:t xml:space="preserve"> Membrane conductance densities for baseline model layer 5 pyramidal neuron (</w:t>
      </w:r>
      <w:proofErr w:type="spellStart"/>
      <w:r>
        <w:t>mS</w:t>
      </w:r>
      <w:proofErr w:type="spellEnd"/>
      <w:r>
        <w:t>/m</w:t>
      </w:r>
      <w:r w:rsidRPr="007F74B8">
        <w:rPr>
          <w:vertAlign w:val="superscript"/>
        </w:rPr>
        <w:t>2</w:t>
      </w:r>
      <w:r>
        <w:t>), by level in model structure</w:t>
      </w:r>
    </w:p>
    <w:tbl>
      <w:tblPr>
        <w:tblStyle w:val="TableGrid"/>
        <w:tblW w:w="0" w:type="auto"/>
        <w:tblLook w:val="04A0" w:firstRow="1" w:lastRow="0" w:firstColumn="1" w:lastColumn="0" w:noHBand="0" w:noVBand="1"/>
      </w:tblPr>
      <w:tblGrid>
        <w:gridCol w:w="777"/>
        <w:gridCol w:w="749"/>
        <w:gridCol w:w="763"/>
        <w:gridCol w:w="799"/>
        <w:gridCol w:w="714"/>
        <w:gridCol w:w="714"/>
        <w:gridCol w:w="735"/>
        <w:gridCol w:w="611"/>
        <w:gridCol w:w="763"/>
        <w:gridCol w:w="747"/>
        <w:gridCol w:w="596"/>
        <w:gridCol w:w="576"/>
      </w:tblGrid>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Level</w:t>
            </w:r>
          </w:p>
        </w:tc>
        <w:tc>
          <w:tcPr>
            <w:tcW w:w="749" w:type="dxa"/>
          </w:tcPr>
          <w:p w:rsidR="00CE0394" w:rsidRDefault="00CE0394" w:rsidP="00EF4CB6">
            <w:pPr>
              <w:jc w:val="center"/>
              <w:rPr>
                <w:rFonts w:ascii="Times New Roman" w:hAnsi="Times New Roman" w:cs="Times New Roman"/>
                <w:sz w:val="24"/>
                <w:szCs w:val="24"/>
              </w:rPr>
            </w:pPr>
            <w:proofErr w:type="spellStart"/>
            <w:r>
              <w:rPr>
                <w:rFonts w:ascii="Times New Roman" w:hAnsi="Times New Roman" w:cs="Times New Roman"/>
                <w:sz w:val="24"/>
                <w:szCs w:val="24"/>
              </w:rPr>
              <w:t>g</w:t>
            </w:r>
            <w:r w:rsidRPr="00610E7B">
              <w:rPr>
                <w:rFonts w:ascii="Times New Roman" w:hAnsi="Times New Roman" w:cs="Times New Roman"/>
                <w:sz w:val="24"/>
                <w:szCs w:val="24"/>
                <w:vertAlign w:val="subscript"/>
              </w:rPr>
              <w:t>Na</w:t>
            </w:r>
            <w:proofErr w:type="spellEnd"/>
            <w:r w:rsidRPr="00610E7B">
              <w:rPr>
                <w:rFonts w:ascii="Times New Roman" w:hAnsi="Times New Roman" w:cs="Times New Roman"/>
                <w:sz w:val="24"/>
                <w:szCs w:val="24"/>
                <w:vertAlign w:val="subscript"/>
              </w:rPr>
              <w:t>(F)</w:t>
            </w:r>
          </w:p>
        </w:tc>
        <w:tc>
          <w:tcPr>
            <w:tcW w:w="763" w:type="dxa"/>
          </w:tcPr>
          <w:p w:rsidR="00CE0394" w:rsidRDefault="00CE0394" w:rsidP="00EF4CB6">
            <w:pPr>
              <w:jc w:val="center"/>
              <w:rPr>
                <w:rFonts w:ascii="Times New Roman" w:hAnsi="Times New Roman" w:cs="Times New Roman"/>
                <w:sz w:val="24"/>
                <w:szCs w:val="24"/>
              </w:rPr>
            </w:pPr>
            <w:proofErr w:type="spellStart"/>
            <w:r>
              <w:rPr>
                <w:rFonts w:ascii="Times New Roman" w:hAnsi="Times New Roman" w:cs="Times New Roman"/>
                <w:sz w:val="24"/>
                <w:szCs w:val="24"/>
              </w:rPr>
              <w:t>g</w:t>
            </w:r>
            <w:r w:rsidRPr="00610E7B">
              <w:rPr>
                <w:rFonts w:ascii="Times New Roman" w:hAnsi="Times New Roman" w:cs="Times New Roman"/>
                <w:sz w:val="24"/>
                <w:szCs w:val="24"/>
                <w:vertAlign w:val="subscript"/>
              </w:rPr>
              <w:t>Na</w:t>
            </w:r>
            <w:proofErr w:type="spellEnd"/>
            <w:r w:rsidRPr="00610E7B">
              <w:rPr>
                <w:rFonts w:ascii="Times New Roman" w:hAnsi="Times New Roman" w:cs="Times New Roman"/>
                <w:sz w:val="24"/>
                <w:szCs w:val="24"/>
                <w:vertAlign w:val="subscript"/>
              </w:rPr>
              <w:t>(P)</w:t>
            </w:r>
          </w:p>
        </w:tc>
        <w:tc>
          <w:tcPr>
            <w:tcW w:w="799" w:type="dxa"/>
          </w:tcPr>
          <w:p w:rsidR="00CE0394" w:rsidRDefault="00CE0394" w:rsidP="00EF4CB6">
            <w:pPr>
              <w:jc w:val="center"/>
              <w:rPr>
                <w:rFonts w:ascii="Times New Roman" w:hAnsi="Times New Roman" w:cs="Times New Roman"/>
                <w:sz w:val="24"/>
                <w:szCs w:val="24"/>
              </w:rPr>
            </w:pPr>
            <w:proofErr w:type="spellStart"/>
            <w:r>
              <w:rPr>
                <w:rFonts w:ascii="Times New Roman" w:hAnsi="Times New Roman" w:cs="Times New Roman"/>
                <w:sz w:val="24"/>
                <w:szCs w:val="24"/>
              </w:rPr>
              <w:t>g</w:t>
            </w:r>
            <w:r w:rsidRPr="00C707C6">
              <w:rPr>
                <w:rFonts w:ascii="Times New Roman" w:hAnsi="Times New Roman" w:cs="Times New Roman"/>
                <w:sz w:val="24"/>
                <w:szCs w:val="24"/>
                <w:vertAlign w:val="subscript"/>
              </w:rPr>
              <w:t>K</w:t>
            </w:r>
            <w:proofErr w:type="spellEnd"/>
            <w:r w:rsidRPr="00C707C6">
              <w:rPr>
                <w:rFonts w:ascii="Times New Roman" w:hAnsi="Times New Roman" w:cs="Times New Roman"/>
                <w:sz w:val="24"/>
                <w:szCs w:val="24"/>
                <w:vertAlign w:val="subscript"/>
              </w:rPr>
              <w:t>(DR)</w:t>
            </w:r>
          </w:p>
        </w:tc>
        <w:tc>
          <w:tcPr>
            <w:tcW w:w="714" w:type="dxa"/>
          </w:tcPr>
          <w:p w:rsidR="00CE0394" w:rsidRDefault="00CE0394" w:rsidP="00EF4CB6">
            <w:pPr>
              <w:jc w:val="center"/>
              <w:rPr>
                <w:rFonts w:ascii="Times New Roman" w:hAnsi="Times New Roman" w:cs="Times New Roman"/>
                <w:sz w:val="24"/>
                <w:szCs w:val="24"/>
              </w:rPr>
            </w:pPr>
            <w:proofErr w:type="spellStart"/>
            <w:r>
              <w:rPr>
                <w:rFonts w:ascii="Times New Roman" w:hAnsi="Times New Roman" w:cs="Times New Roman"/>
                <w:sz w:val="24"/>
                <w:szCs w:val="24"/>
              </w:rPr>
              <w:t>g</w:t>
            </w:r>
            <w:r w:rsidRPr="00C707C6">
              <w:rPr>
                <w:rFonts w:ascii="Times New Roman" w:hAnsi="Times New Roman" w:cs="Times New Roman"/>
                <w:sz w:val="24"/>
                <w:szCs w:val="24"/>
                <w:vertAlign w:val="subscript"/>
              </w:rPr>
              <w:t>K</w:t>
            </w:r>
            <w:proofErr w:type="spellEnd"/>
            <w:r w:rsidRPr="00C707C6">
              <w:rPr>
                <w:rFonts w:ascii="Times New Roman" w:hAnsi="Times New Roman" w:cs="Times New Roman"/>
                <w:sz w:val="24"/>
                <w:szCs w:val="24"/>
                <w:vertAlign w:val="subscript"/>
              </w:rPr>
              <w:t>(C)</w:t>
            </w:r>
          </w:p>
        </w:tc>
        <w:tc>
          <w:tcPr>
            <w:tcW w:w="714" w:type="dxa"/>
          </w:tcPr>
          <w:p w:rsidR="00CE0394" w:rsidRDefault="00CE0394" w:rsidP="00EF4CB6">
            <w:pPr>
              <w:jc w:val="center"/>
              <w:rPr>
                <w:rFonts w:ascii="Times New Roman" w:hAnsi="Times New Roman" w:cs="Times New Roman"/>
                <w:sz w:val="24"/>
                <w:szCs w:val="24"/>
              </w:rPr>
            </w:pPr>
            <w:proofErr w:type="spellStart"/>
            <w:r>
              <w:rPr>
                <w:rFonts w:ascii="Times New Roman" w:hAnsi="Times New Roman" w:cs="Times New Roman"/>
                <w:sz w:val="24"/>
                <w:szCs w:val="24"/>
              </w:rPr>
              <w:t>g</w:t>
            </w:r>
            <w:r w:rsidRPr="00C707C6">
              <w:rPr>
                <w:rFonts w:ascii="Times New Roman" w:hAnsi="Times New Roman" w:cs="Times New Roman"/>
                <w:sz w:val="24"/>
                <w:szCs w:val="24"/>
                <w:vertAlign w:val="subscript"/>
              </w:rPr>
              <w:t>K</w:t>
            </w:r>
            <w:proofErr w:type="spellEnd"/>
            <w:r w:rsidRPr="00C707C6">
              <w:rPr>
                <w:rFonts w:ascii="Times New Roman" w:hAnsi="Times New Roman" w:cs="Times New Roman"/>
                <w:sz w:val="24"/>
                <w:szCs w:val="24"/>
                <w:vertAlign w:val="subscript"/>
              </w:rPr>
              <w:t>(A)</w:t>
            </w:r>
          </w:p>
        </w:tc>
        <w:tc>
          <w:tcPr>
            <w:tcW w:w="735" w:type="dxa"/>
          </w:tcPr>
          <w:p w:rsidR="00CE0394" w:rsidRDefault="00CE0394" w:rsidP="00EF4CB6">
            <w:pPr>
              <w:jc w:val="center"/>
              <w:rPr>
                <w:rFonts w:ascii="Times New Roman" w:hAnsi="Times New Roman" w:cs="Times New Roman"/>
                <w:sz w:val="24"/>
                <w:szCs w:val="24"/>
              </w:rPr>
            </w:pPr>
            <w:proofErr w:type="spellStart"/>
            <w:r>
              <w:rPr>
                <w:rFonts w:ascii="Times New Roman" w:hAnsi="Times New Roman" w:cs="Times New Roman"/>
                <w:sz w:val="24"/>
                <w:szCs w:val="24"/>
              </w:rPr>
              <w:t>g</w:t>
            </w:r>
            <w:r w:rsidRPr="00C707C6">
              <w:rPr>
                <w:rFonts w:ascii="Times New Roman" w:hAnsi="Times New Roman" w:cs="Times New Roman"/>
                <w:sz w:val="24"/>
                <w:szCs w:val="24"/>
                <w:vertAlign w:val="subscript"/>
              </w:rPr>
              <w:t>K</w:t>
            </w:r>
            <w:proofErr w:type="spellEnd"/>
            <w:r w:rsidRPr="00C707C6">
              <w:rPr>
                <w:rFonts w:ascii="Times New Roman" w:hAnsi="Times New Roman" w:cs="Times New Roman"/>
                <w:sz w:val="24"/>
                <w:szCs w:val="24"/>
                <w:vertAlign w:val="subscript"/>
              </w:rPr>
              <w:t>(M)</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g</w:t>
            </w:r>
            <w:r w:rsidRPr="00C707C6">
              <w:rPr>
                <w:rFonts w:ascii="Times New Roman" w:hAnsi="Times New Roman" w:cs="Times New Roman"/>
                <w:sz w:val="24"/>
                <w:szCs w:val="24"/>
                <w:vertAlign w:val="subscript"/>
              </w:rPr>
              <w:t>K2</w:t>
            </w:r>
          </w:p>
        </w:tc>
        <w:tc>
          <w:tcPr>
            <w:tcW w:w="763" w:type="dxa"/>
          </w:tcPr>
          <w:p w:rsidR="00CE0394" w:rsidRPr="0048471F" w:rsidRDefault="00CE0394" w:rsidP="00EF4CB6">
            <w:pPr>
              <w:jc w:val="center"/>
              <w:rPr>
                <w:rFonts w:ascii="Times New Roman" w:hAnsi="Times New Roman" w:cs="Times New Roman"/>
                <w:color w:val="A50021"/>
                <w:sz w:val="24"/>
                <w:szCs w:val="24"/>
              </w:rPr>
            </w:pPr>
            <w:proofErr w:type="spellStart"/>
            <w:r w:rsidRPr="0048471F">
              <w:rPr>
                <w:rFonts w:ascii="Times New Roman" w:hAnsi="Times New Roman" w:cs="Times New Roman"/>
                <w:color w:val="A50021"/>
                <w:sz w:val="24"/>
                <w:szCs w:val="24"/>
              </w:rPr>
              <w:t>g</w:t>
            </w:r>
            <w:r w:rsidRPr="0048471F">
              <w:rPr>
                <w:rFonts w:ascii="Times New Roman" w:hAnsi="Times New Roman" w:cs="Times New Roman"/>
                <w:color w:val="A50021"/>
                <w:sz w:val="24"/>
                <w:szCs w:val="24"/>
                <w:vertAlign w:val="subscript"/>
              </w:rPr>
              <w:t>Ca</w:t>
            </w:r>
            <w:proofErr w:type="spellEnd"/>
            <w:r w:rsidRPr="0048471F">
              <w:rPr>
                <w:rFonts w:ascii="Times New Roman" w:hAnsi="Times New Roman" w:cs="Times New Roman"/>
                <w:color w:val="A50021"/>
                <w:sz w:val="24"/>
                <w:szCs w:val="24"/>
                <w:vertAlign w:val="subscript"/>
              </w:rPr>
              <w:t>(H)</w:t>
            </w:r>
          </w:p>
        </w:tc>
        <w:tc>
          <w:tcPr>
            <w:tcW w:w="747" w:type="dxa"/>
          </w:tcPr>
          <w:p w:rsidR="00CE0394" w:rsidRPr="0048471F" w:rsidRDefault="00CE0394" w:rsidP="00EF4CB6">
            <w:pPr>
              <w:jc w:val="center"/>
              <w:rPr>
                <w:rFonts w:ascii="Times New Roman" w:hAnsi="Times New Roman" w:cs="Times New Roman"/>
                <w:color w:val="A50021"/>
                <w:sz w:val="24"/>
                <w:szCs w:val="24"/>
              </w:rPr>
            </w:pPr>
            <w:proofErr w:type="spellStart"/>
            <w:r w:rsidRPr="0048471F">
              <w:rPr>
                <w:rFonts w:ascii="Times New Roman" w:hAnsi="Times New Roman" w:cs="Times New Roman"/>
                <w:color w:val="A50021"/>
                <w:sz w:val="24"/>
                <w:szCs w:val="24"/>
              </w:rPr>
              <w:t>g</w:t>
            </w:r>
            <w:r w:rsidRPr="0048471F">
              <w:rPr>
                <w:rFonts w:ascii="Times New Roman" w:hAnsi="Times New Roman" w:cs="Times New Roman"/>
                <w:color w:val="A50021"/>
                <w:sz w:val="24"/>
                <w:szCs w:val="24"/>
                <w:vertAlign w:val="subscript"/>
              </w:rPr>
              <w:t>Ca</w:t>
            </w:r>
            <w:proofErr w:type="spellEnd"/>
            <w:r w:rsidRPr="0048471F">
              <w:rPr>
                <w:rFonts w:ascii="Times New Roman" w:hAnsi="Times New Roman" w:cs="Times New Roman"/>
                <w:color w:val="A50021"/>
                <w:sz w:val="24"/>
                <w:szCs w:val="24"/>
                <w:vertAlign w:val="subscript"/>
              </w:rPr>
              <w:t>(</w:t>
            </w:r>
            <w:r>
              <w:rPr>
                <w:rFonts w:ascii="Times New Roman" w:hAnsi="Times New Roman" w:cs="Times New Roman"/>
                <w:color w:val="A50021"/>
                <w:sz w:val="24"/>
                <w:szCs w:val="24"/>
                <w:vertAlign w:val="subscript"/>
              </w:rPr>
              <w:t>L</w:t>
            </w:r>
            <w:r w:rsidRPr="0048471F">
              <w:rPr>
                <w:rFonts w:ascii="Times New Roman" w:hAnsi="Times New Roman" w:cs="Times New Roman"/>
                <w:color w:val="A50021"/>
                <w:sz w:val="24"/>
                <w:szCs w:val="24"/>
                <w:vertAlign w:val="subscript"/>
              </w:rPr>
              <w:t>)</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proofErr w:type="spellStart"/>
            <w:r w:rsidRPr="0048471F">
              <w:rPr>
                <w:rFonts w:ascii="Times New Roman" w:hAnsi="Times New Roman" w:cs="Times New Roman"/>
                <w:color w:val="A50021"/>
                <w:sz w:val="24"/>
                <w:szCs w:val="24"/>
              </w:rPr>
              <w:t>g</w:t>
            </w:r>
            <w:r>
              <w:rPr>
                <w:rFonts w:ascii="Times New Roman" w:hAnsi="Times New Roman" w:cs="Times New Roman"/>
                <w:color w:val="A50021"/>
                <w:sz w:val="24"/>
                <w:szCs w:val="24"/>
                <w:vertAlign w:val="subscript"/>
              </w:rPr>
              <w:t>h</w:t>
            </w:r>
            <w:proofErr w:type="spellEnd"/>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9000</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5</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450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6</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600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4500</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5</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450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6</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300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5550</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5</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750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288</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200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250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6</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30</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1</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3</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750</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0.6</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250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288</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136</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596" w:type="dxa"/>
          </w:tcPr>
          <w:p w:rsidR="00CE0394" w:rsidRPr="0048471F" w:rsidRDefault="00CE0394" w:rsidP="00EF4CB6">
            <w:pPr>
              <w:rPr>
                <w:rFonts w:ascii="Times New Roman" w:hAnsi="Times New Roman" w:cs="Times New Roman"/>
                <w:color w:val="A50021"/>
                <w:sz w:val="20"/>
                <w:szCs w:val="20"/>
              </w:rPr>
            </w:pPr>
            <w:r w:rsidRPr="0048471F">
              <w:rPr>
                <w:rFonts w:ascii="Times New Roman" w:hAnsi="Times New Roman" w:cs="Times New Roman"/>
                <w:color w:val="A50021"/>
                <w:sz w:val="20"/>
                <w:szCs w:val="20"/>
              </w:rPr>
              <w:t>0.5</w:t>
            </w:r>
          </w:p>
        </w:tc>
        <w:tc>
          <w:tcPr>
            <w:tcW w:w="576" w:type="dxa"/>
          </w:tcPr>
          <w:p w:rsidR="00CE0394" w:rsidRPr="0048471F" w:rsidRDefault="00CE0394" w:rsidP="00EF4CB6">
            <w:pPr>
              <w:rPr>
                <w:rFonts w:ascii="Times New Roman" w:hAnsi="Times New Roman" w:cs="Times New Roman"/>
                <w:color w:val="A50021"/>
                <w:sz w:val="20"/>
                <w:szCs w:val="20"/>
              </w:rPr>
            </w:pPr>
            <w:r>
              <w:rPr>
                <w:rFonts w:ascii="Times New Roman" w:hAnsi="Times New Roman" w:cs="Times New Roman"/>
                <w:color w:val="A50021"/>
                <w:sz w:val="20"/>
                <w:szCs w:val="20"/>
              </w:rPr>
              <w:t>1.76</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150</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136</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1</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5</w:t>
            </w:r>
          </w:p>
        </w:tc>
        <w:tc>
          <w:tcPr>
            <w:tcW w:w="596" w:type="dxa"/>
          </w:tcPr>
          <w:p w:rsidR="00CE0394" w:rsidRPr="0048471F" w:rsidRDefault="00CE0394" w:rsidP="00EF4CB6">
            <w:pPr>
              <w:rPr>
                <w:rFonts w:ascii="Times New Roman" w:hAnsi="Times New Roman" w:cs="Times New Roman"/>
                <w:color w:val="A50021"/>
                <w:sz w:val="20"/>
                <w:szCs w:val="20"/>
              </w:rPr>
            </w:pPr>
            <w:r w:rsidRPr="0048471F">
              <w:rPr>
                <w:rFonts w:ascii="Times New Roman" w:hAnsi="Times New Roman" w:cs="Times New Roman"/>
                <w:color w:val="A50021"/>
                <w:sz w:val="20"/>
                <w:szCs w:val="20"/>
              </w:rPr>
              <w:t>0.5</w:t>
            </w:r>
          </w:p>
        </w:tc>
        <w:tc>
          <w:tcPr>
            <w:tcW w:w="576" w:type="dxa"/>
          </w:tcPr>
          <w:p w:rsidR="00CE0394" w:rsidRPr="0048471F" w:rsidRDefault="00CE0394" w:rsidP="00EF4CB6">
            <w:pPr>
              <w:rPr>
                <w:rFonts w:ascii="Times New Roman" w:hAnsi="Times New Roman" w:cs="Times New Roman"/>
                <w:color w:val="A50021"/>
                <w:sz w:val="20"/>
                <w:szCs w:val="20"/>
              </w:rPr>
            </w:pPr>
            <w:r>
              <w:rPr>
                <w:rFonts w:ascii="Times New Roman" w:hAnsi="Times New Roman" w:cs="Times New Roman"/>
                <w:color w:val="A50021"/>
                <w:sz w:val="20"/>
                <w:szCs w:val="20"/>
              </w:rPr>
              <w:t>2.45</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5</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150</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136</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1</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5</w:t>
            </w:r>
          </w:p>
        </w:tc>
        <w:tc>
          <w:tcPr>
            <w:tcW w:w="596" w:type="dxa"/>
          </w:tcPr>
          <w:p w:rsidR="00CE0394" w:rsidRPr="0048471F" w:rsidRDefault="00CE0394" w:rsidP="00EF4CB6">
            <w:pPr>
              <w:rPr>
                <w:rFonts w:ascii="Times New Roman" w:hAnsi="Times New Roman" w:cs="Times New Roman"/>
                <w:color w:val="A50021"/>
                <w:sz w:val="20"/>
                <w:szCs w:val="20"/>
              </w:rPr>
            </w:pPr>
            <w:r w:rsidRPr="0048471F">
              <w:rPr>
                <w:rFonts w:ascii="Times New Roman" w:hAnsi="Times New Roman" w:cs="Times New Roman"/>
                <w:color w:val="A50021"/>
                <w:sz w:val="20"/>
                <w:szCs w:val="20"/>
              </w:rPr>
              <w:t>0.5</w:t>
            </w:r>
          </w:p>
        </w:tc>
        <w:tc>
          <w:tcPr>
            <w:tcW w:w="576" w:type="dxa"/>
          </w:tcPr>
          <w:p w:rsidR="00CE0394" w:rsidRPr="0048471F" w:rsidRDefault="00CE0394" w:rsidP="00EF4CB6">
            <w:pPr>
              <w:rPr>
                <w:rFonts w:ascii="Times New Roman" w:hAnsi="Times New Roman" w:cs="Times New Roman"/>
                <w:color w:val="A50021"/>
                <w:sz w:val="20"/>
                <w:szCs w:val="20"/>
              </w:rPr>
            </w:pPr>
            <w:r w:rsidRPr="0048471F">
              <w:rPr>
                <w:rFonts w:ascii="Times New Roman" w:hAnsi="Times New Roman" w:cs="Times New Roman"/>
                <w:color w:val="A50021"/>
                <w:sz w:val="20"/>
                <w:szCs w:val="20"/>
              </w:rPr>
              <w:t>3.3</w:t>
            </w:r>
            <w:r>
              <w:rPr>
                <w:rFonts w:ascii="Times New Roman" w:hAnsi="Times New Roman" w:cs="Times New Roman"/>
                <w:color w:val="A50021"/>
                <w:sz w:val="20"/>
                <w:szCs w:val="20"/>
              </w:rPr>
              <w:t>2</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6</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1500</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500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288</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136</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1.7635</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7</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750</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0.6</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150</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288</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136</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2.4515</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8</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136</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3.3194</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4.4141</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5.7950</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11</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7.5368</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12</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9.7338</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13</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12.5050</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14</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0.12</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16.0006</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15</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0.024</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0.5</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20.4098</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0.024</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50</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25.9714</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17</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0.024</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50</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32.9866</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18</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0.024</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50</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41.8355</w:t>
            </w:r>
          </w:p>
        </w:tc>
      </w:tr>
      <w:tr w:rsidR="00CE0394" w:rsidTr="00EF4CB6">
        <w:tc>
          <w:tcPr>
            <w:tcW w:w="777"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19</w:t>
            </w:r>
          </w:p>
        </w:tc>
        <w:tc>
          <w:tcPr>
            <w:tcW w:w="74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165</w:t>
            </w:r>
          </w:p>
        </w:tc>
        <w:tc>
          <w:tcPr>
            <w:tcW w:w="763"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0.024</w:t>
            </w:r>
          </w:p>
        </w:tc>
        <w:tc>
          <w:tcPr>
            <w:tcW w:w="799"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2</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9</w:t>
            </w:r>
          </w:p>
        </w:tc>
        <w:tc>
          <w:tcPr>
            <w:tcW w:w="714"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40</w:t>
            </w:r>
          </w:p>
        </w:tc>
        <w:tc>
          <w:tcPr>
            <w:tcW w:w="735"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611" w:type="dxa"/>
          </w:tcPr>
          <w:p w:rsidR="00CE0394" w:rsidRDefault="00CE0394" w:rsidP="00EF4CB6">
            <w:pPr>
              <w:jc w:val="center"/>
              <w:rPr>
                <w:rFonts w:ascii="Times New Roman" w:hAnsi="Times New Roman" w:cs="Times New Roman"/>
                <w:sz w:val="24"/>
                <w:szCs w:val="24"/>
              </w:rPr>
            </w:pPr>
            <w:r>
              <w:rPr>
                <w:rFonts w:ascii="Times New Roman" w:hAnsi="Times New Roman" w:cs="Times New Roman"/>
                <w:sz w:val="24"/>
                <w:szCs w:val="24"/>
              </w:rPr>
              <w:t>10</w:t>
            </w:r>
          </w:p>
        </w:tc>
        <w:tc>
          <w:tcPr>
            <w:tcW w:w="763"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3</w:t>
            </w:r>
          </w:p>
        </w:tc>
        <w:tc>
          <w:tcPr>
            <w:tcW w:w="747" w:type="dxa"/>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50</w:t>
            </w:r>
          </w:p>
        </w:tc>
        <w:tc>
          <w:tcPr>
            <w:tcW w:w="1172" w:type="dxa"/>
            <w:gridSpan w:val="2"/>
          </w:tcPr>
          <w:p w:rsidR="00CE0394" w:rsidRPr="0048471F" w:rsidRDefault="00CE0394" w:rsidP="00EF4CB6">
            <w:pPr>
              <w:jc w:val="center"/>
              <w:rPr>
                <w:rFonts w:ascii="Times New Roman" w:hAnsi="Times New Roman" w:cs="Times New Roman"/>
                <w:color w:val="A50021"/>
                <w:sz w:val="24"/>
                <w:szCs w:val="24"/>
              </w:rPr>
            </w:pPr>
            <w:r w:rsidRPr="0048471F">
              <w:rPr>
                <w:rFonts w:ascii="Times New Roman" w:hAnsi="Times New Roman" w:cs="Times New Roman"/>
                <w:color w:val="A50021"/>
                <w:sz w:val="24"/>
                <w:szCs w:val="24"/>
              </w:rPr>
              <w:t>52.9971</w:t>
            </w:r>
          </w:p>
        </w:tc>
      </w:tr>
    </w:tbl>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 xml:space="preserve">Explanation of levels: level 0 = initial axon; level 1 = rest of axon; level 2 = soma; level 3 = proximal basal and oblique dendrites; level 4 = middle basal and oblique dendrites; level 5 = distal basal and oblique dendrites; levels 6-18 = progressively more distal apical dendrite shaft; </w:t>
      </w:r>
      <w:r>
        <w:rPr>
          <w:rFonts w:ascii="Times New Roman" w:hAnsi="Times New Roman" w:cs="Times New Roman"/>
          <w:sz w:val="24"/>
          <w:szCs w:val="24"/>
        </w:rPr>
        <w:lastRenderedPageBreak/>
        <w:t xml:space="preserve">level 19 = apical tuft.  Columns in maroon are the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patterned after Hay et al. 2011.  The Ca</w:t>
      </w:r>
      <w:r w:rsidRPr="0048471F">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conductances</w:t>
      </w:r>
      <w:proofErr w:type="spellEnd"/>
      <w:r>
        <w:rPr>
          <w:rFonts w:ascii="Times New Roman" w:hAnsi="Times New Roman" w:cs="Times New Roman"/>
          <w:sz w:val="24"/>
          <w:szCs w:val="24"/>
        </w:rPr>
        <w:t xml:space="preserve"> have densities that are 1–2 orders of magnitude higher in distal apical dendrite and apical tuft than anywhere else in dendritic tree.  The HCN conductance densities use the same exponential function as Hay et al. 2011.  Left and right entries in HCN for levels 3–5 correspond to basal and oblique dendrites, respectively.</w:t>
      </w: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1.2 Conductance kinetics</w:t>
      </w:r>
    </w:p>
    <w:p w:rsidR="00CE0394" w:rsidRDefault="00CE0394" w:rsidP="00CE0394">
      <w:pPr>
        <w:ind w:firstLine="720"/>
        <w:rPr>
          <w:rFonts w:ascii="Times New Roman" w:hAnsi="Times New Roman" w:cs="Times New Roman"/>
          <w:sz w:val="24"/>
          <w:szCs w:val="24"/>
        </w:rPr>
      </w:pPr>
      <w:r>
        <w:rPr>
          <w:rFonts w:ascii="Times New Roman" w:hAnsi="Times New Roman" w:cs="Times New Roman"/>
          <w:sz w:val="24"/>
          <w:szCs w:val="24"/>
        </w:rPr>
        <w:t xml:space="preserve">All conductance kinetics, including reversal potentials, were left the same as in </w:t>
      </w:r>
      <w:proofErr w:type="spellStart"/>
      <w:r>
        <w:rPr>
          <w:rFonts w:ascii="Times New Roman" w:hAnsi="Times New Roman" w:cs="Times New Roman"/>
          <w:sz w:val="24"/>
          <w:szCs w:val="24"/>
        </w:rPr>
        <w:t>Traub</w:t>
      </w:r>
      <w:proofErr w:type="spellEnd"/>
      <w:r>
        <w:rPr>
          <w:rFonts w:ascii="Times New Roman" w:hAnsi="Times New Roman" w:cs="Times New Roman"/>
          <w:sz w:val="24"/>
          <w:szCs w:val="24"/>
        </w:rPr>
        <w:t xml:space="preserve"> et al. 2003 and </w:t>
      </w:r>
      <w:proofErr w:type="spellStart"/>
      <w:r>
        <w:rPr>
          <w:rFonts w:ascii="Times New Roman" w:hAnsi="Times New Roman" w:cs="Times New Roman"/>
          <w:sz w:val="24"/>
          <w:szCs w:val="24"/>
        </w:rPr>
        <w:t>Traub</w:t>
      </w:r>
      <w:proofErr w:type="spellEnd"/>
      <w:r>
        <w:rPr>
          <w:rFonts w:ascii="Times New Roman" w:hAnsi="Times New Roman" w:cs="Times New Roman"/>
          <w:sz w:val="24"/>
          <w:szCs w:val="24"/>
        </w:rPr>
        <w:t xml:space="preserve"> et al. 2005 with the exception of the M current whose activation curve was shifted by up to 15 mV in the hyperpolarized direction near the base of the activation curve, and whose time constant maximum value was reduced by 40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(see Equations S1-S2 and Figure S1).  Changing the M current in this way allows it to become active at subthreshold membrane potentials, which more accurately models the resonance characteristics attributed to the M current of neocortical pyramidal neurons when their membrane potential is anywhere from rest to depolarized by about 30 mV (</w:t>
      </w:r>
      <w:proofErr w:type="spellStart"/>
      <w:r>
        <w:rPr>
          <w:rFonts w:ascii="Times New Roman" w:hAnsi="Times New Roman" w:cs="Times New Roman"/>
          <w:sz w:val="24"/>
          <w:szCs w:val="24"/>
        </w:rPr>
        <w:t>Gutfreund</w:t>
      </w:r>
      <w:proofErr w:type="spellEnd"/>
      <w:r>
        <w:rPr>
          <w:rFonts w:ascii="Times New Roman" w:hAnsi="Times New Roman" w:cs="Times New Roman"/>
          <w:sz w:val="24"/>
          <w:szCs w:val="24"/>
        </w:rPr>
        <w:t xml:space="preserve"> et al., 1995; Hutcheon and </w:t>
      </w:r>
      <w:proofErr w:type="spellStart"/>
      <w:r>
        <w:rPr>
          <w:rFonts w:ascii="Times New Roman" w:hAnsi="Times New Roman" w:cs="Times New Roman"/>
          <w:sz w:val="24"/>
          <w:szCs w:val="24"/>
        </w:rPr>
        <w:t>Yarom</w:t>
      </w:r>
      <w:proofErr w:type="spellEnd"/>
      <w:r>
        <w:rPr>
          <w:rFonts w:ascii="Times New Roman" w:hAnsi="Times New Roman" w:cs="Times New Roman"/>
          <w:sz w:val="24"/>
          <w:szCs w:val="24"/>
        </w:rPr>
        <w:t xml:space="preserve">, 2000).  </w:t>
      </w:r>
    </w:p>
    <w:p w:rsidR="00CE0394" w:rsidRDefault="00CE0394" w:rsidP="00CE0394">
      <w:pPr>
        <w:ind w:firstLine="720"/>
        <w:rPr>
          <w:rFonts w:ascii="Times New Roman" w:hAnsi="Times New Roman" w:cs="Times New Roman"/>
          <w:sz w:val="24"/>
          <w:szCs w:val="24"/>
        </w:rPr>
      </w:pPr>
    </w:p>
    <w:p w:rsidR="00CE0394" w:rsidRPr="00AC7138" w:rsidRDefault="00CE0394" w:rsidP="00CE0394">
      <w:pPr>
        <w:ind w:firstLine="720"/>
        <w:rPr>
          <w:rFonts w:ascii="Times New Roman" w:hAnsi="Times New Roman" w:cs="Times New Roman"/>
          <w:sz w:val="24"/>
          <w:szCs w:val="24"/>
        </w:rPr>
      </w:pPr>
      <m:oMathPara>
        <m:oMathParaPr>
          <m:jc m:val="right"/>
        </m:oMathParaPr>
        <m:oMath>
          <m:r>
            <w:rPr>
              <w:rFonts w:ascii="Cambria Math" w:hAnsi="Cambria Math" w:cs="Times New Roman"/>
              <w:sz w:val="24"/>
              <w:szCs w:val="24"/>
            </w:rPr>
            <m:t xml:space="preserve">α= </m:t>
          </m:r>
          <m:f>
            <m:fPr>
              <m:ctrlPr>
                <w:rPr>
                  <w:rFonts w:ascii="Cambria Math" w:hAnsi="Cambria Math" w:cs="Times New Roman"/>
                  <w:i/>
                  <w:sz w:val="24"/>
                  <w:szCs w:val="24"/>
                </w:rPr>
              </m:ctrlPr>
            </m:fPr>
            <m:num>
              <m:r>
                <w:rPr>
                  <w:rFonts w:ascii="Cambria Math" w:hAnsi="Cambria Math" w:cs="Times New Roman"/>
                  <w:sz w:val="24"/>
                  <w:szCs w:val="24"/>
                </w:rPr>
                <m:t>0.02</m:t>
              </m:r>
            </m:num>
            <m:den>
              <m:r>
                <w:rPr>
                  <w:rFonts w:ascii="Cambria Math" w:hAnsi="Cambria Math" w:cs="Times New Roman"/>
                  <w:sz w:val="24"/>
                  <w:szCs w:val="24"/>
                </w:rPr>
                <m:t>1+</m:t>
              </m:r>
              <m:r>
                <m:rPr>
                  <m:sty m:val="p"/>
                </m:rPr>
                <w:rPr>
                  <w:rFonts w:ascii="Cambria Math" w:hAnsi="Cambria Math" w:cs="Times New Roman"/>
                  <w:sz w:val="24"/>
                  <w:szCs w:val="24"/>
                </w:rPr>
                <m:t>exp⁡[</m:t>
              </m:r>
              <m:r>
                <w:rPr>
                  <w:rFonts w:ascii="Cambria Math" w:hAnsi="Cambria Math" w:cs="Times New Roman"/>
                  <w:sz w:val="24"/>
                  <w:szCs w:val="24"/>
                </w:rPr>
                <m:t xml:space="preserve">111.11 </m:t>
              </m:r>
              <m:d>
                <m:dPr>
                  <m:ctrlPr>
                    <w:rPr>
                      <w:rFonts w:ascii="Cambria Math" w:hAnsi="Cambria Math" w:cs="Times New Roman"/>
                      <w:i/>
                      <w:sz w:val="24"/>
                      <w:szCs w:val="24"/>
                    </w:rPr>
                  </m:ctrlPr>
                </m:dPr>
                <m:e>
                  <m:r>
                    <w:rPr>
                      <w:rFonts w:ascii="Cambria Math" w:hAnsi="Cambria Math" w:cs="Times New Roman"/>
                      <w:sz w:val="24"/>
                      <w:szCs w:val="24"/>
                    </w:rPr>
                    <m:t>-V-0.022</m:t>
                  </m:r>
                </m:e>
              </m:d>
              <m:r>
                <w:rPr>
                  <w:rFonts w:ascii="Cambria Math" w:hAnsi="Cambria Math" w:cs="Times New Roman"/>
                  <w:sz w:val="24"/>
                  <w:szCs w:val="24"/>
                </w:rPr>
                <m:t>]</m:t>
              </m:r>
            </m:den>
          </m:f>
          <m:r>
            <w:rPr>
              <w:rFonts w:ascii="Cambria Math" w:hAnsi="Cambria Math" w:cs="Times New Roman"/>
              <w:sz w:val="24"/>
              <w:szCs w:val="24"/>
            </w:rPr>
            <m:t>,    β=0.01</m:t>
          </m:r>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begChr m:val="["/>
                  <m:endChr m:val="]"/>
                  <m:ctrlPr>
                    <w:rPr>
                      <w:rFonts w:ascii="Cambria Math" w:hAnsi="Cambria Math" w:cs="Times New Roman"/>
                      <w:i/>
                      <w:sz w:val="24"/>
                      <w:szCs w:val="24"/>
                    </w:rPr>
                  </m:ctrlPr>
                </m:dPr>
                <m:e>
                  <m:r>
                    <w:rPr>
                      <w:rFonts w:ascii="Cambria Math" w:hAnsi="Cambria Math" w:cs="Times New Roman"/>
                      <w:sz w:val="24"/>
                      <w:szCs w:val="24"/>
                    </w:rPr>
                    <m:t>55.56</m:t>
                  </m:r>
                  <m:d>
                    <m:dPr>
                      <m:ctrlPr>
                        <w:rPr>
                          <w:rFonts w:ascii="Cambria Math" w:hAnsi="Cambria Math" w:cs="Times New Roman"/>
                          <w:i/>
                          <w:sz w:val="24"/>
                          <w:szCs w:val="24"/>
                        </w:rPr>
                      </m:ctrlPr>
                    </m:dPr>
                    <m:e>
                      <m:r>
                        <w:rPr>
                          <w:rFonts w:ascii="Cambria Math" w:hAnsi="Cambria Math" w:cs="Times New Roman"/>
                          <w:sz w:val="24"/>
                          <w:szCs w:val="24"/>
                        </w:rPr>
                        <m:t>-V-0.043</m:t>
                      </m:r>
                    </m:e>
                  </m:d>
                </m:e>
              </m:d>
            </m:e>
          </m:func>
          <m:r>
            <w:rPr>
              <w:rFonts w:ascii="Cambria Math" w:hAnsi="Cambria Math" w:cs="Times New Roman"/>
              <w:sz w:val="24"/>
              <w:szCs w:val="24"/>
            </w:rPr>
            <m:t xml:space="preserve">               (S1) </m:t>
          </m:r>
        </m:oMath>
      </m:oMathPara>
    </w:p>
    <w:p w:rsidR="00CE0394" w:rsidRDefault="00CE0394" w:rsidP="00CE0394">
      <w:pPr>
        <w:rPr>
          <w:rFonts w:ascii="Times New Roman" w:hAnsi="Times New Roman" w:cs="Times New Roman"/>
          <w:sz w:val="24"/>
          <w:szCs w:val="24"/>
        </w:rPr>
      </w:pPr>
    </w:p>
    <w:p w:rsidR="00CE0394" w:rsidRPr="00AC7138" w:rsidRDefault="00CE0394" w:rsidP="00CE0394">
      <w:pPr>
        <w:rPr>
          <w:rFonts w:ascii="Times New Roman" w:hAnsi="Times New Roman" w:cs="Times New Roman"/>
          <w:sz w:val="24"/>
          <w:szCs w:val="24"/>
        </w:rPr>
      </w:pPr>
      <m:oMathPara>
        <m:oMathParaPr>
          <m:jc m:val="right"/>
        </m:oMathParaPr>
        <m:oMath>
          <m:r>
            <w:rPr>
              <w:rFonts w:ascii="Cambria Math" w:hAnsi="Cambria Math" w:cs="Times New Roman"/>
              <w:sz w:val="24"/>
              <w:szCs w:val="24"/>
            </w:rPr>
            <m:t xml:space="preserve">activation= </m:t>
          </m:r>
          <m:f>
            <m:fPr>
              <m:ctrlPr>
                <w:rPr>
                  <w:rFonts w:ascii="Cambria Math" w:hAnsi="Cambria Math"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α+ β</m:t>
              </m:r>
            </m:den>
          </m:f>
          <m:r>
            <w:rPr>
              <w:rFonts w:ascii="Cambria Math" w:hAnsi="Cambria Math" w:cs="Times New Roman"/>
              <w:sz w:val="24"/>
              <w:szCs w:val="24"/>
            </w:rPr>
            <m:t xml:space="preserve">,    time constant= </m:t>
          </m:r>
          <m:f>
            <m:fPr>
              <m:ctrlPr>
                <w:rPr>
                  <w:rFonts w:ascii="Cambria Math" w:hAnsi="Cambria Math" w:cs="Times New Roman"/>
                  <w:i/>
                  <w:sz w:val="24"/>
                  <w:szCs w:val="24"/>
                </w:rPr>
              </m:ctrlPr>
            </m:fPr>
            <m:num>
              <m:r>
                <w:rPr>
                  <w:rFonts w:ascii="Cambria Math" w:hAnsi="Cambria Math" w:cs="Times New Roman"/>
                  <w:sz w:val="24"/>
                  <w:szCs w:val="24"/>
                </w:rPr>
                <m:t>0.001</m:t>
              </m:r>
            </m:num>
            <m:den>
              <m:r>
                <w:rPr>
                  <w:rFonts w:ascii="Cambria Math" w:hAnsi="Cambria Math" w:cs="Times New Roman"/>
                  <w:sz w:val="24"/>
                  <w:szCs w:val="24"/>
                </w:rPr>
                <m:t>α+ β</m:t>
              </m:r>
            </m:den>
          </m:f>
          <m:r>
            <w:rPr>
              <w:rFonts w:ascii="Cambria Math" w:hAnsi="Cambria Math" w:cs="Times New Roman"/>
              <w:sz w:val="24"/>
              <w:szCs w:val="24"/>
            </w:rPr>
            <m:t xml:space="preserve">                                  (S2)</m:t>
          </m:r>
        </m:oMath>
      </m:oMathPara>
    </w:p>
    <w:p w:rsidR="00CE0394" w:rsidRDefault="00CE0394" w:rsidP="00CE0394">
      <w:pPr>
        <w:ind w:firstLine="720"/>
        <w:rPr>
          <w:rFonts w:ascii="Times New Roman" w:hAnsi="Times New Roman" w:cs="Times New Roman"/>
          <w:sz w:val="24"/>
          <w:szCs w:val="24"/>
        </w:rPr>
      </w:pPr>
    </w:p>
    <w:p w:rsidR="00CE0394" w:rsidRDefault="00CE0394" w:rsidP="00CE0394">
      <w:pPr>
        <w:jc w:val="center"/>
      </w:pPr>
      <w:r>
        <w:rPr>
          <w:noProof/>
        </w:rPr>
        <w:lastRenderedPageBreak/>
        <w:drawing>
          <wp:inline distT="0" distB="0" distL="0" distR="0" wp14:anchorId="1482EC49" wp14:editId="7DAF5E32">
            <wp:extent cx="5943600" cy="3170806"/>
            <wp:effectExtent l="19050" t="19050" r="1905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current_kinetics.tif"/>
                    <pic:cNvPicPr/>
                  </pic:nvPicPr>
                  <pic:blipFill rotWithShape="1">
                    <a:blip r:embed="rId6">
                      <a:extLst>
                        <a:ext uri="{28A0092B-C50C-407E-A947-70E740481C1C}">
                          <a14:useLocalDpi xmlns:a14="http://schemas.microsoft.com/office/drawing/2010/main" val="0"/>
                        </a:ext>
                      </a:extLst>
                    </a:blip>
                    <a:srcRect l="4928" t="5983" r="23421" b="26062"/>
                    <a:stretch/>
                  </pic:blipFill>
                  <pic:spPr bwMode="auto">
                    <a:xfrm>
                      <a:off x="0" y="0"/>
                      <a:ext cx="5943600" cy="31708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CE0394" w:rsidRDefault="00CE0394" w:rsidP="00CE0394">
      <w:pPr>
        <w:pStyle w:val="Caption"/>
        <w:rPr>
          <w:rFonts w:ascii="Times New Roman" w:hAnsi="Times New Roman" w:cs="Times New Roman"/>
          <w:sz w:val="24"/>
          <w:szCs w:val="24"/>
        </w:rPr>
      </w:pPr>
      <w:r>
        <w:t xml:space="preserve">Figure S1 (A) Activation function for </w:t>
      </w:r>
      <w:proofErr w:type="spellStart"/>
      <w:r>
        <w:t>Traub</w:t>
      </w:r>
      <w:proofErr w:type="spellEnd"/>
      <w:r>
        <w:t xml:space="preserve"> et al. 2003 M current (solid) and the M current used in the present study (dashed).    (B) Time constant function for </w:t>
      </w:r>
      <w:proofErr w:type="spellStart"/>
      <w:r>
        <w:t>Traub</w:t>
      </w:r>
      <w:proofErr w:type="spellEnd"/>
      <w:r>
        <w:t xml:space="preserve"> et al. 2003 M current (solid) and the M current used in the present study (dashed).</w:t>
      </w: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1.3 Passive electronic properties</w:t>
      </w: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tab/>
        <w:t>Passive electrical parameters for the soma and all dendritic compartments were: membrane resistivity, R</w:t>
      </w:r>
      <w:r w:rsidRPr="00BC05B3">
        <w:rPr>
          <w:rFonts w:ascii="Times New Roman" w:hAnsi="Times New Roman" w:cs="Times New Roman"/>
          <w:sz w:val="24"/>
          <w:szCs w:val="24"/>
          <w:vertAlign w:val="subscript"/>
        </w:rPr>
        <w:t>m</w:t>
      </w:r>
      <w:r>
        <w:rPr>
          <w:rFonts w:ascii="Times New Roman" w:hAnsi="Times New Roman" w:cs="Times New Roman"/>
          <w:sz w:val="24"/>
          <w:szCs w:val="24"/>
        </w:rPr>
        <w:t>= 5 Ω-m</w:t>
      </w:r>
      <w:r w:rsidRPr="00BC05B3">
        <w:rPr>
          <w:rFonts w:ascii="Times New Roman" w:hAnsi="Times New Roman" w:cs="Times New Roman"/>
          <w:sz w:val="24"/>
          <w:szCs w:val="24"/>
          <w:vertAlign w:val="superscript"/>
        </w:rPr>
        <w:t>2</w:t>
      </w:r>
      <w:r>
        <w:rPr>
          <w:rFonts w:ascii="Times New Roman" w:hAnsi="Times New Roman" w:cs="Times New Roman"/>
          <w:sz w:val="24"/>
          <w:szCs w:val="24"/>
        </w:rPr>
        <w:t xml:space="preserve">; internal resistivity, </w:t>
      </w:r>
      <w:proofErr w:type="spellStart"/>
      <w:proofErr w:type="gramStart"/>
      <w:r>
        <w:rPr>
          <w:rFonts w:ascii="Times New Roman" w:hAnsi="Times New Roman" w:cs="Times New Roman"/>
          <w:sz w:val="24"/>
          <w:szCs w:val="24"/>
        </w:rPr>
        <w:t>R</w:t>
      </w:r>
      <w:r w:rsidRPr="00BC05B3">
        <w:rPr>
          <w:rFonts w:ascii="Times New Roman" w:hAnsi="Times New Roman" w:cs="Times New Roman"/>
          <w:sz w:val="24"/>
          <w:szCs w:val="24"/>
          <w:vertAlign w:val="subscript"/>
        </w:rPr>
        <w:t>i</w:t>
      </w:r>
      <w:proofErr w:type="spellEnd"/>
      <w:proofErr w:type="gramEnd"/>
      <w:r>
        <w:rPr>
          <w:rFonts w:ascii="Times New Roman" w:hAnsi="Times New Roman" w:cs="Times New Roman"/>
          <w:sz w:val="24"/>
          <w:szCs w:val="24"/>
        </w:rPr>
        <w:t>= 1.5 Ω-m</w:t>
      </w:r>
      <w:r w:rsidRPr="00BC05B3">
        <w:rPr>
          <w:rFonts w:ascii="Times New Roman" w:hAnsi="Times New Roman" w:cs="Times New Roman"/>
          <w:sz w:val="24"/>
          <w:szCs w:val="24"/>
          <w:vertAlign w:val="superscript"/>
        </w:rPr>
        <w:t>2</w:t>
      </w:r>
      <w:r>
        <w:rPr>
          <w:rFonts w:ascii="Times New Roman" w:hAnsi="Times New Roman" w:cs="Times New Roman"/>
          <w:sz w:val="24"/>
          <w:szCs w:val="24"/>
        </w:rPr>
        <w:t>; and membrane capacitance density, C</w:t>
      </w:r>
      <w:r w:rsidRPr="00BC05B3">
        <w:rPr>
          <w:rFonts w:ascii="Times New Roman" w:hAnsi="Times New Roman" w:cs="Times New Roman"/>
          <w:sz w:val="24"/>
          <w:szCs w:val="24"/>
          <w:vertAlign w:val="subscript"/>
        </w:rPr>
        <w:t>m</w:t>
      </w:r>
      <w:r>
        <w:rPr>
          <w:rFonts w:ascii="Times New Roman" w:hAnsi="Times New Roman" w:cs="Times New Roman"/>
          <w:sz w:val="24"/>
          <w:szCs w:val="24"/>
        </w:rPr>
        <w:t>= 0.01 F/m</w:t>
      </w:r>
      <w:r w:rsidRPr="00BC05B3">
        <w:rPr>
          <w:rFonts w:ascii="Times New Roman" w:hAnsi="Times New Roman" w:cs="Times New Roman"/>
          <w:sz w:val="24"/>
          <w:szCs w:val="24"/>
          <w:vertAlign w:val="superscript"/>
        </w:rPr>
        <w:t>2</w:t>
      </w:r>
      <w:r>
        <w:rPr>
          <w:rFonts w:ascii="Times New Roman" w:hAnsi="Times New Roman" w:cs="Times New Roman"/>
          <w:sz w:val="24"/>
          <w:szCs w:val="24"/>
        </w:rPr>
        <w:t>.  The passive electrical parameters for the axon were: R</w:t>
      </w:r>
      <w:r w:rsidRPr="00BC05B3">
        <w:rPr>
          <w:rFonts w:ascii="Times New Roman" w:hAnsi="Times New Roman" w:cs="Times New Roman"/>
          <w:sz w:val="24"/>
          <w:szCs w:val="24"/>
          <w:vertAlign w:val="subscript"/>
        </w:rPr>
        <w:t>m</w:t>
      </w:r>
      <w:r>
        <w:rPr>
          <w:rFonts w:ascii="Times New Roman" w:hAnsi="Times New Roman" w:cs="Times New Roman"/>
          <w:sz w:val="24"/>
          <w:szCs w:val="24"/>
        </w:rPr>
        <w:t>= 0.1 Ω-m</w:t>
      </w:r>
      <w:r w:rsidRPr="00BC05B3">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w:t>
      </w:r>
      <w:r w:rsidRPr="00BC05B3">
        <w:rPr>
          <w:rFonts w:ascii="Times New Roman" w:hAnsi="Times New Roman" w:cs="Times New Roman"/>
          <w:sz w:val="24"/>
          <w:szCs w:val="24"/>
          <w:vertAlign w:val="subscript"/>
        </w:rPr>
        <w:t>i</w:t>
      </w:r>
      <w:proofErr w:type="spellEnd"/>
      <w:proofErr w:type="gramEnd"/>
      <w:r>
        <w:rPr>
          <w:rFonts w:ascii="Times New Roman" w:hAnsi="Times New Roman" w:cs="Times New Roman"/>
          <w:sz w:val="24"/>
          <w:szCs w:val="24"/>
        </w:rPr>
        <w:t>= 1.0 Ω-m</w:t>
      </w:r>
      <w:r w:rsidRPr="00BC05B3">
        <w:rPr>
          <w:rFonts w:ascii="Times New Roman" w:hAnsi="Times New Roman" w:cs="Times New Roman"/>
          <w:sz w:val="24"/>
          <w:szCs w:val="24"/>
          <w:vertAlign w:val="superscript"/>
        </w:rPr>
        <w:t>2</w:t>
      </w:r>
      <w:r>
        <w:rPr>
          <w:rFonts w:ascii="Times New Roman" w:hAnsi="Times New Roman" w:cs="Times New Roman"/>
          <w:sz w:val="24"/>
          <w:szCs w:val="24"/>
        </w:rPr>
        <w:t>; and C</w:t>
      </w:r>
      <w:r w:rsidRPr="00BC05B3">
        <w:rPr>
          <w:rFonts w:ascii="Times New Roman" w:hAnsi="Times New Roman" w:cs="Times New Roman"/>
          <w:sz w:val="24"/>
          <w:szCs w:val="24"/>
          <w:vertAlign w:val="subscript"/>
        </w:rPr>
        <w:t>m</w:t>
      </w:r>
      <w:r>
        <w:rPr>
          <w:rFonts w:ascii="Times New Roman" w:hAnsi="Times New Roman" w:cs="Times New Roman"/>
          <w:sz w:val="24"/>
          <w:szCs w:val="24"/>
        </w:rPr>
        <w:t>= 0.009 F/m</w:t>
      </w:r>
      <w:r w:rsidRPr="00BC05B3">
        <w:rPr>
          <w:rFonts w:ascii="Times New Roman" w:hAnsi="Times New Roman" w:cs="Times New Roman"/>
          <w:sz w:val="24"/>
          <w:szCs w:val="24"/>
          <w:vertAlign w:val="superscript"/>
        </w:rPr>
        <w:t>2</w:t>
      </w:r>
      <w:r>
        <w:rPr>
          <w:rFonts w:ascii="Times New Roman" w:hAnsi="Times New Roman" w:cs="Times New Roman"/>
          <w:sz w:val="24"/>
          <w:szCs w:val="24"/>
        </w:rPr>
        <w:t>.  The leak reversal potential for the model was -90 mV.  The temporal resolution of the simulations was 10</w:t>
      </w:r>
      <w:r w:rsidRPr="00646AF5">
        <w:rPr>
          <w:rFonts w:ascii="Times New Roman" w:hAnsi="Times New Roman" w:cs="Times New Roman"/>
          <w:sz w:val="24"/>
          <w:szCs w:val="24"/>
          <w:vertAlign w:val="superscript"/>
        </w:rPr>
        <w:t>-4</w:t>
      </w:r>
      <w:r>
        <w:rPr>
          <w:rFonts w:ascii="Times New Roman" w:hAnsi="Times New Roman" w:cs="Times New Roman"/>
          <w:sz w:val="24"/>
          <w:szCs w:val="24"/>
        </w:rPr>
        <w:t xml:space="preserve"> s.</w:t>
      </w:r>
    </w:p>
    <w:p w:rsidR="00CE0394" w:rsidRDefault="00CE0394" w:rsidP="00CE0394">
      <w:pPr>
        <w:rPr>
          <w:rFonts w:ascii="Times New Roman" w:hAnsi="Times New Roman" w:cs="Times New Roman"/>
          <w:sz w:val="24"/>
          <w:szCs w:val="24"/>
        </w:rPr>
      </w:pPr>
    </w:p>
    <w:p w:rsidR="00CE0394" w:rsidRPr="0087357B" w:rsidRDefault="00CE0394" w:rsidP="00CE0394">
      <w:pPr>
        <w:pStyle w:val="ListParagraph"/>
        <w:numPr>
          <w:ilvl w:val="1"/>
          <w:numId w:val="1"/>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87357B">
        <w:rPr>
          <w:rFonts w:ascii="Times New Roman" w:eastAsiaTheme="minorEastAsia" w:hAnsi="Times New Roman" w:cs="Times New Roman"/>
          <w:sz w:val="24"/>
          <w:szCs w:val="24"/>
        </w:rPr>
        <w:t>EPSP-like current injection to dis</w:t>
      </w:r>
      <w:r>
        <w:rPr>
          <w:rFonts w:ascii="Times New Roman" w:eastAsiaTheme="minorEastAsia" w:hAnsi="Times New Roman" w:cs="Times New Roman"/>
          <w:sz w:val="24"/>
          <w:szCs w:val="24"/>
        </w:rPr>
        <w:t>tal apical dendrite compartment</w:t>
      </w:r>
    </w:p>
    <w:p w:rsidR="00CE0394" w:rsidRPr="00205724" w:rsidRDefault="00CE0394" w:rsidP="00CE0394">
      <w:pPr>
        <w:rPr>
          <w:rFonts w:ascii="Times New Roman" w:hAnsi="Times New Roman" w:cs="Times New Roman"/>
          <w:sz w:val="24"/>
          <w:szCs w:val="24"/>
        </w:rPr>
      </w:pPr>
      <m:oMathPara>
        <m:oMathParaPr>
          <m:jc m:val="right"/>
        </m:oMathParaPr>
        <m:oMath>
          <m:r>
            <w:rPr>
              <w:rFonts w:ascii="Cambria Math" w:hAnsi="Cambria Math" w:cs="Times New Roman"/>
              <w:sz w:val="24"/>
              <w:szCs w:val="24"/>
            </w:rPr>
            <m:t xml:space="preserve">dist ap dend </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inject</m:t>
              </m:r>
            </m:sub>
          </m:sSub>
          <m:r>
            <w:rPr>
              <w:rFonts w:ascii="Cambria Math" w:hAnsi="Cambria Math" w:cs="Times New Roman"/>
              <w:sz w:val="24"/>
              <w:szCs w:val="24"/>
            </w:rPr>
            <m:t>= -</m:t>
          </m:r>
          <m:sSup>
            <m:sSupPr>
              <m:ctrlPr>
                <w:rPr>
                  <w:rFonts w:ascii="Cambria Math" w:hAnsi="Cambria Math" w:cs="Times New Roman"/>
                  <w:i/>
                  <w:sz w:val="24"/>
                  <w:szCs w:val="24"/>
                </w:rPr>
              </m:ctrlPr>
            </m:sSupPr>
            <m:e>
              <m:r>
                <w:rPr>
                  <w:rFonts w:ascii="Cambria Math" w:hAnsi="Cambria Math" w:cs="Times New Roman"/>
                  <w:sz w:val="24"/>
                  <w:szCs w:val="24"/>
                </w:rPr>
                <m:t>3.07*10</m:t>
              </m:r>
            </m:e>
            <m:sup>
              <m:r>
                <w:rPr>
                  <w:rFonts w:ascii="Cambria Math" w:hAnsi="Cambria Math" w:cs="Times New Roman"/>
                  <w:sz w:val="24"/>
                  <w:szCs w:val="24"/>
                </w:rPr>
                <m:t>-9</m:t>
              </m:r>
            </m:sup>
          </m:sSup>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0.002</m:t>
                      </m:r>
                    </m:den>
                  </m:f>
                </m:e>
              </m:d>
            </m:e>
          </m:func>
          <m: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0.005</m:t>
                      </m:r>
                    </m:den>
                  </m:f>
                </m:e>
              </m:d>
            </m:e>
          </m:func>
          <m:r>
            <w:rPr>
              <w:rFonts w:ascii="Cambria Math" w:hAnsi="Cambria Math" w:cs="Times New Roman"/>
              <w:sz w:val="24"/>
              <w:szCs w:val="24"/>
            </w:rPr>
            <m:t>]                                (S3)</m:t>
          </m:r>
        </m:oMath>
      </m:oMathPara>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r>
        <w:rPr>
          <w:rFonts w:ascii="Times New Roman" w:hAnsi="Times New Roman" w:cs="Times New Roman"/>
          <w:sz w:val="24"/>
          <w:szCs w:val="24"/>
        </w:rPr>
        <w:lastRenderedPageBreak/>
        <w:t>2. Supplementary resonance analysis</w:t>
      </w:r>
    </w:p>
    <w:p w:rsidR="00CE0394" w:rsidRDefault="00CE0394" w:rsidP="00CE0394">
      <w:pPr>
        <w:keepNext/>
        <w:jc w:val="center"/>
      </w:pPr>
      <w:r>
        <w:rPr>
          <w:noProof/>
        </w:rPr>
        <w:drawing>
          <wp:inline distT="0" distB="0" distL="0" distR="0" wp14:anchorId="4BBD8E69" wp14:editId="420D41DD">
            <wp:extent cx="5564981" cy="3035935"/>
            <wp:effectExtent l="19050" t="19050" r="1714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pedance_curve_for_HB_calc_example.tif"/>
                    <pic:cNvPicPr/>
                  </pic:nvPicPr>
                  <pic:blipFill rotWithShape="1">
                    <a:blip r:embed="rId7">
                      <a:extLst>
                        <a:ext uri="{28A0092B-C50C-407E-A947-70E740481C1C}">
                          <a14:useLocalDpi xmlns:a14="http://schemas.microsoft.com/office/drawing/2010/main" val="0"/>
                        </a:ext>
                      </a:extLst>
                    </a:blip>
                    <a:srcRect l="5168" t="7265" r="1185" b="1910"/>
                    <a:stretch/>
                  </pic:blipFill>
                  <pic:spPr bwMode="auto">
                    <a:xfrm>
                      <a:off x="0" y="0"/>
                      <a:ext cx="5566024" cy="3036504"/>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CE0394" w:rsidRDefault="00CE0394" w:rsidP="00CE0394">
      <w:pPr>
        <w:pStyle w:val="Caption"/>
        <w:jc w:val="center"/>
      </w:pPr>
      <w:r>
        <w:t>Figure S2 Illustration of half bandwidth (HB) calculation.</w:t>
      </w: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Default="00CE0394" w:rsidP="00CE0394">
      <w:pPr>
        <w:rPr>
          <w:rFonts w:ascii="Times New Roman" w:hAnsi="Times New Roman" w:cs="Times New Roman"/>
          <w:sz w:val="24"/>
          <w:szCs w:val="24"/>
        </w:rPr>
      </w:pPr>
    </w:p>
    <w:p w:rsidR="00CE0394" w:rsidRPr="003B008D" w:rsidRDefault="00CE0394" w:rsidP="00CE0394">
      <w:pPr>
        <w:pStyle w:val="ListParagraph"/>
        <w:numPr>
          <w:ilvl w:val="0"/>
          <w:numId w:val="2"/>
        </w:numPr>
        <w:ind w:left="360"/>
        <w:rPr>
          <w:rFonts w:ascii="Times New Roman" w:hAnsi="Times New Roman" w:cs="Times New Roman"/>
          <w:sz w:val="24"/>
          <w:szCs w:val="24"/>
        </w:rPr>
      </w:pPr>
      <w:r w:rsidRPr="003B008D">
        <w:rPr>
          <w:rFonts w:ascii="Times New Roman" w:hAnsi="Times New Roman" w:cs="Times New Roman"/>
          <w:sz w:val="24"/>
          <w:szCs w:val="24"/>
        </w:rPr>
        <w:lastRenderedPageBreak/>
        <w:t>Supplementary results</w:t>
      </w:r>
    </w:p>
    <w:p w:rsidR="00CE0394" w:rsidRPr="003B008D" w:rsidRDefault="00CE0394" w:rsidP="00CE0394">
      <w:pPr>
        <w:pStyle w:val="ListParagraph"/>
        <w:ind w:left="360"/>
        <w:rPr>
          <w:rFonts w:ascii="Times New Roman" w:hAnsi="Times New Roman" w:cs="Times New Roman"/>
          <w:sz w:val="24"/>
          <w:szCs w:val="24"/>
        </w:rPr>
      </w:pPr>
    </w:p>
    <w:p w:rsidR="00CE0394" w:rsidRDefault="00CE0394" w:rsidP="00CE0394">
      <w:pPr>
        <w:keepNext/>
      </w:pPr>
      <w:r>
        <w:rPr>
          <w:noProof/>
        </w:rPr>
        <w:drawing>
          <wp:inline distT="0" distB="0" distL="0" distR="0" wp14:anchorId="11A48E75" wp14:editId="70F9E9CE">
            <wp:extent cx="5943600" cy="33432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put_with_HZ.tif"/>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ysClr val="windowText" lastClr="000000"/>
                      </a:solidFill>
                    </a:ln>
                  </pic:spPr>
                </pic:pic>
              </a:graphicData>
            </a:graphic>
          </wp:inline>
        </w:drawing>
      </w:r>
    </w:p>
    <w:p w:rsidR="00CE0394" w:rsidRDefault="00CE0394" w:rsidP="00CE0394">
      <w:pPr>
        <w:pStyle w:val="Caption"/>
      </w:pPr>
      <w:r>
        <w:t xml:space="preserve">Figure </w:t>
      </w:r>
      <w:proofErr w:type="gramStart"/>
      <w:r>
        <w:t>S3  Membrane</w:t>
      </w:r>
      <w:proofErr w:type="gramEnd"/>
      <w:r>
        <w:t xml:space="preserve"> potential oscillations at -70 mV, -40 mV, and -20 mV for the compartments used to perform input resonance analysis on model with hot zone.  Chirp function amplitude given in parentheses below compartment name on the left.  Scale bar lower left.</w:t>
      </w:r>
    </w:p>
    <w:p w:rsidR="00CE0394" w:rsidRDefault="00CE0394" w:rsidP="00CE0394"/>
    <w:p w:rsidR="00CE0394" w:rsidRDefault="00CE0394" w:rsidP="00CE0394">
      <w:pPr>
        <w:keepNext/>
      </w:pPr>
      <w:r>
        <w:rPr>
          <w:noProof/>
        </w:rPr>
        <w:lastRenderedPageBreak/>
        <w:drawing>
          <wp:inline distT="0" distB="0" distL="0" distR="0" wp14:anchorId="3E8B72BB" wp14:editId="06BD432F">
            <wp:extent cx="5943600" cy="334327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nsfer_with_HZ.tif"/>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ysClr val="windowText" lastClr="000000"/>
                      </a:solidFill>
                    </a:ln>
                  </pic:spPr>
                </pic:pic>
              </a:graphicData>
            </a:graphic>
          </wp:inline>
        </w:drawing>
      </w:r>
    </w:p>
    <w:p w:rsidR="00CE0394" w:rsidRDefault="00CE0394" w:rsidP="00CE0394">
      <w:pPr>
        <w:pStyle w:val="Caption"/>
      </w:pPr>
      <w:r>
        <w:t xml:space="preserve">Figure </w:t>
      </w:r>
      <w:proofErr w:type="gramStart"/>
      <w:r>
        <w:t>S4  Membrane</w:t>
      </w:r>
      <w:proofErr w:type="gramEnd"/>
      <w:r>
        <w:t xml:space="preserve"> potential oscillations at -70 mV, -40 mV, and -20 mV for the compartments used to perform transfer resonance analysis on model with hot zone.  Transfer direction indicated on the left.  Scale bar lower left.</w:t>
      </w:r>
    </w:p>
    <w:p w:rsidR="00CE0394" w:rsidRPr="003B008D" w:rsidRDefault="00CE0394" w:rsidP="00CE0394"/>
    <w:p w:rsidR="00CE0394" w:rsidRDefault="00CE0394" w:rsidP="00CE0394">
      <w:pPr>
        <w:keepNext/>
      </w:pPr>
      <w:r>
        <w:rPr>
          <w:noProof/>
        </w:rPr>
        <w:drawing>
          <wp:inline distT="0" distB="0" distL="0" distR="0" wp14:anchorId="25C70DFC" wp14:editId="607040F4">
            <wp:extent cx="5943600" cy="3173325"/>
            <wp:effectExtent l="19050" t="19050" r="1905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esults_input_no_HZ_2.tif"/>
                    <pic:cNvPicPr/>
                  </pic:nvPicPr>
                  <pic:blipFill rotWithShape="1">
                    <a:blip r:embed="rId10">
                      <a:extLst>
                        <a:ext uri="{28A0092B-C50C-407E-A947-70E740481C1C}">
                          <a14:useLocalDpi xmlns:a14="http://schemas.microsoft.com/office/drawing/2010/main" val="0"/>
                        </a:ext>
                      </a:extLst>
                    </a:blip>
                    <a:srcRect l="7934" t="9615" r="22704" b="24548"/>
                    <a:stretch/>
                  </pic:blipFill>
                  <pic:spPr bwMode="auto">
                    <a:xfrm>
                      <a:off x="0" y="0"/>
                      <a:ext cx="5943600" cy="31733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CE0394" w:rsidRDefault="00CE0394" w:rsidP="00CE0394">
      <w:pPr>
        <w:pStyle w:val="Caption"/>
      </w:pPr>
      <w:r>
        <w:t>Figure S5 Input resonance analysis performed on model neuron without hot zone.  (A) Input resonance quality (Q/D), (B) input resonant frequency, and (C) Input resonant impedance, versus initial compartment membrane potential.</w:t>
      </w:r>
    </w:p>
    <w:p w:rsidR="00CE0394" w:rsidRPr="007B5949" w:rsidRDefault="00CE0394" w:rsidP="00CE0394"/>
    <w:p w:rsidR="00CE0394" w:rsidRDefault="00CE0394" w:rsidP="00CE0394">
      <w:pPr>
        <w:keepNext/>
      </w:pPr>
      <w:r>
        <w:rPr>
          <w:noProof/>
        </w:rPr>
        <w:lastRenderedPageBreak/>
        <w:drawing>
          <wp:inline distT="0" distB="0" distL="0" distR="0" wp14:anchorId="4D78CAA0" wp14:editId="2E022AE0">
            <wp:extent cx="5943600" cy="33432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put_without_HZ.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ysClr val="windowText" lastClr="000000"/>
                      </a:solidFill>
                    </a:ln>
                  </pic:spPr>
                </pic:pic>
              </a:graphicData>
            </a:graphic>
          </wp:inline>
        </w:drawing>
      </w:r>
    </w:p>
    <w:p w:rsidR="00CE0394" w:rsidRDefault="00CE0394" w:rsidP="00CE0394">
      <w:pPr>
        <w:pStyle w:val="Caption"/>
      </w:pPr>
      <w:r>
        <w:t xml:space="preserve">Figure </w:t>
      </w:r>
      <w:proofErr w:type="gramStart"/>
      <w:r>
        <w:t>S6  Membrane</w:t>
      </w:r>
      <w:proofErr w:type="gramEnd"/>
      <w:r>
        <w:t xml:space="preserve"> potential oscillations at -70 mV, -40 mV, and -20 mV for the compartments used to perform input resonance analysis on model without hot zone.  Scale bar lower left.</w:t>
      </w:r>
    </w:p>
    <w:p w:rsidR="00CE0394" w:rsidRPr="005D12DB" w:rsidRDefault="00CE0394" w:rsidP="00CE0394"/>
    <w:p w:rsidR="00CE0394" w:rsidRDefault="00CE0394" w:rsidP="00CE0394">
      <w:pPr>
        <w:keepNext/>
        <w:jc w:val="center"/>
      </w:pPr>
      <w:r>
        <w:rPr>
          <w:noProof/>
        </w:rPr>
        <w:drawing>
          <wp:inline distT="0" distB="0" distL="0" distR="0" wp14:anchorId="2433A98B" wp14:editId="6CFC0EFD">
            <wp:extent cx="5943600" cy="3178749"/>
            <wp:effectExtent l="19050" t="19050" r="19050" b="222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ults_transfer_soma_v_dist_ap_no_HZ.tif"/>
                    <pic:cNvPicPr/>
                  </pic:nvPicPr>
                  <pic:blipFill rotWithShape="1">
                    <a:blip r:embed="rId12">
                      <a:extLst>
                        <a:ext uri="{28A0092B-C50C-407E-A947-70E740481C1C}">
                          <a14:useLocalDpi xmlns:a14="http://schemas.microsoft.com/office/drawing/2010/main" val="0"/>
                        </a:ext>
                      </a:extLst>
                    </a:blip>
                    <a:srcRect l="8052" t="9402" r="22715" b="24772"/>
                    <a:stretch/>
                  </pic:blipFill>
                  <pic:spPr bwMode="auto">
                    <a:xfrm>
                      <a:off x="0" y="0"/>
                      <a:ext cx="5943600" cy="317874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CE0394" w:rsidRDefault="00CE0394" w:rsidP="00CE0394">
      <w:pPr>
        <w:pStyle w:val="Caption"/>
        <w:rPr>
          <w:rFonts w:ascii="Times New Roman" w:hAnsi="Times New Roman" w:cs="Times New Roman"/>
          <w:sz w:val="24"/>
          <w:szCs w:val="24"/>
        </w:rPr>
      </w:pPr>
      <w:r>
        <w:t xml:space="preserve">Figure S7 Transfer resonance analysis for model neuron without hot zone (soma, distal apical dendrite, </w:t>
      </w:r>
      <w:proofErr w:type="gramStart"/>
      <w:r>
        <w:t>apical</w:t>
      </w:r>
      <w:proofErr w:type="gramEnd"/>
      <w:r>
        <w:t xml:space="preserve"> tuft).  (A) Transfer resonance quality (Q/D), (B) transfer resonant frequency, and (C) transfer resonant impedance, versus initial compartment membrane potential.  In the legend, the membrane potential of the transfer compartment is given in parentheses next to the name of the injection compartment.</w:t>
      </w:r>
    </w:p>
    <w:p w:rsidR="00CE0394" w:rsidRDefault="00CE0394" w:rsidP="00CE0394">
      <w:pPr>
        <w:jc w:val="center"/>
        <w:rPr>
          <w:rFonts w:ascii="Times New Roman" w:hAnsi="Times New Roman" w:cs="Times New Roman"/>
          <w:sz w:val="24"/>
          <w:szCs w:val="24"/>
        </w:rPr>
      </w:pPr>
    </w:p>
    <w:p w:rsidR="00CE0394" w:rsidRDefault="00CE0394" w:rsidP="00CE0394">
      <w:pPr>
        <w:keepNext/>
        <w:jc w:val="center"/>
      </w:pPr>
      <w:r>
        <w:rPr>
          <w:noProof/>
        </w:rPr>
        <w:drawing>
          <wp:inline distT="0" distB="0" distL="0" distR="0" wp14:anchorId="1CD7E36B" wp14:editId="213C3BBE">
            <wp:extent cx="5943600" cy="3184177"/>
            <wp:effectExtent l="19050" t="19050" r="1905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ults_transfer_rest_of_dendrites2_no_HZ.tif"/>
                    <pic:cNvPicPr/>
                  </pic:nvPicPr>
                  <pic:blipFill rotWithShape="1">
                    <a:blip r:embed="rId13">
                      <a:extLst>
                        <a:ext uri="{28A0092B-C50C-407E-A947-70E740481C1C}">
                          <a14:useLocalDpi xmlns:a14="http://schemas.microsoft.com/office/drawing/2010/main" val="0"/>
                        </a:ext>
                      </a:extLst>
                    </a:blip>
                    <a:srcRect l="8174" t="9615" r="22700" b="24548"/>
                    <a:stretch/>
                  </pic:blipFill>
                  <pic:spPr bwMode="auto">
                    <a:xfrm>
                      <a:off x="0" y="0"/>
                      <a:ext cx="5943600" cy="318417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CE0394" w:rsidRDefault="00CE0394" w:rsidP="00CE0394">
      <w:pPr>
        <w:pStyle w:val="Caption"/>
        <w:rPr>
          <w:rFonts w:ascii="Times New Roman" w:hAnsi="Times New Roman" w:cs="Times New Roman"/>
          <w:sz w:val="24"/>
          <w:szCs w:val="24"/>
        </w:rPr>
      </w:pPr>
      <w:r>
        <w:t>Figure S8 Transfer resonance analysis for model neuron without hot zone (basal dendrite and middle apical dendrite).  (A) Transfer resonance quality (Q/D), (B) transfer resonant frequency, and (C) transfer resonant impedance, versus initial compartment membrane potential.  In the legend, the membrane potential of the transfer compartment is given in parentheses next to the name of the injection compartment.</w:t>
      </w:r>
    </w:p>
    <w:p w:rsidR="00CE0394" w:rsidRDefault="00CE0394" w:rsidP="00CE0394">
      <w:pPr>
        <w:keepNext/>
      </w:pPr>
    </w:p>
    <w:p w:rsidR="00CE0394" w:rsidRDefault="00CE0394" w:rsidP="00CE0394">
      <w:pPr>
        <w:keepNext/>
      </w:pPr>
      <w:r>
        <w:rPr>
          <w:noProof/>
        </w:rPr>
        <w:drawing>
          <wp:inline distT="0" distB="0" distL="0" distR="0" wp14:anchorId="1ECCA086" wp14:editId="2B36E682">
            <wp:extent cx="5943600" cy="334327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fer_without_HZ.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a:ln>
                      <a:solidFill>
                        <a:sysClr val="windowText" lastClr="000000"/>
                      </a:solidFill>
                    </a:ln>
                  </pic:spPr>
                </pic:pic>
              </a:graphicData>
            </a:graphic>
          </wp:inline>
        </w:drawing>
      </w:r>
    </w:p>
    <w:p w:rsidR="00CE0394" w:rsidRDefault="00CE0394" w:rsidP="00CE0394">
      <w:pPr>
        <w:pStyle w:val="Caption"/>
      </w:pPr>
      <w:r>
        <w:t xml:space="preserve">Figure </w:t>
      </w:r>
      <w:proofErr w:type="gramStart"/>
      <w:r>
        <w:t>S9  Membrane</w:t>
      </w:r>
      <w:proofErr w:type="gramEnd"/>
      <w:r>
        <w:t xml:space="preserve"> potential oscillations at -70 mV, -40 mV, and -20 mV for the compartments used to perform transfer resonance analysis on model without hot zone.  Transfer direction indicated on the left.  Scale bar lower left.</w:t>
      </w:r>
    </w:p>
    <w:p w:rsidR="00CE0394" w:rsidRPr="007B5949" w:rsidRDefault="00CE0394" w:rsidP="00CE0394"/>
    <w:p w:rsidR="00CE0394" w:rsidRDefault="00CE0394" w:rsidP="00CE0394">
      <w:pPr>
        <w:keepNext/>
        <w:jc w:val="center"/>
      </w:pPr>
      <w:r>
        <w:rPr>
          <w:noProof/>
        </w:rPr>
        <w:drawing>
          <wp:inline distT="0" distB="0" distL="0" distR="0" wp14:anchorId="7435DB0C" wp14:editId="512142AF">
            <wp:extent cx="5943600" cy="291115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B calculations.tif"/>
                    <pic:cNvPicPr/>
                  </pic:nvPicPr>
                  <pic:blipFill rotWithShape="1">
                    <a:blip r:embed="rId15">
                      <a:extLst>
                        <a:ext uri="{28A0092B-C50C-407E-A947-70E740481C1C}">
                          <a14:useLocalDpi xmlns:a14="http://schemas.microsoft.com/office/drawing/2010/main" val="0"/>
                        </a:ext>
                      </a:extLst>
                    </a:blip>
                    <a:srcRect l="14102" t="15764" r="12607" b="20418"/>
                    <a:stretch/>
                  </pic:blipFill>
                  <pic:spPr bwMode="auto">
                    <a:xfrm>
                      <a:off x="0" y="0"/>
                      <a:ext cx="5943600" cy="2911151"/>
                    </a:xfrm>
                    <a:prstGeom prst="rect">
                      <a:avLst/>
                    </a:prstGeom>
                    <a:ln>
                      <a:noFill/>
                    </a:ln>
                    <a:extLst>
                      <a:ext uri="{53640926-AAD7-44D8-BBD7-CCE9431645EC}">
                        <a14:shadowObscured xmlns:a14="http://schemas.microsoft.com/office/drawing/2010/main"/>
                      </a:ext>
                    </a:extLst>
                  </pic:spPr>
                </pic:pic>
              </a:graphicData>
            </a:graphic>
          </wp:inline>
        </w:drawing>
      </w:r>
    </w:p>
    <w:p w:rsidR="00CE0394" w:rsidRDefault="00CE0394" w:rsidP="00CE0394">
      <w:pPr>
        <w:pStyle w:val="Caption"/>
      </w:pPr>
      <w:r>
        <w:t xml:space="preserve">Table </w:t>
      </w:r>
      <w:proofErr w:type="gramStart"/>
      <w:r>
        <w:t>S2  HB</w:t>
      </w:r>
      <w:proofErr w:type="gramEnd"/>
      <w:r>
        <w:t xml:space="preserve"> (in Hz) calculated for the scenarios presented in Figures S3, S4, S6, and S9.  (A) HB for Figure S4.  (B) HB for Figure S5. (C) HB for Figure S6.  (D) HB for Figure S7.  Note that the resonance analysis for basal dendrite and soma was performed on the -80 mV to -30 mV range.  Therefore, there are no entries for -20 mV for these compartments.  An entry of “</w:t>
      </w:r>
      <w:proofErr w:type="spellStart"/>
      <w:r>
        <w:t>na</w:t>
      </w:r>
      <w:proofErr w:type="spellEnd"/>
      <w:r>
        <w:t xml:space="preserve">” indicates that HB is so wide that it is not well-defined on the interval 1 Hz to 40 Hz.   </w:t>
      </w:r>
    </w:p>
    <w:p w:rsidR="00CE0394" w:rsidRDefault="00CE0394" w:rsidP="00CE0394">
      <w:pPr>
        <w:rPr>
          <w:rFonts w:ascii="Times New Roman" w:hAnsi="Times New Roman" w:cs="Times New Roman"/>
          <w:sz w:val="24"/>
          <w:szCs w:val="24"/>
        </w:rPr>
      </w:pPr>
      <w:r w:rsidRPr="006E61C3">
        <w:rPr>
          <w:rFonts w:ascii="Times New Roman" w:hAnsi="Times New Roman" w:cs="Times New Roman"/>
          <w:sz w:val="24"/>
          <w:szCs w:val="24"/>
        </w:rPr>
        <w:lastRenderedPageBreak/>
        <w:t>4</w:t>
      </w:r>
      <w:r>
        <w:rPr>
          <w:rFonts w:ascii="Times New Roman" w:hAnsi="Times New Roman" w:cs="Times New Roman"/>
          <w:sz w:val="24"/>
          <w:szCs w:val="24"/>
        </w:rPr>
        <w:t>.</w:t>
      </w:r>
      <w:r w:rsidRPr="006E61C3">
        <w:rPr>
          <w:rFonts w:ascii="Times New Roman" w:hAnsi="Times New Roman" w:cs="Times New Roman"/>
          <w:sz w:val="24"/>
          <w:szCs w:val="24"/>
        </w:rPr>
        <w:t xml:space="preserve"> Supplementary</w:t>
      </w:r>
      <w:r>
        <w:rPr>
          <w:rFonts w:ascii="Times New Roman" w:hAnsi="Times New Roman" w:cs="Times New Roman"/>
          <w:sz w:val="24"/>
          <w:szCs w:val="24"/>
        </w:rPr>
        <w:t xml:space="preserve"> discussion </w:t>
      </w:r>
      <w:r w:rsidRPr="006E61C3">
        <w:rPr>
          <w:rFonts w:ascii="Times New Roman" w:hAnsi="Times New Roman" w:cs="Times New Roman"/>
          <w:sz w:val="24"/>
          <w:szCs w:val="24"/>
        </w:rPr>
        <w:t xml:space="preserve"> </w:t>
      </w:r>
    </w:p>
    <w:p w:rsidR="00CE0394" w:rsidRDefault="00CE0394" w:rsidP="00CE0394">
      <w:pPr>
        <w:keepNext/>
        <w:jc w:val="center"/>
      </w:pPr>
      <w:r>
        <w:rPr>
          <w:noProof/>
        </w:rPr>
        <w:drawing>
          <wp:inline distT="0" distB="0" distL="0" distR="0" wp14:anchorId="04082000" wp14:editId="46C04D1B">
            <wp:extent cx="5943600" cy="248770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w_thesh_Ca_conductance.tif"/>
                    <pic:cNvPicPr/>
                  </pic:nvPicPr>
                  <pic:blipFill rotWithShape="1">
                    <a:blip r:embed="rId16">
                      <a:extLst>
                        <a:ext uri="{28A0092B-C50C-407E-A947-70E740481C1C}">
                          <a14:useLocalDpi xmlns:a14="http://schemas.microsoft.com/office/drawing/2010/main" val="0"/>
                        </a:ext>
                      </a:extLst>
                    </a:blip>
                    <a:srcRect l="7372" t="20513" r="21795" b="26781"/>
                    <a:stretch/>
                  </pic:blipFill>
                  <pic:spPr bwMode="auto">
                    <a:xfrm>
                      <a:off x="0" y="0"/>
                      <a:ext cx="5943600" cy="2487706"/>
                    </a:xfrm>
                    <a:prstGeom prst="rect">
                      <a:avLst/>
                    </a:prstGeom>
                    <a:ln>
                      <a:noFill/>
                    </a:ln>
                    <a:extLst>
                      <a:ext uri="{53640926-AAD7-44D8-BBD7-CCE9431645EC}">
                        <a14:shadowObscured xmlns:a14="http://schemas.microsoft.com/office/drawing/2010/main"/>
                      </a:ext>
                    </a:extLst>
                  </pic:spPr>
                </pic:pic>
              </a:graphicData>
            </a:graphic>
          </wp:inline>
        </w:drawing>
      </w:r>
    </w:p>
    <w:p w:rsidR="00CE0394" w:rsidRDefault="00CE0394" w:rsidP="00CE0394">
      <w:pPr>
        <w:pStyle w:val="Caption"/>
      </w:pPr>
      <w:r>
        <w:t xml:space="preserve">Figure S10 Activation and inactivation functions for low-threshold calcium conductance.  The inactivation function generates a low frequency resonance that is amplified by the activation function.  This resonant feature occurs due to a “window” current established by the overlap of the activation and inactivation functions, centered at -70 mV (shaded region).  </w:t>
      </w:r>
    </w:p>
    <w:p w:rsidR="00CE0394" w:rsidRDefault="00CE0394" w:rsidP="00CE0394"/>
    <w:p w:rsidR="00CE0394" w:rsidRDefault="00CE0394" w:rsidP="00CE0394">
      <w:pPr>
        <w:keepNext/>
        <w:jc w:val="center"/>
      </w:pPr>
      <w:r>
        <w:rPr>
          <w:noProof/>
        </w:rPr>
        <w:drawing>
          <wp:inline distT="0" distB="0" distL="0" distR="0" wp14:anchorId="5A5AEBFC" wp14:editId="6D1C00F4">
            <wp:extent cx="5943600" cy="3234673"/>
            <wp:effectExtent l="19050" t="19050" r="1905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_high_act_and_timeconstant.tif"/>
                    <pic:cNvPicPr/>
                  </pic:nvPicPr>
                  <pic:blipFill rotWithShape="1">
                    <a:blip r:embed="rId17">
                      <a:extLst>
                        <a:ext uri="{28A0092B-C50C-407E-A947-70E740481C1C}">
                          <a14:useLocalDpi xmlns:a14="http://schemas.microsoft.com/office/drawing/2010/main" val="0"/>
                        </a:ext>
                      </a:extLst>
                    </a:blip>
                    <a:srcRect l="5235" t="6458" r="23505" b="24596"/>
                    <a:stretch/>
                  </pic:blipFill>
                  <pic:spPr bwMode="auto">
                    <a:xfrm>
                      <a:off x="0" y="0"/>
                      <a:ext cx="5943600" cy="323467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CE0394" w:rsidRDefault="00CE0394" w:rsidP="00CE0394">
      <w:pPr>
        <w:pStyle w:val="Caption"/>
      </w:pPr>
      <w:r>
        <w:t>Figure S11 (A) High-threshold calcium conductance activation function.  (B) High-threshold calcium conductance time constant.</w:t>
      </w:r>
    </w:p>
    <w:p w:rsidR="00837FA1" w:rsidRPr="00CE0394" w:rsidRDefault="00CE0394" w:rsidP="00CE0394"/>
    <w:sectPr w:rsidR="00837FA1" w:rsidRPr="00CE03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F02CB"/>
    <w:multiLevelType w:val="multilevel"/>
    <w:tmpl w:val="B5DE82D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0AD4CF2"/>
    <w:multiLevelType w:val="hybridMultilevel"/>
    <w:tmpl w:val="CB841A6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2DB"/>
    <w:rsid w:val="008343D4"/>
    <w:rsid w:val="00CE0394"/>
    <w:rsid w:val="00DD22DB"/>
    <w:rsid w:val="00F0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CB1B34-9B9F-400B-A881-5F799CCE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3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D22DB"/>
    <w:pPr>
      <w:spacing w:after="200" w:line="240" w:lineRule="auto"/>
    </w:pPr>
    <w:rPr>
      <w:i/>
      <w:iCs/>
      <w:color w:val="44546A" w:themeColor="text2"/>
      <w:sz w:val="18"/>
      <w:szCs w:val="18"/>
    </w:rPr>
  </w:style>
  <w:style w:type="paragraph" w:styleId="ListParagraph">
    <w:name w:val="List Paragraph"/>
    <w:basedOn w:val="Normal"/>
    <w:uiPriority w:val="34"/>
    <w:qFormat/>
    <w:rsid w:val="00DD22DB"/>
    <w:pPr>
      <w:ind w:left="720"/>
      <w:contextualSpacing/>
    </w:pPr>
  </w:style>
  <w:style w:type="character" w:styleId="Hyperlink">
    <w:name w:val="Hyperlink"/>
    <w:basedOn w:val="DefaultParagraphFont"/>
    <w:uiPriority w:val="99"/>
    <w:unhideWhenUsed/>
    <w:rsid w:val="00DD22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 Type="http://schemas.openxmlformats.org/officeDocument/2006/relationships/styles" Target="styles.xml"/><Relationship Id="rId16" Type="http://schemas.openxmlformats.org/officeDocument/2006/relationships/image" Target="media/image11.tif"/><Relationship Id="rId1" Type="http://schemas.openxmlformats.org/officeDocument/2006/relationships/numbering" Target="numbering.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hyperlink" Target="mailto:melvin.a.felton.civ@mail.mil" TargetMode="External"/><Relationship Id="rId15" Type="http://schemas.openxmlformats.org/officeDocument/2006/relationships/image" Target="media/image10.tif"/><Relationship Id="rId10" Type="http://schemas.openxmlformats.org/officeDocument/2006/relationships/image" Target="media/image5.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1603</Words>
  <Characters>8983</Characters>
  <Application>Microsoft Office Word</Application>
  <DocSecurity>0</DocSecurity>
  <Lines>169</Lines>
  <Paragraphs>63</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Felton, Melvin A (CIV)</dc:creator>
  <cp:keywords/>
  <dc:description/>
  <cp:lastModifiedBy>Felton, Melvin A (CIV)</cp:lastModifiedBy>
  <cp:revision>2</cp:revision>
  <dcterms:created xsi:type="dcterms:W3CDTF">2018-02-16T18:24:00Z</dcterms:created>
  <dcterms:modified xsi:type="dcterms:W3CDTF">2018-04-03T17:02:00Z</dcterms:modified>
</cp:coreProperties>
</file>