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8F" w:rsidRPr="001549D3" w:rsidRDefault="00654E8F" w:rsidP="009C4DFC">
      <w:pPr>
        <w:pStyle w:val="SupplementaryMaterial"/>
        <w:rPr>
          <w:b w:val="0"/>
        </w:rPr>
      </w:pPr>
      <w:r w:rsidRPr="001549D3">
        <w:t>Supplementary Material</w:t>
      </w:r>
    </w:p>
    <w:p w:rsidR="00817DD6" w:rsidRPr="00751DD4" w:rsidRDefault="00DF4C7A" w:rsidP="009C4DFC">
      <w:pPr>
        <w:pStyle w:val="Title"/>
        <w:rPr>
          <w:sz w:val="36"/>
          <w:szCs w:val="36"/>
        </w:rPr>
      </w:pPr>
      <w:r w:rsidRPr="00751DD4">
        <w:rPr>
          <w:rFonts w:asciiTheme="majorBidi" w:hAnsiTheme="majorBidi" w:cstheme="majorBidi"/>
          <w:bCs/>
          <w:sz w:val="28"/>
          <w:szCs w:val="28"/>
        </w:rPr>
        <w:t>Trapped in a Daydream: Daily Elevations in Maladaptive Daydreaming Are Associated with Daily Psychopathological Symptoms</w:t>
      </w:r>
    </w:p>
    <w:p w:rsidR="002868E2" w:rsidRPr="00994A3D" w:rsidRDefault="00BF0D05" w:rsidP="009C4DFC">
      <w:pPr>
        <w:pStyle w:val="AuthorList"/>
      </w:pPr>
      <w:r>
        <w:t>Nirit Soffer-Dudek</w:t>
      </w:r>
      <w:r w:rsidR="002868E2" w:rsidRPr="00994A3D">
        <w:t xml:space="preserve">*, </w:t>
      </w:r>
      <w:r>
        <w:t>Eli Somer</w:t>
      </w:r>
    </w:p>
    <w:p w:rsidR="002868E2" w:rsidRPr="00994A3D" w:rsidRDefault="002868E2" w:rsidP="009C4DFC">
      <w:pPr>
        <w:spacing w:before="240" w:after="0"/>
        <w:rPr>
          <w:rFonts w:cs="Times New Roman"/>
        </w:rPr>
      </w:pPr>
      <w:r w:rsidRPr="00994A3D">
        <w:rPr>
          <w:rFonts w:cs="Times New Roman"/>
          <w:b/>
        </w:rPr>
        <w:t xml:space="preserve">* Correspondence: </w:t>
      </w:r>
      <w:r w:rsidR="00BF0D05">
        <w:rPr>
          <w:rFonts w:cs="Times New Roman"/>
        </w:rPr>
        <w:t>Nirit Soffer-Dudek</w:t>
      </w:r>
      <w:r w:rsidR="00994A3D" w:rsidRPr="00994A3D">
        <w:rPr>
          <w:rFonts w:cs="Times New Roman"/>
        </w:rPr>
        <w:t xml:space="preserve">: </w:t>
      </w:r>
      <w:r w:rsidR="00BF0D05">
        <w:rPr>
          <w:rFonts w:cs="Times New Roman"/>
        </w:rPr>
        <w:t>soffern</w:t>
      </w:r>
      <w:r w:rsidRPr="00994A3D">
        <w:rPr>
          <w:rFonts w:cs="Times New Roman"/>
        </w:rPr>
        <w:t>@</w:t>
      </w:r>
      <w:r w:rsidR="00BF0D05">
        <w:rPr>
          <w:rFonts w:cs="Times New Roman"/>
        </w:rPr>
        <w:t>bgu.ac.il</w:t>
      </w:r>
    </w:p>
    <w:p w:rsidR="00BF0D05" w:rsidRDefault="00BF0D05" w:rsidP="009C4DFC">
      <w:pPr>
        <w:pStyle w:val="Heading1"/>
        <w:numPr>
          <w:ilvl w:val="0"/>
          <w:numId w:val="0"/>
        </w:numPr>
        <w:ind w:left="567" w:hanging="567"/>
      </w:pPr>
    </w:p>
    <w:p w:rsidR="00EA3D3C" w:rsidRPr="00994A3D" w:rsidRDefault="00654E8F" w:rsidP="009C4DFC">
      <w:pPr>
        <w:pStyle w:val="Heading1"/>
        <w:numPr>
          <w:ilvl w:val="0"/>
          <w:numId w:val="0"/>
        </w:numPr>
        <w:ind w:left="567" w:hanging="567"/>
      </w:pPr>
      <w:r w:rsidRPr="00994A3D">
        <w:t xml:space="preserve">Supplementary </w:t>
      </w:r>
      <w:r w:rsidR="00BF0D05">
        <w:t>information for d</w:t>
      </w:r>
      <w:r w:rsidRPr="00994A3D">
        <w:t>ata</w:t>
      </w:r>
      <w:r w:rsidR="00BF0D05">
        <w:t xml:space="preserve"> analyses section</w:t>
      </w:r>
    </w:p>
    <w:p w:rsidR="00BF0D05" w:rsidRPr="0032744A" w:rsidRDefault="00BF0D05" w:rsidP="009C4DFC">
      <w:pPr>
        <w:ind w:firstLine="720"/>
        <w:jc w:val="both"/>
        <w:rPr>
          <w:rFonts w:asciiTheme="majorBidi" w:hAnsiTheme="majorBidi" w:cstheme="majorBidi"/>
          <w:color w:val="FF0000"/>
          <w:szCs w:val="24"/>
        </w:rPr>
      </w:pPr>
      <w:r w:rsidRPr="0032744A">
        <w:rPr>
          <w:rFonts w:asciiTheme="majorBidi" w:hAnsiTheme="majorBidi" w:cstheme="majorBidi"/>
          <w:szCs w:val="24"/>
        </w:rPr>
        <w:t>Missing data estimation revealed that 7 participants had less than 14 assessments (each had between 11 and 13), resulting in 1,067 samples rather than 1,078 (98.98%). Notably, MLM models are efficient in handling gaps and missing assessment waves well, with no need for missing data completion (</w:t>
      </w:r>
      <w:r w:rsidR="00F523AA">
        <w:rPr>
          <w:rFonts w:asciiTheme="majorBidi" w:hAnsiTheme="majorBidi" w:cstheme="majorBidi"/>
          <w:szCs w:val="24"/>
        </w:rPr>
        <w:t>1</w:t>
      </w:r>
      <w:r w:rsidRPr="0032744A">
        <w:rPr>
          <w:rFonts w:asciiTheme="majorBidi" w:hAnsiTheme="majorBidi" w:cstheme="majorBidi"/>
          <w:szCs w:val="24"/>
        </w:rPr>
        <w:t>). Statistical assumptions are not compromised; only power is slightly reduced by the missing assessments (which were, in any case, only ~1%). However, variables skipped on assessment waves that did take place, are important to consider and deal with. We estimated this type of missingness patterns using the missing values analysis function of SPSS (version 23). Little’s MCAR test was statistically significant (</w:t>
      </w:r>
      <w:r w:rsidRPr="0032744A">
        <w:rPr>
          <w:rFonts w:asciiTheme="majorBidi" w:hAnsiTheme="majorBidi" w:cstheme="majorBidi"/>
          <w:i/>
          <w:iCs/>
          <w:szCs w:val="24"/>
        </w:rPr>
        <w:t>χ</w:t>
      </w:r>
      <w:r w:rsidRPr="0032744A">
        <w:rPr>
          <w:rFonts w:asciiTheme="majorBidi" w:hAnsiTheme="majorBidi" w:cstheme="majorBidi"/>
          <w:i/>
          <w:iCs/>
          <w:szCs w:val="24"/>
          <w:vertAlign w:val="superscript"/>
        </w:rPr>
        <w:t>2</w:t>
      </w:r>
      <w:r w:rsidRPr="0032744A">
        <w:rPr>
          <w:rFonts w:asciiTheme="majorBidi" w:hAnsiTheme="majorBidi" w:cstheme="majorBidi"/>
          <w:szCs w:val="24"/>
          <w:vertAlign w:val="subscript"/>
        </w:rPr>
        <w:t>[23]</w:t>
      </w:r>
      <w:r w:rsidRPr="0032744A">
        <w:rPr>
          <w:rFonts w:asciiTheme="majorBidi" w:hAnsiTheme="majorBidi" w:cstheme="majorBidi"/>
          <w:szCs w:val="24"/>
        </w:rPr>
        <w:t xml:space="preserve"> = 38.45, </w:t>
      </w:r>
      <w:r w:rsidRPr="0032744A">
        <w:rPr>
          <w:rFonts w:asciiTheme="majorBidi" w:hAnsiTheme="majorBidi" w:cstheme="majorBidi"/>
          <w:i/>
          <w:iCs/>
          <w:szCs w:val="24"/>
        </w:rPr>
        <w:t>p</w:t>
      </w:r>
      <w:r w:rsidRPr="0032744A">
        <w:rPr>
          <w:rFonts w:asciiTheme="majorBidi" w:hAnsiTheme="majorBidi" w:cstheme="majorBidi"/>
          <w:szCs w:val="24"/>
        </w:rPr>
        <w:t xml:space="preserve"> = .02), but separate </w:t>
      </w:r>
      <w:r w:rsidRPr="0032744A">
        <w:rPr>
          <w:rFonts w:asciiTheme="majorBidi" w:hAnsiTheme="majorBidi" w:cstheme="majorBidi"/>
          <w:i/>
          <w:iCs/>
          <w:szCs w:val="24"/>
        </w:rPr>
        <w:t>t</w:t>
      </w:r>
      <w:r w:rsidRPr="0032744A">
        <w:rPr>
          <w:rFonts w:asciiTheme="majorBidi" w:hAnsiTheme="majorBidi" w:cstheme="majorBidi"/>
          <w:szCs w:val="24"/>
        </w:rPr>
        <w:t>-tests meant to explore if missingness is random or not could not be computed because missingness was slightly lesser than 3%. Missingness lesser than 5% means that non-response is probably ignorable and any method of dealing with it will probably yield the same results (</w:t>
      </w:r>
      <w:r w:rsidR="00F523AA">
        <w:rPr>
          <w:rFonts w:asciiTheme="majorBidi" w:hAnsiTheme="majorBidi" w:cstheme="majorBidi"/>
          <w:szCs w:val="24"/>
        </w:rPr>
        <w:t>1</w:t>
      </w:r>
      <w:r w:rsidRPr="0032744A">
        <w:rPr>
          <w:rFonts w:asciiTheme="majorBidi" w:hAnsiTheme="majorBidi" w:cstheme="majorBidi"/>
          <w:szCs w:val="24"/>
        </w:rPr>
        <w:t>). Nevertheless, we employed multiple imputations (</w:t>
      </w:r>
      <w:r w:rsidR="00F523AA">
        <w:rPr>
          <w:rFonts w:asciiTheme="majorBidi" w:hAnsiTheme="majorBidi" w:cstheme="majorBidi"/>
          <w:szCs w:val="24"/>
        </w:rPr>
        <w:t>2, 3</w:t>
      </w:r>
      <w:r w:rsidRPr="0032744A">
        <w:rPr>
          <w:rFonts w:asciiTheme="majorBidi" w:hAnsiTheme="majorBidi" w:cstheme="majorBidi"/>
          <w:szCs w:val="24"/>
        </w:rPr>
        <w:t xml:space="preserve">), which are considered by many to be the “gold standard” for managing missing data. </w:t>
      </w:r>
      <w:r>
        <w:rPr>
          <w:rFonts w:asciiTheme="majorBidi" w:hAnsiTheme="majorBidi" w:cstheme="majorBidi"/>
          <w:szCs w:val="24"/>
        </w:rPr>
        <w:t>A</w:t>
      </w:r>
      <w:r w:rsidRPr="0032744A">
        <w:rPr>
          <w:rFonts w:asciiTheme="majorBidi" w:hAnsiTheme="majorBidi" w:cstheme="majorBidi"/>
          <w:szCs w:val="24"/>
        </w:rPr>
        <w:t xml:space="preserve">ll analyses were conducted on the imputed dataset, and pooled estimates are reported throughout the paper. </w:t>
      </w:r>
    </w:p>
    <w:p w:rsidR="00BF0D05" w:rsidRDefault="00BF0D05" w:rsidP="009C4DFC">
      <w:pPr>
        <w:ind w:firstLine="720"/>
        <w:rPr>
          <w:rFonts w:asciiTheme="majorBidi" w:hAnsiTheme="majorBidi" w:cstheme="majorBidi"/>
          <w:szCs w:val="24"/>
        </w:rPr>
      </w:pPr>
      <w:r w:rsidRPr="0032744A">
        <w:rPr>
          <w:rFonts w:asciiTheme="majorBidi" w:hAnsiTheme="majorBidi" w:cstheme="majorBidi"/>
          <w:szCs w:val="24"/>
        </w:rPr>
        <w:t>Next, we sought to filter out nights of heavy drinking. On most nights (973, which are 91.19%) participants reported no alcohol consumption.</w:t>
      </w:r>
      <w:r w:rsidRPr="0032744A">
        <w:rPr>
          <w:rStyle w:val="FootnoteReference"/>
          <w:rFonts w:asciiTheme="majorBidi" w:hAnsiTheme="majorBidi" w:cstheme="majorBidi"/>
          <w:szCs w:val="24"/>
        </w:rPr>
        <w:footnoteReference w:id="1"/>
      </w:r>
      <w:r w:rsidRPr="0032744A">
        <w:rPr>
          <w:rFonts w:asciiTheme="majorBidi" w:hAnsiTheme="majorBidi" w:cstheme="majorBidi"/>
          <w:szCs w:val="24"/>
        </w:rPr>
        <w:t xml:space="preserve"> Their reports of the amount and type of alcoholic beverages consumed on the previous night were coded using a standard drink calculator, according to which, a standard drink is one that contains 0.6 fluid ounces (14 grams) of pure alcohol.</w:t>
      </w:r>
      <w:r w:rsidR="00F523AA">
        <w:rPr>
          <w:rStyle w:val="FootnoteReference"/>
          <w:rFonts w:asciiTheme="majorBidi" w:hAnsiTheme="majorBidi" w:cstheme="majorBidi"/>
          <w:szCs w:val="24"/>
        </w:rPr>
        <w:footnoteReference w:id="2"/>
      </w:r>
      <w:r w:rsidRPr="0032744A">
        <w:rPr>
          <w:rFonts w:asciiTheme="majorBidi" w:hAnsiTheme="majorBidi" w:cstheme="majorBidi"/>
          <w:szCs w:val="24"/>
        </w:rPr>
        <w:t xml:space="preserve"> For women, heavy drinking is considered to be 4 standard drinks or more, although for men the standard is higher, specifically, 5 or more.</w:t>
      </w:r>
      <w:r w:rsidR="009C4DFC">
        <w:rPr>
          <w:rStyle w:val="FootnoteReference"/>
          <w:rFonts w:asciiTheme="majorBidi" w:hAnsiTheme="majorBidi" w:cstheme="majorBidi"/>
          <w:szCs w:val="24"/>
        </w:rPr>
        <w:footnoteReference w:id="3"/>
      </w:r>
      <w:r w:rsidRPr="0032744A">
        <w:rPr>
          <w:rFonts w:asciiTheme="majorBidi" w:hAnsiTheme="majorBidi" w:cstheme="majorBidi"/>
          <w:szCs w:val="24"/>
        </w:rPr>
        <w:t xml:space="preserve"> We relied on the more stringent criterion of 4 and above (especially considering that most of our sample were women), which resulted in filtering out 25 </w:t>
      </w:r>
      <w:r w:rsidRPr="0032744A">
        <w:rPr>
          <w:rFonts w:asciiTheme="majorBidi" w:hAnsiTheme="majorBidi" w:cstheme="majorBidi"/>
          <w:szCs w:val="24"/>
        </w:rPr>
        <w:lastRenderedPageBreak/>
        <w:t>nights (which represent 0.02% of the overall sampled nights, or 26.60% of the nights in which drinking occurred).</w:t>
      </w:r>
    </w:p>
    <w:p w:rsidR="00BF0D05" w:rsidRDefault="00BF0D05" w:rsidP="009C4DFC">
      <w:pPr>
        <w:ind w:firstLine="720"/>
        <w:rPr>
          <w:rFonts w:asciiTheme="majorBidi" w:hAnsiTheme="majorBidi" w:cstheme="majorBidi"/>
          <w:szCs w:val="24"/>
        </w:rPr>
      </w:pPr>
      <w:r>
        <w:rPr>
          <w:rFonts w:asciiTheme="majorBidi" w:hAnsiTheme="majorBidi" w:cstheme="majorBidi"/>
          <w:szCs w:val="24"/>
        </w:rPr>
        <w:t xml:space="preserve">The main models were specified so that daily MD was predicted by other daily symptoms or emotion. </w:t>
      </w:r>
      <w:r w:rsidRPr="00A148AD">
        <w:rPr>
          <w:rFonts w:asciiTheme="majorBidi" w:hAnsiTheme="majorBidi" w:cstheme="majorBidi"/>
          <w:szCs w:val="24"/>
        </w:rPr>
        <w:t>The variable representing time was coded with values 0–13</w:t>
      </w:r>
      <w:r>
        <w:rPr>
          <w:rFonts w:asciiTheme="majorBidi" w:hAnsiTheme="majorBidi" w:cstheme="majorBidi"/>
          <w:szCs w:val="24"/>
        </w:rPr>
        <w:t xml:space="preserve"> and included as a predictor in each model in order to de-trend it.</w:t>
      </w:r>
      <w:r w:rsidRPr="00A148AD">
        <w:rPr>
          <w:rFonts w:asciiTheme="majorBidi" w:hAnsiTheme="majorBidi" w:cstheme="majorBidi"/>
          <w:szCs w:val="24"/>
        </w:rPr>
        <w:t xml:space="preserve"> </w:t>
      </w:r>
      <w:r>
        <w:rPr>
          <w:rFonts w:asciiTheme="majorBidi" w:hAnsiTheme="majorBidi" w:cstheme="majorBidi"/>
          <w:szCs w:val="24"/>
        </w:rPr>
        <w:t>In addition to time, each model controlled for age, gender, and a dichotomous variable indicating whether this was a weekday or a rest day (i.e., Saturday and Sunday).</w:t>
      </w:r>
      <w:r>
        <w:rPr>
          <w:rStyle w:val="FootnoteReference"/>
          <w:rFonts w:asciiTheme="majorBidi" w:hAnsiTheme="majorBidi" w:cstheme="majorBidi"/>
          <w:szCs w:val="24"/>
        </w:rPr>
        <w:footnoteReference w:id="4"/>
      </w:r>
      <w:r>
        <w:rPr>
          <w:rFonts w:asciiTheme="majorBidi" w:hAnsiTheme="majorBidi" w:cstheme="majorBidi"/>
          <w:szCs w:val="24"/>
        </w:rPr>
        <w:t xml:space="preserve"> We controlled for this variable because being at work or at home may be related to MD patterns or to levels of distress. A</w:t>
      </w:r>
      <w:r w:rsidRPr="00A148AD">
        <w:rPr>
          <w:rFonts w:asciiTheme="majorBidi" w:hAnsiTheme="majorBidi" w:cstheme="majorBidi"/>
          <w:szCs w:val="24"/>
        </w:rPr>
        <w:t xml:space="preserve">ll </w:t>
      </w:r>
      <w:r>
        <w:rPr>
          <w:rFonts w:asciiTheme="majorBidi" w:hAnsiTheme="majorBidi" w:cstheme="majorBidi"/>
          <w:szCs w:val="24"/>
        </w:rPr>
        <w:t>continuous</w:t>
      </w:r>
      <w:r w:rsidRPr="00A148AD">
        <w:rPr>
          <w:rFonts w:asciiTheme="majorBidi" w:hAnsiTheme="majorBidi" w:cstheme="majorBidi"/>
          <w:szCs w:val="24"/>
        </w:rPr>
        <w:t xml:space="preserve"> predictors were </w:t>
      </w:r>
      <w:r>
        <w:rPr>
          <w:rFonts w:asciiTheme="majorBidi" w:hAnsiTheme="majorBidi" w:cstheme="majorBidi"/>
          <w:szCs w:val="24"/>
        </w:rPr>
        <w:t xml:space="preserve">grand-mean </w:t>
      </w:r>
      <w:r w:rsidRPr="00A148AD">
        <w:rPr>
          <w:rFonts w:asciiTheme="majorBidi" w:hAnsiTheme="majorBidi" w:cstheme="majorBidi"/>
          <w:szCs w:val="24"/>
        </w:rPr>
        <w:t xml:space="preserve">centered (see </w:t>
      </w:r>
      <w:r w:rsidR="009C4DFC">
        <w:rPr>
          <w:rFonts w:asciiTheme="majorBidi" w:hAnsiTheme="majorBidi" w:cstheme="majorBidi"/>
          <w:szCs w:val="24"/>
        </w:rPr>
        <w:t xml:space="preserve">4 </w:t>
      </w:r>
      <w:r>
        <w:rPr>
          <w:rFonts w:asciiTheme="majorBidi" w:hAnsiTheme="majorBidi" w:cstheme="majorBidi"/>
          <w:szCs w:val="24"/>
        </w:rPr>
        <w:t>on the importance of centering, as well as</w:t>
      </w:r>
      <w:r w:rsidR="009C4DFC">
        <w:rPr>
          <w:rFonts w:asciiTheme="majorBidi" w:hAnsiTheme="majorBidi" w:cstheme="majorBidi"/>
          <w:szCs w:val="24"/>
        </w:rPr>
        <w:t xml:space="preserve"> 5</w:t>
      </w:r>
      <w:r>
        <w:rPr>
          <w:rFonts w:asciiTheme="majorBidi" w:hAnsiTheme="majorBidi" w:cstheme="majorBidi"/>
          <w:szCs w:val="24"/>
        </w:rPr>
        <w:t xml:space="preserve"> who support grand-mean over group-mean centering for a multilevel model with no interactions</w:t>
      </w:r>
      <w:r w:rsidRPr="00B07B4A">
        <w:rPr>
          <w:rFonts w:asciiTheme="majorBidi" w:hAnsiTheme="majorBidi" w:cstheme="majorBidi"/>
          <w:szCs w:val="24"/>
        </w:rPr>
        <w:t xml:space="preserve">). Age and gender were specified as fixed effects, </w:t>
      </w:r>
      <w:r>
        <w:rPr>
          <w:rFonts w:asciiTheme="majorBidi" w:hAnsiTheme="majorBidi" w:cstheme="majorBidi"/>
          <w:szCs w:val="24"/>
        </w:rPr>
        <w:t>whereas</w:t>
      </w:r>
      <w:r w:rsidRPr="00B07B4A">
        <w:rPr>
          <w:rFonts w:asciiTheme="majorBidi" w:hAnsiTheme="majorBidi" w:cstheme="majorBidi"/>
          <w:szCs w:val="24"/>
        </w:rPr>
        <w:t xml:space="preserve"> time, </w:t>
      </w:r>
      <w:r>
        <w:rPr>
          <w:rFonts w:asciiTheme="majorBidi" w:hAnsiTheme="majorBidi" w:cstheme="majorBidi"/>
          <w:szCs w:val="24"/>
        </w:rPr>
        <w:t xml:space="preserve">the </w:t>
      </w:r>
      <w:r w:rsidRPr="00B07B4A">
        <w:rPr>
          <w:rFonts w:asciiTheme="majorBidi" w:hAnsiTheme="majorBidi" w:cstheme="majorBidi"/>
          <w:szCs w:val="24"/>
        </w:rPr>
        <w:t>weekday</w:t>
      </w:r>
      <w:r>
        <w:rPr>
          <w:rFonts w:asciiTheme="majorBidi" w:hAnsiTheme="majorBidi" w:cstheme="majorBidi"/>
          <w:szCs w:val="24"/>
        </w:rPr>
        <w:t>/weekend variable</w:t>
      </w:r>
      <w:r w:rsidRPr="00B07B4A">
        <w:rPr>
          <w:rFonts w:asciiTheme="majorBidi" w:hAnsiTheme="majorBidi" w:cstheme="majorBidi"/>
          <w:szCs w:val="24"/>
        </w:rPr>
        <w:t xml:space="preserve">, and the variable of interest (psychopathology or emotion) were specified both as fixed and as random effects. </w:t>
      </w:r>
      <w:r w:rsidRPr="00A148AD">
        <w:rPr>
          <w:rFonts w:asciiTheme="majorBidi" w:hAnsiTheme="majorBidi" w:cstheme="majorBidi"/>
          <w:szCs w:val="24"/>
        </w:rPr>
        <w:t xml:space="preserve">This means that </w:t>
      </w:r>
      <w:r>
        <w:rPr>
          <w:rFonts w:asciiTheme="majorBidi" w:hAnsiTheme="majorBidi" w:cstheme="majorBidi"/>
          <w:szCs w:val="24"/>
        </w:rPr>
        <w:t xml:space="preserve">the predictors’ </w:t>
      </w:r>
      <w:r w:rsidRPr="00A148AD">
        <w:rPr>
          <w:rFonts w:asciiTheme="majorBidi" w:hAnsiTheme="majorBidi" w:cstheme="majorBidi"/>
          <w:szCs w:val="24"/>
        </w:rPr>
        <w:t>intercepts and slopes were allowed to vary among individuals.</w:t>
      </w:r>
      <w:r>
        <w:rPr>
          <w:rFonts w:asciiTheme="majorBidi" w:hAnsiTheme="majorBidi" w:cstheme="majorBidi"/>
          <w:szCs w:val="24"/>
        </w:rPr>
        <w:t xml:space="preserve"> For each effect of psychopathology or emotion, a standardized effect size of explained variance was calculated</w:t>
      </w:r>
      <w:r w:rsidRPr="006D06F1">
        <w:rPr>
          <w:rFonts w:asciiTheme="majorBidi" w:hAnsiTheme="majorBidi" w:cstheme="majorBidi"/>
          <w:szCs w:val="24"/>
        </w:rPr>
        <w:t xml:space="preserve">, namely </w:t>
      </w:r>
      <w:r>
        <w:rPr>
          <w:rFonts w:asciiTheme="majorBidi" w:hAnsiTheme="majorBidi" w:cstheme="majorBidi"/>
          <w:i/>
          <w:iCs/>
          <w:szCs w:val="24"/>
        </w:rPr>
        <w:t>semi-</w:t>
      </w:r>
      <w:r w:rsidRPr="006D06F1">
        <w:rPr>
          <w:rFonts w:asciiTheme="majorBidi" w:hAnsiTheme="majorBidi" w:cstheme="majorBidi"/>
          <w:i/>
          <w:iCs/>
          <w:szCs w:val="24"/>
        </w:rPr>
        <w:t>partial R</w:t>
      </w:r>
      <w:r w:rsidRPr="006D06F1">
        <w:rPr>
          <w:rFonts w:asciiTheme="majorBidi" w:hAnsiTheme="majorBidi" w:cstheme="majorBidi"/>
          <w:i/>
          <w:iCs/>
          <w:szCs w:val="24"/>
          <w:vertAlign w:val="superscript"/>
        </w:rPr>
        <w:t>2</w:t>
      </w:r>
      <w:r w:rsidRPr="006D06F1">
        <w:rPr>
          <w:rFonts w:asciiTheme="majorBidi" w:hAnsiTheme="majorBidi" w:cstheme="majorBidi"/>
          <w:szCs w:val="24"/>
        </w:rPr>
        <w:t xml:space="preserve"> (</w:t>
      </w:r>
      <w:r w:rsidR="009C4DFC">
        <w:rPr>
          <w:rFonts w:asciiTheme="majorBidi" w:hAnsiTheme="majorBidi" w:cstheme="majorBidi"/>
          <w:szCs w:val="24"/>
        </w:rPr>
        <w:t>6</w:t>
      </w:r>
      <w:r w:rsidRPr="006D06F1">
        <w:rPr>
          <w:rFonts w:asciiTheme="majorBidi" w:hAnsiTheme="majorBidi" w:cstheme="majorBidi"/>
          <w:szCs w:val="24"/>
        </w:rPr>
        <w:t>).</w:t>
      </w:r>
      <w:r>
        <w:rPr>
          <w:rFonts w:asciiTheme="majorBidi" w:hAnsiTheme="majorBidi" w:cstheme="majorBidi"/>
          <w:szCs w:val="24"/>
        </w:rPr>
        <w:t xml:space="preserve"> </w:t>
      </w:r>
      <w:r w:rsidRPr="006D06F1">
        <w:rPr>
          <w:rFonts w:asciiTheme="majorBidi" w:hAnsiTheme="majorBidi" w:cstheme="majorBidi"/>
          <w:szCs w:val="24"/>
        </w:rPr>
        <w:t>Import</w:t>
      </w:r>
      <w:r w:rsidRPr="00A148AD">
        <w:rPr>
          <w:rFonts w:asciiTheme="majorBidi" w:hAnsiTheme="majorBidi" w:cstheme="majorBidi"/>
          <w:szCs w:val="24"/>
        </w:rPr>
        <w:t xml:space="preserve">antly, predictors were not </w:t>
      </w:r>
      <w:r>
        <w:rPr>
          <w:rFonts w:asciiTheme="majorBidi" w:hAnsiTheme="majorBidi" w:cstheme="majorBidi"/>
          <w:szCs w:val="24"/>
        </w:rPr>
        <w:t xml:space="preserve">all </w:t>
      </w:r>
      <w:r w:rsidRPr="00A148AD">
        <w:rPr>
          <w:rFonts w:asciiTheme="majorBidi" w:hAnsiTheme="majorBidi" w:cstheme="majorBidi"/>
          <w:szCs w:val="24"/>
        </w:rPr>
        <w:t xml:space="preserve">included in one omnibus model because psychopathological symptoms </w:t>
      </w:r>
      <w:r>
        <w:rPr>
          <w:rFonts w:asciiTheme="majorBidi" w:hAnsiTheme="majorBidi" w:cstheme="majorBidi"/>
          <w:szCs w:val="24"/>
        </w:rPr>
        <w:t xml:space="preserve">tend to </w:t>
      </w:r>
      <w:r w:rsidRPr="00A148AD">
        <w:rPr>
          <w:rFonts w:asciiTheme="majorBidi" w:hAnsiTheme="majorBidi" w:cstheme="majorBidi"/>
          <w:szCs w:val="24"/>
        </w:rPr>
        <w:t>increase and decrease togeth</w:t>
      </w:r>
      <w:r>
        <w:rPr>
          <w:rFonts w:asciiTheme="majorBidi" w:hAnsiTheme="majorBidi" w:cstheme="majorBidi"/>
          <w:szCs w:val="24"/>
        </w:rPr>
        <w:t>er across days (</w:t>
      </w:r>
      <w:r w:rsidR="009C4DFC">
        <w:rPr>
          <w:rFonts w:asciiTheme="majorBidi" w:hAnsiTheme="majorBidi" w:cstheme="majorBidi"/>
          <w:szCs w:val="24"/>
        </w:rPr>
        <w:t>7</w:t>
      </w:r>
      <w:r w:rsidRPr="00B96EA7">
        <w:rPr>
          <w:rFonts w:asciiTheme="majorBidi" w:hAnsiTheme="majorBidi" w:cstheme="majorBidi"/>
          <w:szCs w:val="24"/>
        </w:rPr>
        <w:t>). Multicollinearity</w:t>
      </w:r>
      <w:r w:rsidRPr="0064187E">
        <w:rPr>
          <w:rFonts w:asciiTheme="majorBidi" w:hAnsiTheme="majorBidi" w:cstheme="majorBidi"/>
          <w:szCs w:val="24"/>
        </w:rPr>
        <w:t xml:space="preserve"> is even more problematic in multilevel models than in ordinary regression (</w:t>
      </w:r>
      <w:r w:rsidR="009C4DFC">
        <w:rPr>
          <w:rFonts w:asciiTheme="majorBidi" w:hAnsiTheme="majorBidi" w:cstheme="majorBidi"/>
          <w:szCs w:val="24"/>
        </w:rPr>
        <w:t>1</w:t>
      </w:r>
      <w:r w:rsidRPr="0064187E">
        <w:rPr>
          <w:rFonts w:asciiTheme="majorBidi" w:hAnsiTheme="majorBidi" w:cstheme="majorBidi"/>
          <w:szCs w:val="24"/>
        </w:rPr>
        <w:t>).</w:t>
      </w:r>
    </w:p>
    <w:p w:rsidR="00994A3D" w:rsidRDefault="00BF0D05" w:rsidP="009C4DFC">
      <w:pPr>
        <w:spacing w:before="100" w:beforeAutospacing="1" w:after="100" w:afterAutospacing="1"/>
        <w:jc w:val="both"/>
        <w:rPr>
          <w:rFonts w:eastAsia="Times New Roman" w:cs="Times New Roman"/>
          <w:szCs w:val="24"/>
          <w:lang w:val="en-GB" w:eastAsia="en-GB"/>
        </w:rPr>
      </w:pPr>
      <w:r>
        <w:rPr>
          <w:rFonts w:asciiTheme="majorBidi" w:hAnsiTheme="majorBidi" w:cstheme="majorBidi"/>
          <w:szCs w:val="24"/>
        </w:rPr>
        <w:t>For time-lag analysis models, psychopathology or emotion variables were entered into the model as T-1 (e.g., Day 1 psychopathology predicts Day 2 MD) or T+1 (e.g., Day 3 psychopathology predicts Day 2 MD), to explore directionality of effects (see</w:t>
      </w:r>
      <w:r w:rsidR="009C4DFC">
        <w:rPr>
          <w:rFonts w:asciiTheme="majorBidi" w:hAnsiTheme="majorBidi" w:cstheme="majorBidi"/>
          <w:szCs w:val="24"/>
        </w:rPr>
        <w:t xml:space="preserve"> 8</w:t>
      </w:r>
      <w:r>
        <w:rPr>
          <w:rFonts w:asciiTheme="majorBidi" w:hAnsiTheme="majorBidi" w:cstheme="majorBidi"/>
          <w:szCs w:val="24"/>
        </w:rPr>
        <w:t xml:space="preserve">). Note that these analyses have somewhat lower power than concurrent analyses, as only 13, rather than 14, measurements are used. Finally, a more rigorous exploration of temporality assessed whether these effects remained statistically significant even when including the predictor at time T in the model (for example, Day 1 psychopathology predicts Day 2 MD, even when controlling for Day 2 psychopathology). This suggests a temporal effect which cannot be explained by contemporaneous relationships (also see </w:t>
      </w:r>
      <w:r w:rsidR="009C4DFC">
        <w:rPr>
          <w:rFonts w:asciiTheme="majorBidi" w:hAnsiTheme="majorBidi" w:cstheme="majorBidi"/>
          <w:szCs w:val="24"/>
        </w:rPr>
        <w:t>8</w:t>
      </w:r>
      <w:r>
        <w:rPr>
          <w:rFonts w:asciiTheme="majorBidi" w:hAnsiTheme="majorBidi" w:cstheme="majorBidi"/>
          <w:szCs w:val="24"/>
        </w:rPr>
        <w:t>).</w:t>
      </w:r>
      <w:r w:rsidR="00994A3D" w:rsidRPr="00994A3D">
        <w:rPr>
          <w:rFonts w:eastAsia="Times New Roman" w:cs="Times New Roman"/>
          <w:szCs w:val="24"/>
          <w:lang w:val="en-GB" w:eastAsia="en-GB"/>
        </w:rPr>
        <w:t xml:space="preserve"> </w:t>
      </w:r>
    </w:p>
    <w:p w:rsidR="00BF0D05" w:rsidRDefault="00BF0D05" w:rsidP="009C4DFC">
      <w:pPr>
        <w:spacing w:before="100" w:beforeAutospacing="1" w:after="100" w:afterAutospacing="1"/>
        <w:jc w:val="both"/>
        <w:rPr>
          <w:rFonts w:eastAsia="Times New Roman" w:cs="Times New Roman"/>
          <w:szCs w:val="24"/>
          <w:lang w:val="en-GB" w:eastAsia="en-GB"/>
        </w:rPr>
      </w:pPr>
    </w:p>
    <w:p w:rsidR="006A1477" w:rsidRDefault="006A1477">
      <w:pPr>
        <w:spacing w:before="0" w:after="200" w:line="276" w:lineRule="auto"/>
        <w:rPr>
          <w:rFonts w:asciiTheme="majorBidi" w:hAnsiTheme="majorBidi" w:cstheme="majorBidi"/>
          <w:b/>
          <w:bCs/>
          <w:szCs w:val="24"/>
        </w:rPr>
      </w:pPr>
      <w:r>
        <w:rPr>
          <w:rFonts w:asciiTheme="majorBidi" w:hAnsiTheme="majorBidi" w:cstheme="majorBidi"/>
          <w:b/>
          <w:bCs/>
          <w:szCs w:val="24"/>
        </w:rPr>
        <w:br w:type="page"/>
      </w:r>
    </w:p>
    <w:p w:rsidR="00BF0D05" w:rsidRPr="00207725" w:rsidRDefault="00BF0D05" w:rsidP="009C4DFC">
      <w:pPr>
        <w:ind w:firstLine="720"/>
        <w:jc w:val="center"/>
        <w:rPr>
          <w:rFonts w:asciiTheme="majorBidi" w:hAnsiTheme="majorBidi" w:cstheme="majorBidi"/>
          <w:b/>
          <w:bCs/>
          <w:szCs w:val="24"/>
        </w:rPr>
      </w:pPr>
      <w:bookmarkStart w:id="0" w:name="_GoBack"/>
      <w:bookmarkEnd w:id="0"/>
      <w:r w:rsidRPr="00207725">
        <w:rPr>
          <w:rFonts w:asciiTheme="majorBidi" w:hAnsiTheme="majorBidi" w:cstheme="majorBidi"/>
          <w:b/>
          <w:bCs/>
          <w:szCs w:val="24"/>
        </w:rPr>
        <w:lastRenderedPageBreak/>
        <w:t>References</w:t>
      </w:r>
    </w:p>
    <w:p w:rsidR="00F523AA" w:rsidRDefault="00F523AA" w:rsidP="009C4DFC">
      <w:pPr>
        <w:ind w:left="567" w:hanging="567"/>
        <w:jc w:val="both"/>
        <w:rPr>
          <w:rFonts w:asciiTheme="majorBidi" w:hAnsiTheme="majorBidi" w:cstheme="majorBidi"/>
          <w:szCs w:val="24"/>
        </w:rPr>
      </w:pPr>
      <w:r>
        <w:rPr>
          <w:rFonts w:asciiTheme="majorBidi" w:hAnsiTheme="majorBidi" w:cstheme="majorBidi"/>
          <w:szCs w:val="24"/>
        </w:rPr>
        <w:t xml:space="preserve">1 </w:t>
      </w:r>
      <w:r w:rsidR="009C4DFC">
        <w:rPr>
          <w:rFonts w:asciiTheme="majorBidi" w:hAnsiTheme="majorBidi" w:cstheme="majorBidi"/>
          <w:szCs w:val="24"/>
        </w:rPr>
        <w:t>Tabachnick BG</w:t>
      </w:r>
      <w:r w:rsidR="00BA6070">
        <w:rPr>
          <w:rFonts w:asciiTheme="majorBidi" w:hAnsiTheme="majorBidi" w:cstheme="majorBidi"/>
          <w:szCs w:val="24"/>
        </w:rPr>
        <w:t>,</w:t>
      </w:r>
      <w:r w:rsidR="009C4DFC" w:rsidRPr="004E6112">
        <w:rPr>
          <w:rFonts w:asciiTheme="majorBidi" w:hAnsiTheme="majorBidi" w:cstheme="majorBidi"/>
          <w:szCs w:val="24"/>
        </w:rPr>
        <w:t xml:space="preserve"> </w:t>
      </w:r>
      <w:r w:rsidR="009C4DFC">
        <w:rPr>
          <w:rFonts w:asciiTheme="majorBidi" w:hAnsiTheme="majorBidi" w:cstheme="majorBidi"/>
          <w:szCs w:val="24"/>
        </w:rPr>
        <w:t>Fidell LS</w:t>
      </w:r>
      <w:r w:rsidR="00BA6070">
        <w:rPr>
          <w:rFonts w:asciiTheme="majorBidi" w:hAnsiTheme="majorBidi" w:cstheme="majorBidi"/>
          <w:szCs w:val="24"/>
        </w:rPr>
        <w:t>.</w:t>
      </w:r>
      <w:r w:rsidR="009C4DFC" w:rsidRPr="004E6112">
        <w:rPr>
          <w:rFonts w:asciiTheme="majorBidi" w:hAnsiTheme="majorBidi" w:cstheme="majorBidi"/>
          <w:szCs w:val="24"/>
        </w:rPr>
        <w:t xml:space="preserve"> </w:t>
      </w:r>
      <w:r w:rsidR="009C4DFC" w:rsidRPr="004E6112">
        <w:rPr>
          <w:rFonts w:asciiTheme="majorBidi" w:hAnsiTheme="majorBidi" w:cstheme="majorBidi"/>
          <w:i/>
          <w:iCs/>
          <w:szCs w:val="24"/>
        </w:rPr>
        <w:t>Using multivariate statistics (5th ed.).</w:t>
      </w:r>
      <w:r w:rsidR="009C4DFC" w:rsidRPr="004E6112">
        <w:rPr>
          <w:rFonts w:asciiTheme="majorBidi" w:hAnsiTheme="majorBidi" w:cstheme="majorBidi"/>
          <w:szCs w:val="24"/>
        </w:rPr>
        <w:t xml:space="preserve"> Boston, MA: Allyn and Bacon.</w:t>
      </w:r>
      <w:r w:rsidR="00BA6070">
        <w:rPr>
          <w:rFonts w:asciiTheme="majorBidi" w:hAnsiTheme="majorBidi" w:cstheme="majorBidi"/>
          <w:szCs w:val="24"/>
        </w:rPr>
        <w:t xml:space="preserve"> </w:t>
      </w:r>
      <w:r w:rsidR="00BA6070" w:rsidRPr="004E6112">
        <w:rPr>
          <w:rFonts w:asciiTheme="majorBidi" w:hAnsiTheme="majorBidi" w:cstheme="majorBidi"/>
          <w:szCs w:val="24"/>
        </w:rPr>
        <w:t>(</w:t>
      </w:r>
      <w:r w:rsidR="00BA6070">
        <w:rPr>
          <w:rFonts w:asciiTheme="majorBidi" w:hAnsiTheme="majorBidi" w:cstheme="majorBidi"/>
          <w:szCs w:val="24"/>
        </w:rPr>
        <w:t>2007). 1008 p.</w:t>
      </w:r>
    </w:p>
    <w:p w:rsidR="00F523AA" w:rsidRDefault="00F523AA" w:rsidP="009C4DFC">
      <w:pPr>
        <w:ind w:left="567" w:hanging="567"/>
        <w:jc w:val="both"/>
        <w:rPr>
          <w:rFonts w:asciiTheme="majorBidi" w:hAnsiTheme="majorBidi" w:cstheme="majorBidi"/>
          <w:szCs w:val="24"/>
        </w:rPr>
      </w:pPr>
      <w:r>
        <w:rPr>
          <w:rFonts w:asciiTheme="majorBidi" w:hAnsiTheme="majorBidi" w:cstheme="majorBidi"/>
          <w:szCs w:val="24"/>
        </w:rPr>
        <w:t xml:space="preserve">2 </w:t>
      </w:r>
      <w:r w:rsidR="009C4DFC">
        <w:rPr>
          <w:rFonts w:asciiTheme="majorBidi" w:hAnsiTheme="majorBidi" w:cstheme="majorBidi"/>
          <w:szCs w:val="24"/>
        </w:rPr>
        <w:t>Rubin DB</w:t>
      </w:r>
      <w:r w:rsidR="00BA6070">
        <w:rPr>
          <w:rFonts w:asciiTheme="majorBidi" w:hAnsiTheme="majorBidi" w:cstheme="majorBidi"/>
          <w:szCs w:val="24"/>
        </w:rPr>
        <w:t>.</w:t>
      </w:r>
      <w:r w:rsidR="009C4DFC">
        <w:rPr>
          <w:rFonts w:asciiTheme="majorBidi" w:hAnsiTheme="majorBidi" w:cstheme="majorBidi"/>
          <w:szCs w:val="24"/>
        </w:rPr>
        <w:t xml:space="preserve"> </w:t>
      </w:r>
      <w:r w:rsidR="009C4DFC" w:rsidRPr="00D76128">
        <w:rPr>
          <w:rFonts w:asciiTheme="majorBidi" w:hAnsiTheme="majorBidi" w:cstheme="majorBidi"/>
          <w:i/>
          <w:iCs/>
          <w:szCs w:val="24"/>
        </w:rPr>
        <w:t>Multiple Imputation for Nonresponse in Surveys.</w:t>
      </w:r>
      <w:r w:rsidR="009C4DFC" w:rsidRPr="00D76128">
        <w:rPr>
          <w:rFonts w:asciiTheme="majorBidi" w:hAnsiTheme="majorBidi" w:cstheme="majorBidi"/>
          <w:szCs w:val="24"/>
        </w:rPr>
        <w:t xml:space="preserve"> New York</w:t>
      </w:r>
      <w:r w:rsidR="009C4DFC">
        <w:rPr>
          <w:rFonts w:asciiTheme="majorBidi" w:hAnsiTheme="majorBidi" w:cstheme="majorBidi"/>
          <w:szCs w:val="24"/>
        </w:rPr>
        <w:t>:</w:t>
      </w:r>
      <w:r w:rsidR="009C4DFC" w:rsidRPr="00D76128">
        <w:rPr>
          <w:rFonts w:asciiTheme="majorBidi" w:hAnsiTheme="majorBidi" w:cstheme="majorBidi"/>
          <w:szCs w:val="24"/>
        </w:rPr>
        <w:t xml:space="preserve"> J. Wiley &amp; Sons</w:t>
      </w:r>
      <w:r w:rsidR="009C4DFC">
        <w:rPr>
          <w:rFonts w:asciiTheme="majorBidi" w:hAnsiTheme="majorBidi" w:cstheme="majorBidi"/>
          <w:szCs w:val="24"/>
        </w:rPr>
        <w:t>.</w:t>
      </w:r>
      <w:r w:rsidR="00BA6070">
        <w:rPr>
          <w:rFonts w:asciiTheme="majorBidi" w:hAnsiTheme="majorBidi" w:cstheme="majorBidi"/>
          <w:szCs w:val="24"/>
        </w:rPr>
        <w:t xml:space="preserve"> (1987). 258 p.</w:t>
      </w:r>
    </w:p>
    <w:p w:rsidR="00F523AA" w:rsidRDefault="00F523AA" w:rsidP="009C4DFC">
      <w:pPr>
        <w:ind w:left="567" w:hanging="567"/>
        <w:jc w:val="both"/>
        <w:rPr>
          <w:rFonts w:asciiTheme="majorBidi" w:hAnsiTheme="majorBidi" w:cstheme="majorBidi"/>
          <w:szCs w:val="24"/>
        </w:rPr>
      </w:pPr>
      <w:r>
        <w:rPr>
          <w:rFonts w:asciiTheme="majorBidi" w:hAnsiTheme="majorBidi" w:cstheme="majorBidi"/>
          <w:szCs w:val="24"/>
        </w:rPr>
        <w:t xml:space="preserve">3 </w:t>
      </w:r>
      <w:r w:rsidR="009C4DFC">
        <w:rPr>
          <w:rFonts w:asciiTheme="majorBidi" w:hAnsiTheme="majorBidi" w:cstheme="majorBidi"/>
          <w:szCs w:val="24"/>
        </w:rPr>
        <w:t>Schafer JL</w:t>
      </w:r>
      <w:r w:rsidR="00BA6070">
        <w:rPr>
          <w:rFonts w:asciiTheme="majorBidi" w:hAnsiTheme="majorBidi" w:cstheme="majorBidi"/>
          <w:szCs w:val="24"/>
        </w:rPr>
        <w:t>,</w:t>
      </w:r>
      <w:r w:rsidR="009C4DFC" w:rsidRPr="00D76128">
        <w:rPr>
          <w:rFonts w:asciiTheme="majorBidi" w:hAnsiTheme="majorBidi" w:cstheme="majorBidi"/>
          <w:szCs w:val="24"/>
        </w:rPr>
        <w:t xml:space="preserve"> </w:t>
      </w:r>
      <w:r w:rsidR="009C4DFC">
        <w:rPr>
          <w:rFonts w:asciiTheme="majorBidi" w:hAnsiTheme="majorBidi" w:cstheme="majorBidi"/>
          <w:szCs w:val="24"/>
        </w:rPr>
        <w:t>Olsen MK</w:t>
      </w:r>
      <w:r w:rsidR="00BA6070">
        <w:rPr>
          <w:rFonts w:asciiTheme="majorBidi" w:hAnsiTheme="majorBidi" w:cstheme="majorBidi"/>
          <w:szCs w:val="24"/>
        </w:rPr>
        <w:t>.</w:t>
      </w:r>
      <w:r w:rsidR="009C4DFC">
        <w:rPr>
          <w:rFonts w:asciiTheme="majorBidi" w:hAnsiTheme="majorBidi" w:cstheme="majorBidi"/>
          <w:szCs w:val="24"/>
        </w:rPr>
        <w:t xml:space="preserve"> </w:t>
      </w:r>
      <w:r w:rsidR="009C4DFC" w:rsidRPr="00D76128">
        <w:rPr>
          <w:rFonts w:asciiTheme="majorBidi" w:hAnsiTheme="majorBidi" w:cstheme="majorBidi"/>
          <w:szCs w:val="24"/>
        </w:rPr>
        <w:t xml:space="preserve">Multiple imputation for multivariate missing-data problems: A data analyst's perspective. </w:t>
      </w:r>
      <w:r w:rsidR="009C4DFC" w:rsidRPr="00D76128">
        <w:rPr>
          <w:rFonts w:asciiTheme="majorBidi" w:hAnsiTheme="majorBidi" w:cstheme="majorBidi"/>
          <w:i/>
          <w:iCs/>
          <w:szCs w:val="24"/>
        </w:rPr>
        <w:t>M</w:t>
      </w:r>
      <w:r w:rsidR="009C4DFC">
        <w:rPr>
          <w:rFonts w:asciiTheme="majorBidi" w:hAnsiTheme="majorBidi" w:cstheme="majorBidi"/>
          <w:i/>
          <w:iCs/>
          <w:szCs w:val="24"/>
        </w:rPr>
        <w:t>ultivariate Behav Res</w:t>
      </w:r>
      <w:r w:rsidR="009C4DFC" w:rsidRPr="00D76128">
        <w:rPr>
          <w:rFonts w:asciiTheme="majorBidi" w:hAnsiTheme="majorBidi" w:cstheme="majorBidi"/>
          <w:i/>
          <w:iCs/>
          <w:szCs w:val="24"/>
        </w:rPr>
        <w:t xml:space="preserve"> </w:t>
      </w:r>
      <w:r w:rsidR="00BA6070">
        <w:rPr>
          <w:rFonts w:asciiTheme="majorBidi" w:hAnsiTheme="majorBidi" w:cstheme="majorBidi"/>
          <w:szCs w:val="24"/>
        </w:rPr>
        <w:t>(1998)</w:t>
      </w:r>
      <w:r w:rsidR="00BA6070" w:rsidRPr="00D76128">
        <w:rPr>
          <w:rFonts w:asciiTheme="majorBidi" w:hAnsiTheme="majorBidi" w:cstheme="majorBidi"/>
          <w:szCs w:val="24"/>
        </w:rPr>
        <w:t xml:space="preserve"> </w:t>
      </w:r>
      <w:r w:rsidR="009C4DFC" w:rsidRPr="00B57A46">
        <w:rPr>
          <w:rFonts w:asciiTheme="majorBidi" w:hAnsiTheme="majorBidi" w:cstheme="majorBidi"/>
          <w:szCs w:val="24"/>
        </w:rPr>
        <w:t>33</w:t>
      </w:r>
      <w:r w:rsidR="009C4DFC">
        <w:rPr>
          <w:rFonts w:asciiTheme="majorBidi" w:hAnsiTheme="majorBidi" w:cstheme="majorBidi"/>
          <w:szCs w:val="24"/>
        </w:rPr>
        <w:t>(4):545-71.</w:t>
      </w:r>
    </w:p>
    <w:p w:rsidR="00F523AA" w:rsidRDefault="00F523AA" w:rsidP="009C4DFC">
      <w:pPr>
        <w:ind w:left="567" w:hanging="567"/>
        <w:jc w:val="both"/>
        <w:rPr>
          <w:rFonts w:asciiTheme="majorBidi" w:hAnsiTheme="majorBidi" w:cstheme="majorBidi"/>
          <w:szCs w:val="24"/>
        </w:rPr>
      </w:pPr>
      <w:r>
        <w:rPr>
          <w:rFonts w:asciiTheme="majorBidi" w:hAnsiTheme="majorBidi" w:cstheme="majorBidi"/>
          <w:szCs w:val="24"/>
        </w:rPr>
        <w:t xml:space="preserve">4 </w:t>
      </w:r>
      <w:r w:rsidR="009C4DFC">
        <w:rPr>
          <w:rFonts w:asciiTheme="majorBidi" w:hAnsiTheme="majorBidi" w:cstheme="majorBidi"/>
          <w:szCs w:val="24"/>
        </w:rPr>
        <w:t>Cheng J, Edwards LJ, Maldonado-Molina MM, Komro KA</w:t>
      </w:r>
      <w:r w:rsidR="009C4DFC" w:rsidRPr="000D3EE0">
        <w:rPr>
          <w:rFonts w:asciiTheme="majorBidi" w:hAnsiTheme="majorBidi" w:cstheme="majorBidi"/>
          <w:szCs w:val="24"/>
        </w:rPr>
        <w:t xml:space="preserve">, </w:t>
      </w:r>
      <w:r w:rsidR="009C4DFC">
        <w:rPr>
          <w:rFonts w:asciiTheme="majorBidi" w:hAnsiTheme="majorBidi" w:cstheme="majorBidi"/>
          <w:szCs w:val="24"/>
        </w:rPr>
        <w:t>Muller KE</w:t>
      </w:r>
      <w:r w:rsidR="00BA6070">
        <w:rPr>
          <w:rFonts w:asciiTheme="majorBidi" w:hAnsiTheme="majorBidi" w:cstheme="majorBidi"/>
          <w:szCs w:val="24"/>
        </w:rPr>
        <w:t>.</w:t>
      </w:r>
      <w:r w:rsidR="009C4DFC">
        <w:rPr>
          <w:rFonts w:asciiTheme="majorBidi" w:hAnsiTheme="majorBidi" w:cstheme="majorBidi"/>
          <w:szCs w:val="24"/>
        </w:rPr>
        <w:t xml:space="preserve"> </w:t>
      </w:r>
      <w:r w:rsidR="009C4DFC" w:rsidRPr="000D3EE0">
        <w:rPr>
          <w:rFonts w:asciiTheme="majorBidi" w:hAnsiTheme="majorBidi" w:cstheme="majorBidi"/>
          <w:szCs w:val="24"/>
        </w:rPr>
        <w:t xml:space="preserve">Real longitudinal data analysis for real people: Building a good enough mixed model. </w:t>
      </w:r>
      <w:r w:rsidR="009C4DFC" w:rsidRPr="000D3EE0">
        <w:rPr>
          <w:rFonts w:asciiTheme="majorBidi" w:hAnsiTheme="majorBidi" w:cstheme="majorBidi"/>
          <w:i/>
          <w:iCs/>
          <w:szCs w:val="24"/>
        </w:rPr>
        <w:t xml:space="preserve">Stat Med </w:t>
      </w:r>
      <w:r w:rsidR="00BA6070">
        <w:rPr>
          <w:rFonts w:asciiTheme="majorBidi" w:hAnsiTheme="majorBidi" w:cstheme="majorBidi"/>
          <w:szCs w:val="24"/>
        </w:rPr>
        <w:t>(2010)</w:t>
      </w:r>
      <w:r w:rsidR="00BA6070" w:rsidRPr="000D3EE0">
        <w:rPr>
          <w:rFonts w:asciiTheme="majorBidi" w:hAnsiTheme="majorBidi" w:cstheme="majorBidi"/>
          <w:szCs w:val="24"/>
        </w:rPr>
        <w:t xml:space="preserve"> </w:t>
      </w:r>
      <w:r w:rsidR="009C4DFC" w:rsidRPr="002748EC">
        <w:rPr>
          <w:rFonts w:asciiTheme="majorBidi" w:hAnsiTheme="majorBidi" w:cstheme="majorBidi"/>
          <w:szCs w:val="24"/>
        </w:rPr>
        <w:t>29(4):</w:t>
      </w:r>
      <w:r w:rsidR="009C4DFC">
        <w:rPr>
          <w:rFonts w:asciiTheme="majorBidi" w:hAnsiTheme="majorBidi" w:cstheme="majorBidi"/>
          <w:szCs w:val="24"/>
        </w:rPr>
        <w:t>504-20.</w:t>
      </w:r>
    </w:p>
    <w:p w:rsidR="009C4DFC" w:rsidRDefault="009C4DFC" w:rsidP="009C4DFC">
      <w:pPr>
        <w:ind w:left="567" w:hanging="567"/>
        <w:jc w:val="both"/>
        <w:rPr>
          <w:rFonts w:asciiTheme="majorBidi" w:hAnsiTheme="majorBidi" w:cstheme="majorBidi"/>
          <w:szCs w:val="24"/>
        </w:rPr>
      </w:pPr>
      <w:r>
        <w:rPr>
          <w:rFonts w:asciiTheme="majorBidi" w:hAnsiTheme="majorBidi" w:cstheme="majorBidi"/>
          <w:szCs w:val="24"/>
        </w:rPr>
        <w:t>5 Wu YWB</w:t>
      </w:r>
      <w:r w:rsidR="00BA6070">
        <w:rPr>
          <w:rFonts w:asciiTheme="majorBidi" w:hAnsiTheme="majorBidi" w:cstheme="majorBidi"/>
          <w:szCs w:val="24"/>
        </w:rPr>
        <w:t>,</w:t>
      </w:r>
      <w:r>
        <w:rPr>
          <w:rFonts w:asciiTheme="majorBidi" w:hAnsiTheme="majorBidi" w:cstheme="majorBidi"/>
          <w:szCs w:val="24"/>
        </w:rPr>
        <w:t xml:space="preserve"> Wooldridge PJ</w:t>
      </w:r>
      <w:r w:rsidR="00BA6070">
        <w:rPr>
          <w:rFonts w:asciiTheme="majorBidi" w:hAnsiTheme="majorBidi" w:cstheme="majorBidi"/>
          <w:szCs w:val="24"/>
        </w:rPr>
        <w:t>.</w:t>
      </w:r>
      <w:r>
        <w:rPr>
          <w:rFonts w:asciiTheme="majorBidi" w:hAnsiTheme="majorBidi" w:cstheme="majorBidi"/>
          <w:szCs w:val="24"/>
        </w:rPr>
        <w:t xml:space="preserve"> </w:t>
      </w:r>
      <w:r w:rsidRPr="00082C0B">
        <w:rPr>
          <w:rFonts w:asciiTheme="majorBidi" w:hAnsiTheme="majorBidi" w:cstheme="majorBidi"/>
          <w:szCs w:val="24"/>
        </w:rPr>
        <w:t xml:space="preserve">The Impact of Centering First-Level Predictors on Individual and Contextual Effects in Multilevel Data Analysis. </w:t>
      </w:r>
      <w:r>
        <w:rPr>
          <w:rFonts w:asciiTheme="majorBidi" w:hAnsiTheme="majorBidi" w:cstheme="majorBidi"/>
          <w:i/>
          <w:iCs/>
          <w:szCs w:val="24"/>
        </w:rPr>
        <w:t>Nurs Res</w:t>
      </w:r>
      <w:r w:rsidRPr="00082C0B">
        <w:rPr>
          <w:rFonts w:asciiTheme="majorBidi" w:hAnsiTheme="majorBidi" w:cstheme="majorBidi"/>
          <w:i/>
          <w:iCs/>
          <w:szCs w:val="24"/>
        </w:rPr>
        <w:t xml:space="preserve"> </w:t>
      </w:r>
      <w:r w:rsidR="00BA6070">
        <w:rPr>
          <w:rFonts w:asciiTheme="majorBidi" w:hAnsiTheme="majorBidi" w:cstheme="majorBidi"/>
          <w:szCs w:val="24"/>
        </w:rPr>
        <w:t>(2005)</w:t>
      </w:r>
      <w:r w:rsidR="00BA6070" w:rsidRPr="00082C0B">
        <w:rPr>
          <w:rFonts w:asciiTheme="majorBidi" w:hAnsiTheme="majorBidi" w:cstheme="majorBidi"/>
          <w:szCs w:val="24"/>
        </w:rPr>
        <w:t xml:space="preserve"> </w:t>
      </w:r>
      <w:r w:rsidRPr="003E35AC">
        <w:rPr>
          <w:rFonts w:asciiTheme="majorBidi" w:hAnsiTheme="majorBidi" w:cstheme="majorBidi"/>
          <w:szCs w:val="24"/>
        </w:rPr>
        <w:t>54</w:t>
      </w:r>
      <w:r>
        <w:rPr>
          <w:rFonts w:asciiTheme="majorBidi" w:hAnsiTheme="majorBidi" w:cstheme="majorBidi"/>
          <w:szCs w:val="24"/>
        </w:rPr>
        <w:t>(3):</w:t>
      </w:r>
      <w:r w:rsidRPr="00082C0B">
        <w:rPr>
          <w:rFonts w:asciiTheme="majorBidi" w:hAnsiTheme="majorBidi" w:cstheme="majorBidi"/>
          <w:szCs w:val="24"/>
        </w:rPr>
        <w:t>212–6.</w:t>
      </w:r>
    </w:p>
    <w:p w:rsidR="009C4DFC" w:rsidRDefault="009C4DFC" w:rsidP="009C4DFC">
      <w:pPr>
        <w:ind w:left="567" w:hanging="567"/>
        <w:jc w:val="both"/>
        <w:rPr>
          <w:rFonts w:asciiTheme="majorBidi" w:hAnsiTheme="majorBidi" w:cstheme="majorBidi"/>
          <w:szCs w:val="24"/>
        </w:rPr>
      </w:pPr>
      <w:r>
        <w:rPr>
          <w:rFonts w:asciiTheme="majorBidi" w:hAnsiTheme="majorBidi" w:cstheme="majorBidi"/>
          <w:szCs w:val="24"/>
        </w:rPr>
        <w:t>6 Edwards LJ, Muller KE, Wolfinger RD, Qaqish BF</w:t>
      </w:r>
      <w:r w:rsidRPr="006D06F1">
        <w:rPr>
          <w:rFonts w:asciiTheme="majorBidi" w:hAnsiTheme="majorBidi" w:cstheme="majorBidi"/>
          <w:szCs w:val="24"/>
        </w:rPr>
        <w:t xml:space="preserve">, </w:t>
      </w:r>
      <w:r>
        <w:rPr>
          <w:rFonts w:asciiTheme="majorBidi" w:hAnsiTheme="majorBidi" w:cstheme="majorBidi"/>
          <w:szCs w:val="24"/>
        </w:rPr>
        <w:t>Schabenberger O</w:t>
      </w:r>
      <w:r w:rsidR="00BA6070">
        <w:rPr>
          <w:rFonts w:asciiTheme="majorBidi" w:hAnsiTheme="majorBidi" w:cstheme="majorBidi"/>
          <w:szCs w:val="24"/>
        </w:rPr>
        <w:t>.</w:t>
      </w:r>
      <w:r>
        <w:rPr>
          <w:rFonts w:asciiTheme="majorBidi" w:hAnsiTheme="majorBidi" w:cstheme="majorBidi"/>
          <w:szCs w:val="24"/>
        </w:rPr>
        <w:t xml:space="preserve"> </w:t>
      </w:r>
      <w:r w:rsidRPr="006D06F1">
        <w:rPr>
          <w:rFonts w:asciiTheme="majorBidi" w:hAnsiTheme="majorBidi" w:cstheme="majorBidi"/>
          <w:szCs w:val="24"/>
        </w:rPr>
        <w:t>An R</w:t>
      </w:r>
      <w:r w:rsidRPr="002748EC">
        <w:rPr>
          <w:rFonts w:asciiTheme="majorBidi" w:hAnsiTheme="majorBidi" w:cstheme="majorBidi"/>
          <w:szCs w:val="24"/>
          <w:vertAlign w:val="superscript"/>
        </w:rPr>
        <w:t>2</w:t>
      </w:r>
      <w:r w:rsidRPr="006D06F1">
        <w:rPr>
          <w:rFonts w:asciiTheme="majorBidi" w:hAnsiTheme="majorBidi" w:cstheme="majorBidi"/>
          <w:szCs w:val="24"/>
        </w:rPr>
        <w:t xml:space="preserve"> Statistic for Fixed Effects in the Linear Mixed Model. </w:t>
      </w:r>
      <w:r w:rsidRPr="006D06F1">
        <w:rPr>
          <w:rFonts w:asciiTheme="majorBidi" w:hAnsiTheme="majorBidi" w:cstheme="majorBidi"/>
          <w:i/>
          <w:iCs/>
          <w:szCs w:val="24"/>
        </w:rPr>
        <w:t xml:space="preserve">Stat Med </w:t>
      </w:r>
      <w:r w:rsidR="00BA6070">
        <w:rPr>
          <w:rFonts w:asciiTheme="majorBidi" w:hAnsiTheme="majorBidi" w:cstheme="majorBidi"/>
          <w:szCs w:val="24"/>
        </w:rPr>
        <w:t>(2008)</w:t>
      </w:r>
      <w:r w:rsidR="00BA6070" w:rsidRPr="006D06F1">
        <w:rPr>
          <w:rFonts w:asciiTheme="majorBidi" w:hAnsiTheme="majorBidi" w:cstheme="majorBidi"/>
          <w:szCs w:val="24"/>
        </w:rPr>
        <w:t xml:space="preserve"> </w:t>
      </w:r>
      <w:r w:rsidRPr="002748EC">
        <w:rPr>
          <w:rFonts w:asciiTheme="majorBidi" w:hAnsiTheme="majorBidi" w:cstheme="majorBidi"/>
          <w:szCs w:val="24"/>
        </w:rPr>
        <w:t>27</w:t>
      </w:r>
      <w:r>
        <w:rPr>
          <w:rFonts w:asciiTheme="majorBidi" w:hAnsiTheme="majorBidi" w:cstheme="majorBidi"/>
          <w:szCs w:val="24"/>
        </w:rPr>
        <w:t>(29):6137–57.</w:t>
      </w:r>
    </w:p>
    <w:p w:rsidR="009C4DFC" w:rsidRDefault="009C4DFC" w:rsidP="009C4DFC">
      <w:pPr>
        <w:ind w:left="567" w:hanging="567"/>
        <w:jc w:val="both"/>
        <w:rPr>
          <w:rFonts w:asciiTheme="majorBidi" w:hAnsiTheme="majorBidi" w:cstheme="majorBidi"/>
          <w:szCs w:val="24"/>
        </w:rPr>
      </w:pPr>
      <w:r>
        <w:rPr>
          <w:rFonts w:asciiTheme="majorBidi" w:hAnsiTheme="majorBidi" w:cstheme="majorBidi"/>
          <w:szCs w:val="24"/>
        </w:rPr>
        <w:t>7 Soffer-Dudek N</w:t>
      </w:r>
      <w:r w:rsidR="00BA6070">
        <w:rPr>
          <w:rFonts w:asciiTheme="majorBidi" w:hAnsiTheme="majorBidi" w:cstheme="majorBidi"/>
          <w:szCs w:val="24"/>
        </w:rPr>
        <w:t>.</w:t>
      </w:r>
      <w:r w:rsidRPr="00781C9F">
        <w:rPr>
          <w:rFonts w:asciiTheme="majorBidi" w:hAnsiTheme="majorBidi" w:cstheme="majorBidi"/>
          <w:szCs w:val="24"/>
        </w:rPr>
        <w:t xml:space="preserve"> Daily elevations in dissociative absorption and depersonalization in a non-clinical sample are related to daily stress and psychopathological symptoms. </w:t>
      </w:r>
      <w:r w:rsidRPr="007325B0">
        <w:rPr>
          <w:rFonts w:asciiTheme="majorBidi" w:hAnsiTheme="majorBidi" w:cstheme="majorBidi"/>
          <w:i/>
          <w:iCs/>
          <w:szCs w:val="24"/>
        </w:rPr>
        <w:t>Psychiatry</w:t>
      </w:r>
      <w:r w:rsidR="00BA6070">
        <w:rPr>
          <w:rFonts w:asciiTheme="majorBidi" w:hAnsiTheme="majorBidi" w:cstheme="majorBidi"/>
          <w:i/>
          <w:iCs/>
          <w:szCs w:val="24"/>
        </w:rPr>
        <w:t xml:space="preserve"> </w:t>
      </w:r>
      <w:r w:rsidR="00BA6070">
        <w:rPr>
          <w:rFonts w:asciiTheme="majorBidi" w:hAnsiTheme="majorBidi" w:cstheme="majorBidi"/>
          <w:szCs w:val="24"/>
        </w:rPr>
        <w:t>(2017)</w:t>
      </w:r>
      <w:r>
        <w:rPr>
          <w:rFonts w:asciiTheme="majorBidi" w:hAnsiTheme="majorBidi" w:cstheme="majorBidi"/>
          <w:i/>
          <w:iCs/>
          <w:szCs w:val="24"/>
        </w:rPr>
        <w:t xml:space="preserve"> </w:t>
      </w:r>
      <w:r w:rsidRPr="00BC6646">
        <w:rPr>
          <w:rFonts w:asciiTheme="majorBidi" w:hAnsiTheme="majorBidi" w:cstheme="majorBidi"/>
          <w:szCs w:val="24"/>
        </w:rPr>
        <w:t>80(3)</w:t>
      </w:r>
      <w:r>
        <w:rPr>
          <w:rFonts w:asciiTheme="majorBidi" w:hAnsiTheme="majorBidi" w:cstheme="majorBidi"/>
          <w:szCs w:val="24"/>
        </w:rPr>
        <w:t>:</w:t>
      </w:r>
      <w:r w:rsidRPr="00BC6646">
        <w:rPr>
          <w:rFonts w:asciiTheme="majorBidi" w:hAnsiTheme="majorBidi" w:cstheme="majorBidi"/>
          <w:szCs w:val="24"/>
        </w:rPr>
        <w:t>265-78</w:t>
      </w:r>
      <w:r w:rsidRPr="007325B0">
        <w:rPr>
          <w:rFonts w:asciiTheme="majorBidi" w:hAnsiTheme="majorBidi" w:cstheme="majorBidi"/>
          <w:i/>
          <w:iCs/>
          <w:szCs w:val="24"/>
        </w:rPr>
        <w:t>.</w:t>
      </w:r>
      <w:r>
        <w:rPr>
          <w:rFonts w:asciiTheme="majorBidi" w:hAnsiTheme="majorBidi" w:cstheme="majorBidi"/>
          <w:szCs w:val="24"/>
        </w:rPr>
        <w:t xml:space="preserve"> doi:</w:t>
      </w:r>
      <w:r w:rsidRPr="00781C9F">
        <w:t xml:space="preserve"> </w:t>
      </w:r>
      <w:r w:rsidRPr="00781C9F">
        <w:rPr>
          <w:rFonts w:asciiTheme="majorBidi" w:hAnsiTheme="majorBidi" w:cstheme="majorBidi"/>
          <w:szCs w:val="24"/>
        </w:rPr>
        <w:t>10.1080/00332747.2016.1247622</w:t>
      </w:r>
    </w:p>
    <w:p w:rsidR="00DE23E8" w:rsidRPr="00BF0D05" w:rsidRDefault="009C4DFC" w:rsidP="009C4DFC">
      <w:pPr>
        <w:ind w:left="567" w:hanging="567"/>
        <w:jc w:val="both"/>
        <w:rPr>
          <w:rFonts w:asciiTheme="majorBidi" w:hAnsiTheme="majorBidi" w:cstheme="majorBidi"/>
          <w:szCs w:val="24"/>
        </w:rPr>
      </w:pPr>
      <w:r>
        <w:rPr>
          <w:rFonts w:asciiTheme="majorBidi" w:hAnsiTheme="majorBidi" w:cstheme="majorBidi"/>
          <w:szCs w:val="24"/>
        </w:rPr>
        <w:t>8 Killingsworth MA</w:t>
      </w:r>
      <w:r w:rsidR="00BA6070">
        <w:rPr>
          <w:rFonts w:asciiTheme="majorBidi" w:hAnsiTheme="majorBidi" w:cstheme="majorBidi"/>
          <w:szCs w:val="24"/>
        </w:rPr>
        <w:t>,</w:t>
      </w:r>
      <w:r>
        <w:rPr>
          <w:rFonts w:asciiTheme="majorBidi" w:hAnsiTheme="majorBidi" w:cstheme="majorBidi"/>
          <w:szCs w:val="24"/>
        </w:rPr>
        <w:t xml:space="preserve"> Gilbert DT</w:t>
      </w:r>
      <w:r w:rsidR="00BA6070">
        <w:rPr>
          <w:rFonts w:asciiTheme="majorBidi" w:hAnsiTheme="majorBidi" w:cstheme="majorBidi"/>
          <w:szCs w:val="24"/>
        </w:rPr>
        <w:t>.</w:t>
      </w:r>
      <w:r>
        <w:rPr>
          <w:rFonts w:asciiTheme="majorBidi" w:hAnsiTheme="majorBidi" w:cstheme="majorBidi"/>
          <w:szCs w:val="24"/>
        </w:rPr>
        <w:t xml:space="preserve"> </w:t>
      </w:r>
      <w:r w:rsidRPr="00781F35">
        <w:rPr>
          <w:rFonts w:asciiTheme="majorBidi" w:hAnsiTheme="majorBidi" w:cstheme="majorBidi"/>
          <w:szCs w:val="24"/>
        </w:rPr>
        <w:t>A wandering mind is an unhappy mind</w:t>
      </w:r>
      <w:r>
        <w:rPr>
          <w:rFonts w:asciiTheme="majorBidi" w:hAnsiTheme="majorBidi" w:cstheme="majorBidi"/>
          <w:szCs w:val="24"/>
        </w:rPr>
        <w:t xml:space="preserve">. </w:t>
      </w:r>
      <w:r w:rsidRPr="00324249">
        <w:rPr>
          <w:rFonts w:asciiTheme="majorBidi" w:hAnsiTheme="majorBidi" w:cstheme="majorBidi"/>
          <w:i/>
          <w:iCs/>
          <w:szCs w:val="24"/>
        </w:rPr>
        <w:t xml:space="preserve">Science </w:t>
      </w:r>
      <w:r w:rsidR="00BA6070">
        <w:rPr>
          <w:rFonts w:asciiTheme="majorBidi" w:hAnsiTheme="majorBidi" w:cstheme="majorBidi"/>
          <w:szCs w:val="24"/>
        </w:rPr>
        <w:t xml:space="preserve">(2010) </w:t>
      </w:r>
      <w:r w:rsidRPr="002748EC">
        <w:rPr>
          <w:rFonts w:asciiTheme="majorBidi" w:hAnsiTheme="majorBidi" w:cstheme="majorBidi"/>
          <w:szCs w:val="24"/>
        </w:rPr>
        <w:t>330</w:t>
      </w:r>
      <w:r>
        <w:rPr>
          <w:rFonts w:asciiTheme="majorBidi" w:hAnsiTheme="majorBidi" w:cstheme="majorBidi"/>
          <w:szCs w:val="24"/>
        </w:rPr>
        <w:t>(6006):932.</w:t>
      </w:r>
    </w:p>
    <w:sectPr w:rsidR="00DE23E8" w:rsidRPr="00BF0D05"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1A" w:rsidRDefault="00CF121A" w:rsidP="00117666">
      <w:pPr>
        <w:spacing w:after="0"/>
      </w:pPr>
      <w:r>
        <w:separator/>
      </w:r>
    </w:p>
  </w:endnote>
  <w:endnote w:type="continuationSeparator" w:id="0">
    <w:p w:rsidR="00CF121A" w:rsidRDefault="00CF121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1A" w:rsidRDefault="00CF121A" w:rsidP="00117666">
      <w:pPr>
        <w:spacing w:after="0"/>
      </w:pPr>
      <w:r>
        <w:separator/>
      </w:r>
    </w:p>
  </w:footnote>
  <w:footnote w:type="continuationSeparator" w:id="0">
    <w:p w:rsidR="00CF121A" w:rsidRDefault="00CF121A" w:rsidP="00117666">
      <w:pPr>
        <w:spacing w:after="0"/>
      </w:pPr>
      <w:r>
        <w:continuationSeparator/>
      </w:r>
    </w:p>
  </w:footnote>
  <w:footnote w:id="1">
    <w:p w:rsidR="00BF0D05" w:rsidRDefault="00BF0D05" w:rsidP="009C4DFC">
      <w:pPr>
        <w:pStyle w:val="FootnoteText"/>
      </w:pPr>
      <w:r>
        <w:rPr>
          <w:rStyle w:val="FootnoteReference"/>
        </w:rPr>
        <w:footnoteRef/>
      </w:r>
      <w:r>
        <w:rPr>
          <w:rtl/>
        </w:rPr>
        <w:t xml:space="preserve"> </w:t>
      </w:r>
      <w:r w:rsidRPr="009C4DFC">
        <w:rPr>
          <w:rFonts w:asciiTheme="majorBidi" w:hAnsiTheme="majorBidi" w:cstheme="majorBidi"/>
        </w:rPr>
        <w:t>This means that the drink variable was highly skewed, and thus was more suitable to use as a filter variable, than to control for within the regression models.</w:t>
      </w:r>
    </w:p>
  </w:footnote>
  <w:footnote w:id="2">
    <w:p w:rsidR="00F523AA" w:rsidRDefault="00F523AA" w:rsidP="009C4DFC">
      <w:pPr>
        <w:pStyle w:val="FootnoteText"/>
      </w:pPr>
      <w:r>
        <w:rPr>
          <w:rStyle w:val="FootnoteReference"/>
        </w:rPr>
        <w:footnoteRef/>
      </w:r>
      <w:r>
        <w:t xml:space="preserve"> </w:t>
      </w:r>
      <w:r w:rsidR="009C4DFC">
        <w:rPr>
          <w:rFonts w:asciiTheme="majorBidi" w:hAnsiTheme="majorBidi" w:cstheme="majorBidi"/>
          <w:szCs w:val="24"/>
        </w:rPr>
        <w:t xml:space="preserve">Thinking about drinking (n.d.a). Available at: </w:t>
      </w:r>
      <w:hyperlink r:id="rId1" w:history="1">
        <w:r w:rsidR="009C4DFC" w:rsidRPr="00E627B9">
          <w:rPr>
            <w:rStyle w:val="Hyperlink"/>
            <w:rFonts w:asciiTheme="majorBidi" w:hAnsiTheme="majorBidi" w:cstheme="majorBidi"/>
          </w:rPr>
          <w:t>http://thinkingaboutdrinking.msu.edu/index.php?option=com_content&amp;view=article&amp;id=3&amp;Itemid=13/</w:t>
        </w:r>
      </w:hyperlink>
      <w:r w:rsidR="009C4DFC">
        <w:rPr>
          <w:rFonts w:asciiTheme="majorBidi" w:hAnsiTheme="majorBidi" w:cstheme="majorBidi"/>
          <w:szCs w:val="24"/>
        </w:rPr>
        <w:t xml:space="preserve"> (accessed 14 January 20</w:t>
      </w:r>
      <w:r w:rsidR="009C4DFC" w:rsidRPr="00B83734">
        <w:rPr>
          <w:rFonts w:asciiTheme="majorBidi" w:hAnsiTheme="majorBidi" w:cstheme="majorBidi"/>
          <w:szCs w:val="24"/>
        </w:rPr>
        <w:t>16</w:t>
      </w:r>
      <w:r w:rsidR="009C4DFC">
        <w:rPr>
          <w:rFonts w:asciiTheme="majorBidi" w:hAnsiTheme="majorBidi" w:cstheme="majorBidi"/>
          <w:szCs w:val="24"/>
        </w:rPr>
        <w:t>)</w:t>
      </w:r>
      <w:r w:rsidR="009C4DFC" w:rsidRPr="00B83734">
        <w:rPr>
          <w:rFonts w:asciiTheme="majorBidi" w:hAnsiTheme="majorBidi" w:cstheme="majorBidi"/>
          <w:szCs w:val="24"/>
        </w:rPr>
        <w:t>.</w:t>
      </w:r>
    </w:p>
  </w:footnote>
  <w:footnote w:id="3">
    <w:p w:rsidR="009C4DFC" w:rsidRPr="009C4DFC" w:rsidRDefault="009C4DFC" w:rsidP="009C4DFC">
      <w:pPr>
        <w:rPr>
          <w:rFonts w:asciiTheme="majorBidi" w:hAnsiTheme="majorBidi" w:cstheme="majorBidi"/>
          <w:szCs w:val="24"/>
        </w:rPr>
      </w:pPr>
      <w:r>
        <w:rPr>
          <w:rStyle w:val="FootnoteReference"/>
        </w:rPr>
        <w:footnoteRef/>
      </w:r>
      <w:r>
        <w:t xml:space="preserve"> </w:t>
      </w:r>
      <w:r w:rsidRPr="009C4DFC">
        <w:rPr>
          <w:rFonts w:asciiTheme="majorBidi" w:hAnsiTheme="majorBidi" w:cstheme="majorBidi"/>
          <w:sz w:val="20"/>
          <w:szCs w:val="20"/>
        </w:rPr>
        <w:t xml:space="preserve">Thinking about drinking (n.d.b). Retrieved from </w:t>
      </w:r>
      <w:hyperlink r:id="rId2" w:history="1">
        <w:r w:rsidRPr="009C4DFC">
          <w:rPr>
            <w:rStyle w:val="Hyperlink"/>
            <w:rFonts w:asciiTheme="majorBidi" w:hAnsiTheme="majorBidi" w:cstheme="majorBidi"/>
            <w:sz w:val="20"/>
            <w:szCs w:val="20"/>
          </w:rPr>
          <w:t>http://thinkingaboutdrinking.msu.edu/index.php?option=com_content&amp;view=article&amp;id=6&amp;Itemid=16/</w:t>
        </w:r>
      </w:hyperlink>
      <w:r w:rsidRPr="009C4DFC">
        <w:rPr>
          <w:rStyle w:val="Hyperlink"/>
          <w:rFonts w:asciiTheme="majorBidi" w:hAnsiTheme="majorBidi" w:cstheme="majorBidi"/>
          <w:sz w:val="20"/>
          <w:szCs w:val="20"/>
        </w:rPr>
        <w:t xml:space="preserve"> </w:t>
      </w:r>
      <w:r w:rsidRPr="009C4DFC">
        <w:rPr>
          <w:rFonts w:asciiTheme="majorBidi" w:hAnsiTheme="majorBidi" w:cstheme="majorBidi"/>
          <w:sz w:val="20"/>
          <w:szCs w:val="20"/>
        </w:rPr>
        <w:t>(accessed 8 November 2016).</w:t>
      </w:r>
    </w:p>
  </w:footnote>
  <w:footnote w:id="4">
    <w:p w:rsidR="00BF0D05" w:rsidRDefault="00BF0D05" w:rsidP="009C4DFC">
      <w:pPr>
        <w:pStyle w:val="FootnoteText"/>
      </w:pPr>
      <w:r w:rsidRPr="00876155">
        <w:rPr>
          <w:rStyle w:val="FootnoteReference"/>
        </w:rPr>
        <w:footnoteRef/>
      </w:r>
      <w:r w:rsidRPr="00876155">
        <w:rPr>
          <w:rtl/>
        </w:rPr>
        <w:t xml:space="preserve"> </w:t>
      </w:r>
      <w:r w:rsidRPr="009C4DFC">
        <w:rPr>
          <w:rFonts w:asciiTheme="majorBidi" w:hAnsiTheme="majorBidi" w:cstheme="majorBidi"/>
        </w:rPr>
        <w:t>Two participants were from Israel, in which the weekend rest days are Friday and Saturday, whereas Sunday is a weekday. Thus, the dichotomous variable was coded accordingly for these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Default="0093429D" w:rsidP="0093429D">
    <w:r w:rsidRPr="005A1D84">
      <w:rPr>
        <w:b/>
        <w:noProof/>
        <w:color w:val="A6A6A6" w:themeColor="background1" w:themeShade="A6"/>
        <w:lang w:val="en-GB" w:eastAsia="en-GB"/>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5"/>
    <w:rsid w:val="0001436A"/>
    <w:rsid w:val="00020A6F"/>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2F4A26"/>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A1477"/>
    <w:rsid w:val="006B7D14"/>
    <w:rsid w:val="00701727"/>
    <w:rsid w:val="0070566C"/>
    <w:rsid w:val="00707E6A"/>
    <w:rsid w:val="00714C50"/>
    <w:rsid w:val="00725A7D"/>
    <w:rsid w:val="007501BE"/>
    <w:rsid w:val="00751DD4"/>
    <w:rsid w:val="00790BB3"/>
    <w:rsid w:val="007C206C"/>
    <w:rsid w:val="00817DD6"/>
    <w:rsid w:val="00885156"/>
    <w:rsid w:val="009151AA"/>
    <w:rsid w:val="0093429D"/>
    <w:rsid w:val="00943573"/>
    <w:rsid w:val="00970F7D"/>
    <w:rsid w:val="00994A3D"/>
    <w:rsid w:val="009C2B12"/>
    <w:rsid w:val="009C4DFC"/>
    <w:rsid w:val="00A174D9"/>
    <w:rsid w:val="00A76D86"/>
    <w:rsid w:val="00AB6715"/>
    <w:rsid w:val="00B1671E"/>
    <w:rsid w:val="00B25EB8"/>
    <w:rsid w:val="00B37F4D"/>
    <w:rsid w:val="00B606B4"/>
    <w:rsid w:val="00BA6070"/>
    <w:rsid w:val="00BF0D05"/>
    <w:rsid w:val="00C52A7B"/>
    <w:rsid w:val="00C56BAF"/>
    <w:rsid w:val="00C679AA"/>
    <w:rsid w:val="00C75972"/>
    <w:rsid w:val="00CD066B"/>
    <w:rsid w:val="00CE4FEE"/>
    <w:rsid w:val="00CF121A"/>
    <w:rsid w:val="00DB59C3"/>
    <w:rsid w:val="00DC259A"/>
    <w:rsid w:val="00DE23E8"/>
    <w:rsid w:val="00DF4C7A"/>
    <w:rsid w:val="00E52377"/>
    <w:rsid w:val="00E64E17"/>
    <w:rsid w:val="00E866C9"/>
    <w:rsid w:val="00EA3D3C"/>
    <w:rsid w:val="00F46900"/>
    <w:rsid w:val="00F523AA"/>
    <w:rsid w:val="00F61D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9D2360-4677-4034-BF5A-D60FFAC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nhideWhenUsed/>
    <w:rsid w:val="00AB6715"/>
    <w:pPr>
      <w:spacing w:after="0"/>
    </w:pPr>
    <w:rPr>
      <w:sz w:val="20"/>
      <w:szCs w:val="20"/>
    </w:rPr>
  </w:style>
  <w:style w:type="character" w:customStyle="1" w:styleId="FootnoteTextChar">
    <w:name w:val="Footnote Text Char"/>
    <w:basedOn w:val="DefaultParagraphFont"/>
    <w:link w:val="FootnoteText"/>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hinkingaboutdrinking.msu.edu/index.php?option=com_content&amp;view=article&amp;id=6&amp;Itemid=16/" TargetMode="External"/><Relationship Id="rId1" Type="http://schemas.openxmlformats.org/officeDocument/2006/relationships/hyperlink" Target="http://thinkingaboutdrinking.msu.edu/index.php?option=com_content&amp;view=article&amp;id=3&amp;Itemid=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irit\BGU%20faculty%20position\RESEARCH\Maladaptive%20Daydreaming%20-%20Eli%20Somer\daily%20study%20analyses%20-%20Im%20first%20Eli%20second\Frontiers%20in%20Psychiatry\Supplementary_Material%20Frontie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4EE666-5960-4F06-9450-E70E99C7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 Frontiers template.dotx</Template>
  <TotalTime>61</TotalTime>
  <Pages>3</Pages>
  <Words>957</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סופר</dc:creator>
  <cp:lastModifiedBy>nirit999@gmail.com</cp:lastModifiedBy>
  <cp:revision>7</cp:revision>
  <cp:lastPrinted>2013-10-03T12:51:00Z</cp:lastPrinted>
  <dcterms:created xsi:type="dcterms:W3CDTF">2018-03-21T15:08:00Z</dcterms:created>
  <dcterms:modified xsi:type="dcterms:W3CDTF">2018-03-22T11:05:00Z</dcterms:modified>
</cp:coreProperties>
</file>