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A2F84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86DAD14" w14:textId="77777777" w:rsidR="00817DD6" w:rsidRPr="001549D3" w:rsidRDefault="00087680" w:rsidP="0001436A">
      <w:pPr>
        <w:pStyle w:val="Title"/>
      </w:pPr>
      <w:proofErr w:type="spellStart"/>
      <w:r w:rsidRPr="00A97A12">
        <w:t>Glyco</w:t>
      </w:r>
      <w:proofErr w:type="spellEnd"/>
      <w:r w:rsidRPr="00A97A12">
        <w:t>-engineered anti-human PD-L1 antibody mediates stronger CD8 T cell activation than its normal glycosylated and non-glycosylated counterparts</w:t>
      </w:r>
    </w:p>
    <w:p w14:paraId="72958EBC" w14:textId="77777777" w:rsidR="002868E2" w:rsidRPr="00994A3D" w:rsidRDefault="00087680" w:rsidP="0001436A">
      <w:pPr>
        <w:pStyle w:val="AuthorList"/>
      </w:pPr>
      <w:r w:rsidRPr="00941175">
        <w:t>Christoph Goletz*, Timo Lischke, Ulf Harnack, Phillip Schiele, Antje Danielczyk, Johanna Rühmann, and Steffen Goletz</w:t>
      </w:r>
    </w:p>
    <w:p w14:paraId="6E91C485" w14:textId="77777777" w:rsidR="002868E2" w:rsidRPr="00406FC5" w:rsidRDefault="002868E2" w:rsidP="00406FC5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406FC5" w:rsidRPr="00406FC5">
        <w:rPr>
          <w:rFonts w:cs="Times New Roman"/>
        </w:rPr>
        <w:t>Christoph Goletz: Christoph.Goletz@glycotope.com</w:t>
      </w:r>
    </w:p>
    <w:p w14:paraId="692D16D4" w14:textId="77777777" w:rsidR="00994A3D" w:rsidRPr="00994A3D" w:rsidRDefault="00654E8F" w:rsidP="0001436A">
      <w:pPr>
        <w:pStyle w:val="Heading1"/>
      </w:pPr>
      <w:r w:rsidRPr="00994A3D">
        <w:t>Supplementary Tables</w:t>
      </w:r>
    </w:p>
    <w:p w14:paraId="01D1AE3E" w14:textId="77777777" w:rsidR="00994A3D" w:rsidRDefault="0057787D" w:rsidP="002B4A57">
      <w:r w:rsidRPr="003237D0">
        <w:rPr>
          <w:b/>
        </w:rPr>
        <w:t>Supplementary Table 1:</w:t>
      </w:r>
      <w:r>
        <w:t xml:space="preserve"> </w:t>
      </w:r>
      <w:r w:rsidR="00522993" w:rsidRPr="00522993">
        <w:t xml:space="preserve">Summary of </w:t>
      </w:r>
      <w:proofErr w:type="spellStart"/>
      <w:r w:rsidR="00522993" w:rsidRPr="00522993">
        <w:t>FcγRIIIa</w:t>
      </w:r>
      <w:proofErr w:type="spellEnd"/>
      <w:r w:rsidR="00522993" w:rsidRPr="00522993">
        <w:t xml:space="preserve"> binding of αPDL1</w:t>
      </w:r>
      <w:r w:rsidR="00522993" w:rsidRPr="00162CCA">
        <w:rPr>
          <w:vertAlign w:val="subscript"/>
        </w:rPr>
        <w:t>WT</w:t>
      </w:r>
      <w:r w:rsidR="00522993" w:rsidRPr="00522993">
        <w:t xml:space="preserve"> and αPDL1</w:t>
      </w:r>
      <w:r w:rsidR="00522993" w:rsidRPr="00162CCA">
        <w:rPr>
          <w:vertAlign w:val="subscript"/>
        </w:rPr>
        <w:t>GE</w:t>
      </w:r>
    </w:p>
    <w:tbl>
      <w:tblPr>
        <w:tblStyle w:val="Tabellenraster2"/>
        <w:tblW w:w="0" w:type="auto"/>
        <w:tblLook w:val="04A0" w:firstRow="1" w:lastRow="0" w:firstColumn="1" w:lastColumn="0" w:noHBand="0" w:noVBand="1"/>
      </w:tblPr>
      <w:tblGrid>
        <w:gridCol w:w="1142"/>
        <w:gridCol w:w="1756"/>
        <w:gridCol w:w="1756"/>
      </w:tblGrid>
      <w:tr w:rsidR="003237D0" w:rsidRPr="003237D0" w14:paraId="08A72066" w14:textId="77777777" w:rsidTr="00A9505C">
        <w:tc>
          <w:tcPr>
            <w:tcW w:w="1142" w:type="dxa"/>
          </w:tcPr>
          <w:p w14:paraId="6416313A" w14:textId="77777777" w:rsidR="003237D0" w:rsidRPr="003237D0" w:rsidRDefault="003237D0" w:rsidP="003237D0">
            <w:pPr>
              <w:spacing w:before="0" w:after="0"/>
              <w:jc w:val="center"/>
              <w:rPr>
                <w:rFonts w:ascii="Calibri" w:eastAsia="Calibri" w:hAnsi="Calibri"/>
                <w:b/>
                <w:sz w:val="22"/>
              </w:rPr>
            </w:pPr>
            <w:r w:rsidRPr="003237D0">
              <w:rPr>
                <w:rFonts w:ascii="Calibri" w:eastAsia="Calibri" w:hAnsi="Calibri"/>
                <w:b/>
                <w:sz w:val="22"/>
              </w:rPr>
              <w:t>antibody</w:t>
            </w:r>
          </w:p>
        </w:tc>
        <w:tc>
          <w:tcPr>
            <w:tcW w:w="1756" w:type="dxa"/>
          </w:tcPr>
          <w:p w14:paraId="426B5A76" w14:textId="77777777" w:rsidR="003237D0" w:rsidRPr="003237D0" w:rsidRDefault="003237D0" w:rsidP="003237D0">
            <w:pPr>
              <w:spacing w:before="0" w:after="0"/>
              <w:jc w:val="center"/>
              <w:rPr>
                <w:rFonts w:ascii="Calibri" w:eastAsia="Calibri" w:hAnsi="Calibri"/>
                <w:b/>
                <w:sz w:val="22"/>
              </w:rPr>
            </w:pPr>
            <w:r w:rsidRPr="003237D0">
              <w:rPr>
                <w:rFonts w:ascii="Calibri" w:eastAsia="Calibri" w:hAnsi="Calibri"/>
                <w:b/>
                <w:sz w:val="22"/>
              </w:rPr>
              <w:t xml:space="preserve">EC50 </w:t>
            </w:r>
            <w:r w:rsidRPr="003237D0">
              <w:rPr>
                <w:rFonts w:ascii="Calibri" w:eastAsia="Calibri" w:hAnsi="Calibri"/>
                <w:b/>
                <w:i/>
                <w:sz w:val="22"/>
              </w:rPr>
              <w:t>[µg/ml]</w:t>
            </w:r>
          </w:p>
        </w:tc>
        <w:tc>
          <w:tcPr>
            <w:tcW w:w="1756" w:type="dxa"/>
          </w:tcPr>
          <w:p w14:paraId="2B7A29ED" w14:textId="77777777" w:rsidR="003237D0" w:rsidRPr="003237D0" w:rsidRDefault="003237D0" w:rsidP="003237D0">
            <w:pPr>
              <w:spacing w:before="0" w:after="0"/>
              <w:jc w:val="center"/>
              <w:rPr>
                <w:rFonts w:ascii="Calibri" w:eastAsia="Calibri" w:hAnsi="Calibri"/>
                <w:b/>
                <w:sz w:val="22"/>
              </w:rPr>
            </w:pPr>
            <w:r w:rsidRPr="003237D0">
              <w:rPr>
                <w:rFonts w:ascii="Calibri" w:eastAsia="Calibri" w:hAnsi="Calibri"/>
                <w:b/>
                <w:sz w:val="22"/>
              </w:rPr>
              <w:t>relative potency</w:t>
            </w:r>
          </w:p>
        </w:tc>
      </w:tr>
      <w:tr w:rsidR="003237D0" w:rsidRPr="003237D0" w14:paraId="632CAF87" w14:textId="77777777" w:rsidTr="00A9505C">
        <w:tc>
          <w:tcPr>
            <w:tcW w:w="1142" w:type="dxa"/>
          </w:tcPr>
          <w:p w14:paraId="0E929E7B" w14:textId="77777777" w:rsidR="003237D0" w:rsidRPr="003237D0" w:rsidRDefault="003237D0" w:rsidP="003237D0">
            <w:pPr>
              <w:spacing w:before="0" w:after="0"/>
              <w:jc w:val="center"/>
              <w:rPr>
                <w:rFonts w:ascii="Calibri" w:eastAsia="Calibri" w:hAnsi="Calibri"/>
                <w:sz w:val="22"/>
              </w:rPr>
            </w:pPr>
            <w:r w:rsidRPr="003237D0">
              <w:rPr>
                <w:rFonts w:ascii="Calibri" w:eastAsia="Calibri" w:hAnsi="Calibri"/>
                <w:sz w:val="22"/>
              </w:rPr>
              <w:t>αPDL1</w:t>
            </w:r>
            <w:r w:rsidRPr="003237D0">
              <w:rPr>
                <w:rFonts w:ascii="Calibri" w:eastAsia="Calibri" w:hAnsi="Calibri"/>
                <w:sz w:val="22"/>
                <w:vertAlign w:val="subscript"/>
              </w:rPr>
              <w:t>WT</w:t>
            </w:r>
          </w:p>
        </w:tc>
        <w:tc>
          <w:tcPr>
            <w:tcW w:w="1756" w:type="dxa"/>
          </w:tcPr>
          <w:p w14:paraId="29D69BB8" w14:textId="77777777" w:rsidR="003237D0" w:rsidRPr="003237D0" w:rsidRDefault="003237D0" w:rsidP="003237D0">
            <w:pPr>
              <w:spacing w:before="0" w:after="0"/>
              <w:jc w:val="center"/>
              <w:rPr>
                <w:rFonts w:ascii="Calibri" w:eastAsia="Calibri" w:hAnsi="Calibri"/>
                <w:sz w:val="22"/>
              </w:rPr>
            </w:pPr>
            <w:r w:rsidRPr="003237D0">
              <w:rPr>
                <w:rFonts w:ascii="Calibri" w:eastAsia="Calibri" w:hAnsi="Calibri"/>
                <w:sz w:val="22"/>
              </w:rPr>
              <w:t>27.12</w:t>
            </w:r>
          </w:p>
        </w:tc>
        <w:tc>
          <w:tcPr>
            <w:tcW w:w="1756" w:type="dxa"/>
          </w:tcPr>
          <w:p w14:paraId="29209CD0" w14:textId="77777777" w:rsidR="003237D0" w:rsidRPr="003237D0" w:rsidRDefault="003237D0" w:rsidP="003237D0">
            <w:pPr>
              <w:spacing w:before="0" w:after="0"/>
              <w:jc w:val="center"/>
              <w:rPr>
                <w:rFonts w:ascii="Calibri" w:eastAsia="Calibri" w:hAnsi="Calibri"/>
                <w:sz w:val="22"/>
              </w:rPr>
            </w:pPr>
            <w:r w:rsidRPr="003237D0">
              <w:rPr>
                <w:rFonts w:ascii="Calibri" w:eastAsia="Calibri" w:hAnsi="Calibri"/>
                <w:sz w:val="22"/>
              </w:rPr>
              <w:t>-</w:t>
            </w:r>
          </w:p>
        </w:tc>
      </w:tr>
      <w:tr w:rsidR="003237D0" w:rsidRPr="003237D0" w14:paraId="75DC8C8F" w14:textId="77777777" w:rsidTr="00A9505C">
        <w:tc>
          <w:tcPr>
            <w:tcW w:w="1142" w:type="dxa"/>
          </w:tcPr>
          <w:p w14:paraId="4456B153" w14:textId="77777777" w:rsidR="003237D0" w:rsidRPr="003237D0" w:rsidRDefault="003237D0" w:rsidP="003237D0">
            <w:pPr>
              <w:spacing w:before="0" w:after="0"/>
              <w:jc w:val="center"/>
              <w:rPr>
                <w:rFonts w:ascii="Calibri" w:eastAsia="Calibri" w:hAnsi="Calibri"/>
                <w:sz w:val="22"/>
              </w:rPr>
            </w:pPr>
            <w:r w:rsidRPr="003237D0">
              <w:rPr>
                <w:rFonts w:ascii="Calibri" w:eastAsia="Calibri" w:hAnsi="Calibri"/>
                <w:sz w:val="22"/>
              </w:rPr>
              <w:t>αPDL1</w:t>
            </w:r>
            <w:r w:rsidRPr="003237D0">
              <w:rPr>
                <w:rFonts w:ascii="Calibri" w:eastAsia="Calibri" w:hAnsi="Calibri"/>
                <w:sz w:val="22"/>
                <w:vertAlign w:val="subscript"/>
              </w:rPr>
              <w:t>GE</w:t>
            </w:r>
          </w:p>
        </w:tc>
        <w:tc>
          <w:tcPr>
            <w:tcW w:w="1756" w:type="dxa"/>
          </w:tcPr>
          <w:p w14:paraId="4CDD8A7A" w14:textId="77777777" w:rsidR="003237D0" w:rsidRPr="003237D0" w:rsidRDefault="003237D0" w:rsidP="003237D0">
            <w:pPr>
              <w:spacing w:before="0" w:after="0"/>
              <w:jc w:val="center"/>
              <w:rPr>
                <w:rFonts w:ascii="Calibri" w:eastAsia="Calibri" w:hAnsi="Calibri"/>
                <w:sz w:val="22"/>
              </w:rPr>
            </w:pPr>
            <w:r w:rsidRPr="003237D0">
              <w:rPr>
                <w:rFonts w:ascii="Calibri" w:eastAsia="Calibri" w:hAnsi="Calibri"/>
                <w:sz w:val="22"/>
              </w:rPr>
              <w:t>6.81</w:t>
            </w:r>
          </w:p>
        </w:tc>
        <w:tc>
          <w:tcPr>
            <w:tcW w:w="1756" w:type="dxa"/>
          </w:tcPr>
          <w:p w14:paraId="6A16558A" w14:textId="77777777" w:rsidR="003237D0" w:rsidRPr="003237D0" w:rsidRDefault="003237D0" w:rsidP="003237D0">
            <w:pPr>
              <w:spacing w:before="0" w:after="0"/>
              <w:jc w:val="center"/>
              <w:rPr>
                <w:rFonts w:ascii="Calibri" w:eastAsia="Calibri" w:hAnsi="Calibri"/>
                <w:sz w:val="22"/>
              </w:rPr>
            </w:pPr>
            <w:r w:rsidRPr="003237D0">
              <w:rPr>
                <w:rFonts w:ascii="Calibri" w:eastAsia="Calibri" w:hAnsi="Calibri"/>
                <w:sz w:val="22"/>
              </w:rPr>
              <w:t>3.98</w:t>
            </w:r>
          </w:p>
        </w:tc>
      </w:tr>
    </w:tbl>
    <w:p w14:paraId="29094CB3" w14:textId="77777777" w:rsidR="005541FD" w:rsidRDefault="005541FD" w:rsidP="003237D0"/>
    <w:p w14:paraId="64D04784" w14:textId="77777777" w:rsidR="005541FD" w:rsidRDefault="005541FD" w:rsidP="005541FD">
      <w:pPr>
        <w:pStyle w:val="Title"/>
      </w:pPr>
      <w:r>
        <w:br w:type="page"/>
      </w:r>
    </w:p>
    <w:tbl>
      <w:tblPr>
        <w:tblW w:w="1065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320"/>
        <w:gridCol w:w="772"/>
        <w:gridCol w:w="589"/>
        <w:gridCol w:w="283"/>
        <w:gridCol w:w="746"/>
        <w:gridCol w:w="568"/>
        <w:gridCol w:w="283"/>
        <w:gridCol w:w="456"/>
        <w:gridCol w:w="756"/>
        <w:gridCol w:w="577"/>
        <w:gridCol w:w="283"/>
        <w:gridCol w:w="433"/>
        <w:gridCol w:w="756"/>
        <w:gridCol w:w="577"/>
        <w:gridCol w:w="283"/>
        <w:gridCol w:w="433"/>
      </w:tblGrid>
      <w:tr w:rsidR="005541FD" w:rsidRPr="005541FD" w14:paraId="1B688114" w14:textId="77777777" w:rsidTr="005541FD">
        <w:trPr>
          <w:trHeight w:val="5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480A6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3726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% CD25+ of ...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7449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Medium</w:t>
            </w:r>
          </w:p>
        </w:tc>
        <w:tc>
          <w:tcPr>
            <w:tcW w:w="20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F94D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αPDL1</w:t>
            </w: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bscript"/>
                <w:lang w:val="de-DE" w:eastAsia="de-DE"/>
              </w:rPr>
              <w:t>NG</w:t>
            </w:r>
          </w:p>
        </w:tc>
        <w:tc>
          <w:tcPr>
            <w:tcW w:w="20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BE36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αPDL1</w:t>
            </w: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bscript"/>
                <w:lang w:val="de-DE" w:eastAsia="de-DE"/>
              </w:rPr>
              <w:t>WT</w:t>
            </w:r>
          </w:p>
        </w:tc>
        <w:tc>
          <w:tcPr>
            <w:tcW w:w="20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0325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αPDL1</w:t>
            </w: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bscript"/>
                <w:lang w:val="de-DE" w:eastAsia="de-DE"/>
              </w:rPr>
              <w:t>GE</w:t>
            </w:r>
          </w:p>
        </w:tc>
      </w:tr>
      <w:tr w:rsidR="005541FD" w:rsidRPr="005541FD" w14:paraId="3F94A459" w14:textId="77777777" w:rsidTr="005541FD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9F8E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1C269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F5FC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Mean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9519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SEM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9DAC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B529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Mean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D264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SEM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20C4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E243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DCC2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Mean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F611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SEM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99C1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6811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2938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Mean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2967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SEM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2902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34B4" w14:textId="77777777" w:rsidR="005541FD" w:rsidRPr="005541FD" w:rsidRDefault="005541FD" w:rsidP="005541FD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 </w:t>
            </w:r>
          </w:p>
        </w:tc>
      </w:tr>
      <w:tr w:rsidR="005541FD" w:rsidRPr="005541FD" w14:paraId="76D8136C" w14:textId="77777777" w:rsidTr="005541FD">
        <w:trPr>
          <w:trHeight w:val="300"/>
        </w:trPr>
        <w:tc>
          <w:tcPr>
            <w:tcW w:w="1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4471C4B2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  <w:t>total PBMC from donor 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BCC0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CD8 T cells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F4A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7,7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A1E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1,5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0E3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B616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11,7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31A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5,4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937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8CAF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D57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11,2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F3E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0,3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AAE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5296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346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53,4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6E8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1,4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E41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CA7ADB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**</w:t>
            </w:r>
          </w:p>
        </w:tc>
      </w:tr>
      <w:tr w:rsidR="005541FD" w:rsidRPr="005541FD" w14:paraId="12551A87" w14:textId="77777777" w:rsidTr="005541FD">
        <w:trPr>
          <w:trHeight w:val="315"/>
        </w:trPr>
        <w:tc>
          <w:tcPr>
            <w:tcW w:w="1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6E1DB4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6BD0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CD4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FA3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19,2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8F7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2,6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4AE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549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24,1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082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8,4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1A2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7353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235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20,2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F243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C18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C23D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7D7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38,0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403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4,0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F6F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45245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</w:tr>
      <w:tr w:rsidR="005541FD" w:rsidRPr="005541FD" w14:paraId="439135A9" w14:textId="77777777" w:rsidTr="005541FD">
        <w:trPr>
          <w:trHeight w:val="300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65E77173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  <w:t>isolated T cells from donor 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42C2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CD8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019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14,8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D41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9F8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76E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20,0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785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2,1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A34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D149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B15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26,2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207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58D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A02C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B74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41,5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5CB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83B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B5FBFF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***</w:t>
            </w:r>
          </w:p>
        </w:tc>
      </w:tr>
      <w:tr w:rsidR="005541FD" w:rsidRPr="005541FD" w14:paraId="6311C11B" w14:textId="77777777" w:rsidTr="005541FD">
        <w:trPr>
          <w:trHeight w:val="315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C46DEF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45FC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CD4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BE6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35,4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020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4,5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F42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50C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43,2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257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9A1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8B72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708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47,5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C16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83A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90F4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B5D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48,2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9A5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2,7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213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18B81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</w:tr>
      <w:tr w:rsidR="005541FD" w:rsidRPr="005541FD" w14:paraId="66520174" w14:textId="77777777" w:rsidTr="005541FD">
        <w:trPr>
          <w:trHeight w:val="330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3B2A22B8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  <w:t>isolated T cells from donor 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B4A0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CD8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386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20,0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0FA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2,3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542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2CA3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34,8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6C9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BA3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902A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751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42,8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11C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2,1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F2A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9CCD4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CAE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52,1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598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4,5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766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B70544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**</w:t>
            </w:r>
          </w:p>
        </w:tc>
      </w:tr>
      <w:tr w:rsidR="005541FD" w:rsidRPr="005541FD" w14:paraId="135E2BC9" w14:textId="77777777" w:rsidTr="005541FD">
        <w:trPr>
          <w:trHeight w:val="315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0EB3CD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B88F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CD4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0DC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20,4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791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3,7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5EB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79F6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21,3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7FE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6B5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6E1B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D8C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27,9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05E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4,7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D85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4E22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733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30,4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475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B57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E2AD7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</w:tr>
      <w:tr w:rsidR="005541FD" w:rsidRPr="005541FD" w14:paraId="6BBA205A" w14:textId="77777777" w:rsidTr="005541FD">
        <w:trPr>
          <w:trHeight w:val="300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1EC281E8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  <w:t>total PBMC from donor 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6A7D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CD8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02A6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6,1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477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4E3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8816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10,9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AF8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3,0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7BE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2CC7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CDE6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6,9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B0E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025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645A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92B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43,7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049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0E3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7F7CC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***</w:t>
            </w:r>
          </w:p>
        </w:tc>
      </w:tr>
      <w:tr w:rsidR="005541FD" w:rsidRPr="005541FD" w14:paraId="3F313CA2" w14:textId="77777777" w:rsidTr="005541FD">
        <w:trPr>
          <w:trHeight w:val="315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781554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2270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CD4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043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20,0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AB6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3,0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189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E72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23,2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70E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3,5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CD5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B157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208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16,7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F28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0F8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D2D8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769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22,8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768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2,2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A8F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19F83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</w:tr>
      <w:tr w:rsidR="005541FD" w:rsidRPr="005541FD" w14:paraId="375573E8" w14:textId="77777777" w:rsidTr="005541FD">
        <w:trPr>
          <w:trHeight w:val="300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5EEFD6BC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  <w:t>total PBMC from donor 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D9DE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CD8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DEE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0,9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57A6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431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F7D4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2,6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084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4C7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F4FA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F7F6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6,4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436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9DC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D3D2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0FE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7,3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116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237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268A7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</w:t>
            </w:r>
          </w:p>
        </w:tc>
      </w:tr>
      <w:tr w:rsidR="005541FD" w:rsidRPr="005541FD" w14:paraId="74663369" w14:textId="77777777" w:rsidTr="005541FD">
        <w:trPr>
          <w:trHeight w:val="315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4C6FAF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8129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CD4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F403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5,1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E31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E40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E7F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8,9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F91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06E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DAA8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39D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13,1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F30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2,4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378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A297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65A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9,7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A51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F1E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5C0E6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</w:tr>
      <w:tr w:rsidR="005541FD" w:rsidRPr="005541FD" w14:paraId="24160C27" w14:textId="77777777" w:rsidTr="005541FD">
        <w:trPr>
          <w:trHeight w:val="300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0FCF26A7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  <w:t>total PBMC from donor F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908A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CD8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B6A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0,6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16A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E30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913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0,9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70D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550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D4B8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754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3,3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135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749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4363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081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6,5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BC4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02C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EA113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**</w:t>
            </w:r>
          </w:p>
        </w:tc>
      </w:tr>
      <w:tr w:rsidR="005541FD" w:rsidRPr="005541FD" w14:paraId="130C75E3" w14:textId="77777777" w:rsidTr="005541FD">
        <w:trPr>
          <w:trHeight w:val="315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DCFB1F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D4FD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CD4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CA2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7,9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DE4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5F2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3FD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8,3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068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3B33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BD31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B3F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13,8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59F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DC0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F82D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B02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13,7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F31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529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F2C8A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</w:tr>
      <w:tr w:rsidR="005541FD" w:rsidRPr="005541FD" w14:paraId="71A5463C" w14:textId="77777777" w:rsidTr="005541FD">
        <w:trPr>
          <w:trHeight w:val="300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60135171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  <w:t>isolated T cells from donor G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3CEE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CD8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715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13,4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129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DC1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358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25,2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529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3,7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1676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A222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B01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24,8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55F7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3,9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EF5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04AB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FE2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33,6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AC1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596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56BD34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</w:t>
            </w:r>
          </w:p>
        </w:tc>
      </w:tr>
      <w:tr w:rsidR="005541FD" w:rsidRPr="005541FD" w14:paraId="46F0CD08" w14:textId="77777777" w:rsidTr="005541FD">
        <w:trPr>
          <w:trHeight w:val="315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845D89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46C8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CD4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43C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22,6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941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26C6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7F0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40,5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139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3,3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6E8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6B51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CB55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42,1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4B9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4,1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36F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DB1B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5CD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46,9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BF1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27F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9925E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</w:t>
            </w:r>
          </w:p>
        </w:tc>
      </w:tr>
      <w:tr w:rsidR="005541FD" w:rsidRPr="005541FD" w14:paraId="47AA33CB" w14:textId="77777777" w:rsidTr="005541FD">
        <w:trPr>
          <w:trHeight w:val="315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1EF67E2E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de-DE"/>
              </w:rPr>
              <w:t>isolated T cells from donor 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6F1E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CD8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CBE2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23,0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6BD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4,0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605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7A56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34,1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381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1,5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917E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6A42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5DD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34,5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B2B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3,1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D32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63FF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DA4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43,1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52F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1198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EC6B6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*</w:t>
            </w:r>
          </w:p>
        </w:tc>
      </w:tr>
      <w:tr w:rsidR="005541FD" w:rsidRPr="005541FD" w14:paraId="427BEDA4" w14:textId="77777777" w:rsidTr="005541FD">
        <w:trPr>
          <w:trHeight w:val="315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91E05D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4605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CD4 T cells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1FC9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44,0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200F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2,5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C894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832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52,5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0BAB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936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F962" w14:textId="77777777" w:rsidR="005541FD" w:rsidRPr="005541FD" w:rsidRDefault="005541FD" w:rsidP="005541FD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</w:pPr>
            <w:r w:rsidRPr="005541FD">
              <w:rPr>
                <w:rFonts w:ascii="Calibri" w:eastAsia="Times New Roman" w:hAnsi="Calibri" w:cs="Times New Roman"/>
                <w:color w:val="000000"/>
                <w:sz w:val="22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276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56,6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6021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3,0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C29A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8E5F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B93D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b/>
                <w:bCs/>
                <w:sz w:val="18"/>
                <w:szCs w:val="18"/>
                <w:lang w:val="de-DE" w:eastAsia="de-DE"/>
              </w:rPr>
              <w:t>55,4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3420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0,1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76BC" w14:textId="77777777" w:rsidR="005541FD" w:rsidRPr="005541FD" w:rsidRDefault="005541FD" w:rsidP="005541FD">
            <w:pPr>
              <w:spacing w:before="0" w:after="0"/>
              <w:jc w:val="right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4CC3B" w14:textId="77777777" w:rsidR="005541FD" w:rsidRPr="005541FD" w:rsidRDefault="005541FD" w:rsidP="005541FD">
            <w:pPr>
              <w:spacing w:before="0" w:after="0"/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</w:pPr>
            <w:r w:rsidRPr="005541FD">
              <w:rPr>
                <w:rFonts w:ascii="Arial" w:eastAsia="Times New Roman" w:hAnsi="Arial" w:cs="Arial"/>
                <w:sz w:val="18"/>
                <w:szCs w:val="18"/>
                <w:lang w:val="de-DE" w:eastAsia="de-DE"/>
              </w:rPr>
              <w:t>n.s.</w:t>
            </w:r>
          </w:p>
        </w:tc>
      </w:tr>
    </w:tbl>
    <w:p w14:paraId="2758904F" w14:textId="77777777" w:rsidR="003237D0" w:rsidRDefault="003237D0" w:rsidP="003237D0">
      <w:r>
        <w:rPr>
          <w:b/>
        </w:rPr>
        <w:t>Supplementary Table 2</w:t>
      </w:r>
      <w:r w:rsidRPr="003237D0">
        <w:t>: Summary of CD8 and CD4 T cell activation in MLR assays using different donors</w:t>
      </w:r>
      <w:r>
        <w:t xml:space="preserve">. </w:t>
      </w:r>
      <w:r w:rsidRPr="003237D0">
        <w:t>The table shows the Mean, SEM and number of replicates of relative frequencies of CD25</w:t>
      </w:r>
      <w:r w:rsidRPr="00D14006">
        <w:rPr>
          <w:vertAlign w:val="superscript"/>
        </w:rPr>
        <w:t>+</w:t>
      </w:r>
      <w:r w:rsidRPr="003237D0">
        <w:t xml:space="preserve"> in CD8 T cells and CD4 T cells measured in MLR assays using isolated T cells of total PBMCs from different donors as responder cells. Significance was tested against the medium control. P values were determined by using a One-Way ANOVA and a Bonferroni </w:t>
      </w:r>
      <w:proofErr w:type="spellStart"/>
      <w:r w:rsidRPr="003237D0">
        <w:t>post test</w:t>
      </w:r>
      <w:proofErr w:type="spellEnd"/>
      <w:r w:rsidRPr="003237D0">
        <w:t xml:space="preserve"> (*p &lt; 0.05; **p &lt; 0.01; ***p &lt; 0.001; ****p &lt; 0.</w:t>
      </w:r>
      <w:r w:rsidR="003A5CC9">
        <w:t>0</w:t>
      </w:r>
      <w:r w:rsidRPr="003237D0">
        <w:t>001; ns = not significant).</w:t>
      </w:r>
    </w:p>
    <w:p w14:paraId="0BA4F77A" w14:textId="77777777" w:rsidR="003237D0" w:rsidRPr="005541FD" w:rsidRDefault="003237D0" w:rsidP="003237D0"/>
    <w:p w14:paraId="52B6AF74" w14:textId="77777777" w:rsidR="003237D0" w:rsidRDefault="00994A3D" w:rsidP="00E90169">
      <w:pPr>
        <w:pStyle w:val="Heading1"/>
        <w:keepNext/>
      </w:pPr>
      <w:r w:rsidRPr="0001436A">
        <w:lastRenderedPageBreak/>
        <w:t>Supplementary</w:t>
      </w:r>
      <w:r w:rsidRPr="001549D3">
        <w:t xml:space="preserve"> Figures</w:t>
      </w:r>
      <w:bookmarkStart w:id="0" w:name="OLE_LINK2"/>
    </w:p>
    <w:p w14:paraId="4575CE75" w14:textId="77777777" w:rsidR="003237D0" w:rsidRDefault="003237D0" w:rsidP="003237D0">
      <w:pPr>
        <w:jc w:val="center"/>
        <w:rPr>
          <w:b/>
        </w:rPr>
      </w:pPr>
      <w:r>
        <w:rPr>
          <w:b/>
          <w:noProof/>
          <w:lang w:val="de-DE" w:eastAsia="de-DE"/>
        </w:rPr>
        <w:drawing>
          <wp:inline distT="0" distB="0" distL="0" distR="0" wp14:anchorId="459476ED" wp14:editId="6BA348D2">
            <wp:extent cx="6208395" cy="2695209"/>
            <wp:effectExtent l="0" t="0" r="1905" b="0"/>
            <wp:docPr id="15" name="Grafik 15" descr="F:\Immunomodulation\Erstellen_Publikationen\Paper_anti-PD-L1_Glyco-engineering\an Frontiers of Immunology\Figures\Fig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munomodulation\Erstellen_Publikationen\Paper_anti-PD-L1_Glyco-engineering\an Frontiers of Immunology\Figures\Fig 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69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37E25C3" w14:textId="77777777" w:rsidR="00994A3D" w:rsidRPr="003237D0" w:rsidRDefault="00994A3D" w:rsidP="003237D0">
      <w:r w:rsidRPr="003237D0">
        <w:rPr>
          <w:b/>
        </w:rPr>
        <w:t xml:space="preserve">Supplementary Figure </w:t>
      </w:r>
      <w:r w:rsidRPr="003237D0">
        <w:rPr>
          <w:b/>
        </w:rPr>
        <w:fldChar w:fldCharType="begin"/>
      </w:r>
      <w:r w:rsidRPr="003237D0">
        <w:rPr>
          <w:b/>
        </w:rPr>
        <w:instrText xml:space="preserve"> SEQ Figure \* ARABIC </w:instrText>
      </w:r>
      <w:r w:rsidRPr="003237D0">
        <w:rPr>
          <w:b/>
        </w:rPr>
        <w:fldChar w:fldCharType="separate"/>
      </w:r>
      <w:r w:rsidR="00A90D27" w:rsidRPr="003237D0">
        <w:rPr>
          <w:b/>
          <w:noProof/>
        </w:rPr>
        <w:t>1</w:t>
      </w:r>
      <w:r w:rsidRPr="003237D0">
        <w:rPr>
          <w:b/>
        </w:rPr>
        <w:fldChar w:fldCharType="end"/>
      </w:r>
      <w:bookmarkEnd w:id="0"/>
      <w:r w:rsidR="00E90169" w:rsidRPr="003237D0">
        <w:rPr>
          <w:b/>
        </w:rPr>
        <w:t xml:space="preserve">: </w:t>
      </w:r>
      <w:r w:rsidR="00E90169" w:rsidRPr="003237D0">
        <w:t>Cross-reactivity ELISA for binding to PD-L1 from other species and for other B7 family members. OD</w:t>
      </w:r>
      <w:r w:rsidR="00E90169" w:rsidRPr="00491211">
        <w:rPr>
          <w:vertAlign w:val="subscript"/>
        </w:rPr>
        <w:t>450-620</w:t>
      </w:r>
      <w:r w:rsidR="00E90169" w:rsidRPr="003237D0">
        <w:t xml:space="preserve"> values were plotted for αPDL1</w:t>
      </w:r>
      <w:r w:rsidR="00E90169" w:rsidRPr="00491211">
        <w:rPr>
          <w:vertAlign w:val="subscript"/>
        </w:rPr>
        <w:t>NG</w:t>
      </w:r>
      <w:r w:rsidR="00E90169" w:rsidRPr="003237D0">
        <w:t xml:space="preserve"> (white), αPDL1</w:t>
      </w:r>
      <w:r w:rsidR="00E90169" w:rsidRPr="00491211">
        <w:rPr>
          <w:vertAlign w:val="subscript"/>
        </w:rPr>
        <w:t>WT</w:t>
      </w:r>
      <w:r w:rsidR="00E90169" w:rsidRPr="003237D0">
        <w:t xml:space="preserve"> (gray), αPDL1</w:t>
      </w:r>
      <w:r w:rsidR="00E90169" w:rsidRPr="00491211">
        <w:rPr>
          <w:vertAlign w:val="subscript"/>
        </w:rPr>
        <w:t>GE</w:t>
      </w:r>
      <w:r w:rsidR="00E90169" w:rsidRPr="003237D0">
        <w:t xml:space="preserve"> (black), and ipilimumab (anti-human CTLA-4, shaded) to show antibody binding of plate-bound PD-L1 from human, mouse, rat and cynomolgus monkey, as well as binding to plate-bound human PD-L2, CD80, CD86, B7-H3, B7-H4, B7-H5, and CTLA-4. Test antibodies were incubated with saturating concentrations and detected with a secondary goat anti-hu IgG Fc-POD antibody. </w:t>
      </w:r>
      <w:r w:rsidR="00D14006">
        <w:t>S</w:t>
      </w:r>
      <w:r w:rsidR="00E90169" w:rsidRPr="003237D0">
        <w:t>tatistics: mean and SD of duplicates were plotted. Data are representative of two independent experiments.</w:t>
      </w:r>
    </w:p>
    <w:p w14:paraId="297B79B7" w14:textId="77777777" w:rsidR="00B869EF" w:rsidRDefault="00B869EF" w:rsidP="00E90169">
      <w:pPr>
        <w:keepNext/>
        <w:rPr>
          <w:rFonts w:cs="Times New Roman"/>
          <w:szCs w:val="24"/>
        </w:rPr>
      </w:pPr>
    </w:p>
    <w:p w14:paraId="00F92D16" w14:textId="77777777" w:rsidR="00903F34" w:rsidRDefault="00B869EF" w:rsidP="001902C5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722DA19D" wp14:editId="5B9DF1A7">
            <wp:extent cx="2700000" cy="1613500"/>
            <wp:effectExtent l="0" t="0" r="5715" b="6350"/>
            <wp:docPr id="3" name="Grafik 3" descr="F:\Immunomodulation\Erstellen_Publikationen\Paper_anti-PD-L1_Glyco-engineering\an Frontiers of Immunology\Figures\Fig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munomodulation\Erstellen_Publikationen\Paper_anti-PD-L1_Glyco-engineering\an Frontiers of Immunology\Figures\Fig 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554C89FB" wp14:editId="745634C0">
            <wp:extent cx="2700000" cy="1613500"/>
            <wp:effectExtent l="0" t="0" r="5715" b="6350"/>
            <wp:docPr id="4" name="Grafik 4" descr="F:\Immunomodulation\Erstellen_Publikationen\Paper_anti-PD-L1_Glyco-engineering\an Frontiers of Immunology\Figures\Fig S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munomodulation\Erstellen_Publikationen\Paper_anti-PD-L1_Glyco-engineering\an Frontiers of Immunology\Figures\Fig S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6308" w14:textId="77777777" w:rsidR="00903F34" w:rsidRDefault="00A9405E" w:rsidP="00A9405E">
      <w:pPr>
        <w:keepNext/>
        <w:rPr>
          <w:rFonts w:cs="Times New Roman"/>
          <w:szCs w:val="24"/>
        </w:rPr>
      </w:pPr>
      <w:bookmarkStart w:id="2" w:name="OLE_LINK3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bookmarkEnd w:id="2"/>
      <w:r w:rsidRPr="00A9405E">
        <w:rPr>
          <w:rFonts w:cs="Times New Roman"/>
          <w:b/>
          <w:szCs w:val="24"/>
        </w:rPr>
        <w:t xml:space="preserve">: </w:t>
      </w:r>
      <w:r w:rsidRPr="00A9405E">
        <w:rPr>
          <w:rFonts w:cs="Times New Roman"/>
          <w:szCs w:val="24"/>
        </w:rPr>
        <w:t>Binding of anti-human PD-L1 variants to PD-L1</w:t>
      </w:r>
      <w:r w:rsidRPr="00B869EF">
        <w:rPr>
          <w:rFonts w:cs="Times New Roman"/>
          <w:szCs w:val="24"/>
          <w:vertAlign w:val="superscript"/>
        </w:rPr>
        <w:t>+</w:t>
      </w:r>
      <w:r w:rsidRPr="00A9405E">
        <w:rPr>
          <w:rFonts w:cs="Times New Roman"/>
          <w:szCs w:val="24"/>
        </w:rPr>
        <w:t xml:space="preserve"> DU-145 and PD-L1</w:t>
      </w:r>
      <w:r w:rsidRPr="00B869EF">
        <w:rPr>
          <w:rFonts w:cs="Times New Roman"/>
          <w:szCs w:val="24"/>
          <w:vertAlign w:val="superscript"/>
        </w:rPr>
        <w:t>–</w:t>
      </w:r>
      <w:r w:rsidRPr="00A9405E">
        <w:rPr>
          <w:rFonts w:cs="Times New Roman"/>
          <w:szCs w:val="24"/>
        </w:rPr>
        <w:t xml:space="preserve"> Ramos cells determined in flow cytometry. The median fluorescence intensity is plotted against increasing concentrations of αPDL1</w:t>
      </w:r>
      <w:r w:rsidRPr="00D14006">
        <w:rPr>
          <w:rFonts w:cs="Times New Roman"/>
          <w:szCs w:val="24"/>
          <w:vertAlign w:val="subscript"/>
        </w:rPr>
        <w:t>NG</w:t>
      </w:r>
      <w:r w:rsidRPr="00A9405E">
        <w:rPr>
          <w:rFonts w:cs="Times New Roman"/>
          <w:szCs w:val="24"/>
        </w:rPr>
        <w:t xml:space="preserve"> (open circles), αPDL1</w:t>
      </w:r>
      <w:r w:rsidRPr="00D14006">
        <w:rPr>
          <w:rFonts w:cs="Times New Roman"/>
          <w:szCs w:val="24"/>
          <w:vertAlign w:val="subscript"/>
        </w:rPr>
        <w:t>WT</w:t>
      </w:r>
      <w:r w:rsidRPr="00A9405E">
        <w:rPr>
          <w:rFonts w:cs="Times New Roman"/>
          <w:szCs w:val="24"/>
        </w:rPr>
        <w:t xml:space="preserve"> (gray triangles), αPDL1</w:t>
      </w:r>
      <w:r w:rsidRPr="00D14006">
        <w:rPr>
          <w:rFonts w:cs="Times New Roman"/>
          <w:szCs w:val="24"/>
          <w:vertAlign w:val="subscript"/>
        </w:rPr>
        <w:t>GE</w:t>
      </w:r>
      <w:r w:rsidRPr="00A9405E">
        <w:rPr>
          <w:rFonts w:cs="Times New Roman"/>
          <w:szCs w:val="24"/>
        </w:rPr>
        <w:t xml:space="preserve"> (black squares), and rituximab (anti-human CD20; black crosses). Rituximab was used as a positive control for binding to CD20</w:t>
      </w:r>
      <w:r w:rsidRPr="00B869EF">
        <w:rPr>
          <w:rFonts w:cs="Times New Roman"/>
          <w:szCs w:val="24"/>
          <w:vertAlign w:val="superscript"/>
        </w:rPr>
        <w:t>+</w:t>
      </w:r>
      <w:r w:rsidRPr="00A9405E">
        <w:rPr>
          <w:rFonts w:cs="Times New Roman"/>
          <w:szCs w:val="24"/>
        </w:rPr>
        <w:t xml:space="preserve"> Ramos cells. Test antibodies were detected using a secondary F(ab)</w:t>
      </w:r>
      <w:r w:rsidRPr="00B869EF">
        <w:rPr>
          <w:rFonts w:cs="Times New Roman"/>
          <w:szCs w:val="24"/>
          <w:vertAlign w:val="subscript"/>
        </w:rPr>
        <w:t>2</w:t>
      </w:r>
      <w:r w:rsidRPr="00A9405E">
        <w:rPr>
          <w:rFonts w:cs="Times New Roman"/>
          <w:szCs w:val="24"/>
        </w:rPr>
        <w:t xml:space="preserve"> fragment goat anti-human </w:t>
      </w:r>
      <w:proofErr w:type="spellStart"/>
      <w:r w:rsidRPr="00A9405E">
        <w:rPr>
          <w:rFonts w:cs="Times New Roman"/>
          <w:szCs w:val="24"/>
        </w:rPr>
        <w:t>IgG+IgM</w:t>
      </w:r>
      <w:proofErr w:type="spellEnd"/>
      <w:r w:rsidRPr="00A9405E">
        <w:rPr>
          <w:rFonts w:cs="Times New Roman"/>
          <w:szCs w:val="24"/>
        </w:rPr>
        <w:t xml:space="preserve"> (H+L) PE-conjugated antibody. Statistics: mean and SD of duplicates were plotted in all graphs. Data are representative of two independent experiments.</w:t>
      </w:r>
    </w:p>
    <w:p w14:paraId="1E3B1309" w14:textId="77777777" w:rsidR="007C1F4D" w:rsidRPr="002B4A57" w:rsidRDefault="007C1F4D" w:rsidP="00A9405E">
      <w:pPr>
        <w:keepNext/>
        <w:rPr>
          <w:rFonts w:cs="Times New Roman"/>
          <w:b/>
          <w:szCs w:val="24"/>
        </w:rPr>
      </w:pPr>
    </w:p>
    <w:p w14:paraId="5B55F94A" w14:textId="77777777" w:rsidR="003920EE" w:rsidRDefault="003920EE" w:rsidP="001902C5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drawing>
          <wp:inline distT="0" distB="0" distL="0" distR="0" wp14:anchorId="2A32B066" wp14:editId="75A5FC43">
            <wp:extent cx="4206240" cy="3030267"/>
            <wp:effectExtent l="0" t="0" r="3810" b="0"/>
            <wp:docPr id="5" name="Grafik 5" descr="F:\Immunomodulation\Erstellen_Publikationen\Paper_anti-PD-L1_Glyco-engineering\an Frontiers of Immunology\Figures\Fig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munomodulation\Erstellen_Publikationen\Paper_anti-PD-L1_Glyco-engineering\an Frontiers of Immunology\Figures\Fig S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75" cy="303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6E7E" w14:textId="77777777" w:rsidR="00DE23E8" w:rsidRDefault="003920EE" w:rsidP="003920EE">
      <w:pPr>
        <w:spacing w:before="240"/>
      </w:pPr>
      <w:bookmarkStart w:id="3" w:name="OLE_LINK4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bookmarkEnd w:id="3"/>
      <w:r>
        <w:t>: Expression of PD-L1 on PBMC subsets. PD-L1 expression on different immune cell populations of PBMCs from five different healthy donors was analyzed by a flow cytometry using a biotinylated anti-PD-L1 antibody. PBMC were blocked with human IgG prior to staining. Binding of anti-PD-L1 antibody was detected with Streptavidin-PE. Co-staining with fluorescence-labelled anti-CD19, -CD3, -CD14 and -CD56 allowed for gating on monocytes, T cells, B cells and NK cells, respectively. Statistics: besides individual data points, the median was plotted.</w:t>
      </w:r>
    </w:p>
    <w:p w14:paraId="78208CBF" w14:textId="77777777" w:rsidR="001902C5" w:rsidRDefault="001902C5" w:rsidP="003920EE">
      <w:pPr>
        <w:spacing w:before="240"/>
      </w:pPr>
    </w:p>
    <w:p w14:paraId="13C46557" w14:textId="77777777" w:rsidR="003920EE" w:rsidRDefault="001902C5" w:rsidP="001902C5">
      <w:pPr>
        <w:spacing w:before="240"/>
        <w:jc w:val="center"/>
      </w:pPr>
      <w:r>
        <w:rPr>
          <w:noProof/>
          <w:lang w:val="de-DE" w:eastAsia="de-DE"/>
        </w:rPr>
        <w:drawing>
          <wp:inline distT="0" distB="0" distL="0" distR="0" wp14:anchorId="7BCB93EB" wp14:editId="4BF688B2">
            <wp:extent cx="3196424" cy="2419212"/>
            <wp:effectExtent l="0" t="0" r="4445" b="635"/>
            <wp:docPr id="8" name="Grafik 8" descr="F:\Immunomodulation\Erstellen_Publikationen\Paper_anti-PD-L1_Glyco-engineering\an Frontiers of Immunology\Figures\Fig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munomodulation\Erstellen_Publikationen\Paper_anti-PD-L1_Glyco-engineering\an Frontiers of Immunology\Figures\Fig 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70" cy="242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06816" w14:textId="77777777" w:rsidR="00240D09" w:rsidRDefault="0006054D" w:rsidP="0006054D">
      <w:pPr>
        <w:spacing w:before="240"/>
      </w:pPr>
      <w:bookmarkStart w:id="4" w:name="OLE_LINK5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bookmarkEnd w:id="4"/>
      <w:r>
        <w:t>: Phenotype of monocyte-derived dendritic cells. The monocyte-derived dendritic cells (</w:t>
      </w:r>
      <w:proofErr w:type="spellStart"/>
      <w:r>
        <w:t>moDC</w:t>
      </w:r>
      <w:proofErr w:type="spellEnd"/>
      <w:r>
        <w:t xml:space="preserve">) used for the MLR were </w:t>
      </w:r>
      <w:proofErr w:type="spellStart"/>
      <w:r>
        <w:t>phenotyped</w:t>
      </w:r>
      <w:proofErr w:type="spellEnd"/>
      <w:r>
        <w:t xml:space="preserve"> by flow cytometry according to expression of various differentiation molecules. The relative frequencies of CD14</w:t>
      </w:r>
      <w:r w:rsidRPr="0006054D">
        <w:rPr>
          <w:vertAlign w:val="superscript"/>
        </w:rPr>
        <w:t>+</w:t>
      </w:r>
      <w:r>
        <w:t>, CD16</w:t>
      </w:r>
      <w:r w:rsidRPr="0006054D">
        <w:rPr>
          <w:vertAlign w:val="superscript"/>
        </w:rPr>
        <w:t>+</w:t>
      </w:r>
      <w:r>
        <w:t>, CD40</w:t>
      </w:r>
      <w:r w:rsidRPr="0006054D">
        <w:rPr>
          <w:vertAlign w:val="superscript"/>
        </w:rPr>
        <w:t>+</w:t>
      </w:r>
      <w:r>
        <w:t>, CD80</w:t>
      </w:r>
      <w:r w:rsidRPr="0006054D">
        <w:rPr>
          <w:vertAlign w:val="superscript"/>
        </w:rPr>
        <w:t>+</w:t>
      </w:r>
      <w:r>
        <w:t>, CD83</w:t>
      </w:r>
      <w:r w:rsidRPr="0006054D">
        <w:rPr>
          <w:vertAlign w:val="superscript"/>
        </w:rPr>
        <w:t>+</w:t>
      </w:r>
      <w:r>
        <w:t>, CD86</w:t>
      </w:r>
      <w:r w:rsidRPr="0006054D">
        <w:rPr>
          <w:vertAlign w:val="superscript"/>
        </w:rPr>
        <w:t>+</w:t>
      </w:r>
      <w:r>
        <w:t>, CD209</w:t>
      </w:r>
      <w:r w:rsidRPr="0006054D">
        <w:rPr>
          <w:vertAlign w:val="superscript"/>
        </w:rPr>
        <w:t>+</w:t>
      </w:r>
      <w:r>
        <w:t>, CD274</w:t>
      </w:r>
      <w:r w:rsidRPr="0006054D">
        <w:rPr>
          <w:vertAlign w:val="superscript"/>
        </w:rPr>
        <w:t>+</w:t>
      </w:r>
      <w:r>
        <w:t>, and HLA-DR</w:t>
      </w:r>
      <w:r w:rsidRPr="0006054D">
        <w:rPr>
          <w:vertAlign w:val="superscript"/>
        </w:rPr>
        <w:t>+</w:t>
      </w:r>
      <w:r>
        <w:t xml:space="preserve"> cells were plotted. Statistics: mean and SEM of ten individual experiments were plotted.</w:t>
      </w:r>
    </w:p>
    <w:p w14:paraId="2355F7A6" w14:textId="77777777" w:rsidR="00240D09" w:rsidRDefault="00240D09" w:rsidP="00240D09">
      <w:pPr>
        <w:pStyle w:val="Title"/>
      </w:pPr>
      <w:r>
        <w:br w:type="page"/>
      </w:r>
    </w:p>
    <w:p w14:paraId="340A6543" w14:textId="77777777" w:rsidR="001902C5" w:rsidRDefault="001902C5" w:rsidP="001902C5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lastRenderedPageBreak/>
        <w:drawing>
          <wp:inline distT="0" distB="0" distL="0" distR="0" wp14:anchorId="4BE6E4E9" wp14:editId="73E8AD16">
            <wp:extent cx="2700000" cy="2303110"/>
            <wp:effectExtent l="0" t="0" r="5715" b="2540"/>
            <wp:docPr id="9" name="Grafik 9" descr="F:\Immunomodulation\Erstellen_Publikationen\Paper_anti-PD-L1_Glyco-engineering\an Frontiers of Immunology\Figures\Fig S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munomodulation\Erstellen_Publikationen\Paper_anti-PD-L1_Glyco-engineering\an Frontiers of Immunology\Figures\Fig S5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3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Cs w:val="24"/>
          <w:lang w:val="de-DE" w:eastAsia="de-DE"/>
        </w:rPr>
        <w:drawing>
          <wp:inline distT="0" distB="0" distL="0" distR="0" wp14:anchorId="40451B28" wp14:editId="362F923E">
            <wp:extent cx="2700000" cy="2303110"/>
            <wp:effectExtent l="0" t="0" r="5715" b="2540"/>
            <wp:docPr id="10" name="Grafik 10" descr="F:\Immunomodulation\Erstellen_Publikationen\Paper_anti-PD-L1_Glyco-engineering\an Frontiers of Immunology\Figures\Fig S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munomodulation\Erstellen_Publikationen\Paper_anti-PD-L1_Glyco-engineering\an Frontiers of Immunology\Figures\Fig S5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3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7989" w14:textId="77777777" w:rsidR="001902C5" w:rsidRDefault="001902C5" w:rsidP="001902C5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drawing>
          <wp:inline distT="0" distB="0" distL="0" distR="0" wp14:anchorId="5A0A1DA7" wp14:editId="5120744C">
            <wp:extent cx="2700000" cy="2303110"/>
            <wp:effectExtent l="0" t="0" r="5715" b="2540"/>
            <wp:docPr id="11" name="Grafik 11" descr="F:\Immunomodulation\Erstellen_Publikationen\Paper_anti-PD-L1_Glyco-engineering\an Frontiers of Immunology\Figures\Fig S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munomodulation\Erstellen_Publikationen\Paper_anti-PD-L1_Glyco-engineering\an Frontiers of Immunology\Figures\Fig S5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3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271B" w14:textId="77777777" w:rsidR="003237D0" w:rsidRDefault="001902C5" w:rsidP="001902C5">
      <w:pPr>
        <w:spacing w:before="240"/>
      </w:pPr>
      <w:bookmarkStart w:id="5" w:name="OLE_LINK6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bookmarkEnd w:id="5"/>
      <w:r>
        <w:t xml:space="preserve">: Phenotype of </w:t>
      </w:r>
      <w:proofErr w:type="spellStart"/>
      <w:r>
        <w:t>moDCs</w:t>
      </w:r>
      <w:proofErr w:type="spellEnd"/>
      <w:r>
        <w:t xml:space="preserve"> on day 5 of the MLR. The phenotype of </w:t>
      </w:r>
      <w:proofErr w:type="spellStart"/>
      <w:r>
        <w:t>moDC</w:t>
      </w:r>
      <w:proofErr w:type="spellEnd"/>
      <w:r>
        <w:t xml:space="preserve"> used for the MLR was determined on day 5 of MLR by flow cytometric analysis. </w:t>
      </w:r>
      <w:proofErr w:type="spellStart"/>
      <w:r>
        <w:t>MoDC</w:t>
      </w:r>
      <w:proofErr w:type="spellEnd"/>
      <w:r>
        <w:t xml:space="preserve"> incubated together with T cells (from donor A) and one of the three anti-PD-L1 variants αPDL1</w:t>
      </w:r>
      <w:r w:rsidRPr="001C2EC5">
        <w:rPr>
          <w:vertAlign w:val="subscript"/>
        </w:rPr>
        <w:t>NG</w:t>
      </w:r>
      <w:r>
        <w:t xml:space="preserve"> (white bars), αPDL1</w:t>
      </w:r>
      <w:r w:rsidRPr="001C2EC5">
        <w:rPr>
          <w:vertAlign w:val="subscript"/>
        </w:rPr>
        <w:t>WT</w:t>
      </w:r>
      <w:r>
        <w:t xml:space="preserve"> (gray bars) and αPDL1</w:t>
      </w:r>
      <w:r w:rsidRPr="001C2EC5">
        <w:rPr>
          <w:vertAlign w:val="subscript"/>
        </w:rPr>
        <w:t>GE</w:t>
      </w:r>
      <w:r>
        <w:t xml:space="preserve"> (black bars) or only medium (striped bar) were analyzed. The fold changes in the median fluorescence intensity (MFI) relative to the medium control of CD80</w:t>
      </w:r>
      <w:r w:rsidRPr="004C2BBE">
        <w:rPr>
          <w:vertAlign w:val="superscript"/>
        </w:rPr>
        <w:t>+</w:t>
      </w:r>
      <w:r>
        <w:t>, CD86</w:t>
      </w:r>
      <w:r w:rsidRPr="004C2BBE">
        <w:rPr>
          <w:vertAlign w:val="superscript"/>
        </w:rPr>
        <w:t>+</w:t>
      </w:r>
      <w:r>
        <w:t xml:space="preserve"> and HLA-DR</w:t>
      </w:r>
      <w:r w:rsidRPr="004C2BBE">
        <w:rPr>
          <w:vertAlign w:val="superscript"/>
        </w:rPr>
        <w:t>+</w:t>
      </w:r>
      <w:r>
        <w:t xml:space="preserve"> cells in </w:t>
      </w:r>
      <w:proofErr w:type="spellStart"/>
      <w:r>
        <w:t>moDC</w:t>
      </w:r>
      <w:proofErr w:type="spellEnd"/>
      <w:r>
        <w:t xml:space="preserve"> were plotted. Statistics: mean and SEM of four individual experiments were plotted.</w:t>
      </w:r>
    </w:p>
    <w:p w14:paraId="14330257" w14:textId="77777777" w:rsidR="003237D0" w:rsidRDefault="003237D0" w:rsidP="003237D0">
      <w:pPr>
        <w:pStyle w:val="Title"/>
      </w:pPr>
      <w:r>
        <w:br w:type="page"/>
      </w:r>
    </w:p>
    <w:p w14:paraId="03ED7AAF" w14:textId="77777777" w:rsidR="003237D0" w:rsidRDefault="003237D0" w:rsidP="001902C5">
      <w:pPr>
        <w:spacing w:before="240"/>
      </w:pPr>
      <w:r>
        <w:rPr>
          <w:noProof/>
          <w:lang w:val="de-DE" w:eastAsia="de-DE"/>
        </w:rPr>
        <w:lastRenderedPageBreak/>
        <w:drawing>
          <wp:inline distT="0" distB="0" distL="0" distR="0" wp14:anchorId="651A5F46" wp14:editId="3FC5EE33">
            <wp:extent cx="2700000" cy="1880888"/>
            <wp:effectExtent l="0" t="0" r="5715" b="5080"/>
            <wp:docPr id="6" name="Grafik 6" descr="F:\Immunomodulation\Erstellen_Publikationen\Paper_anti-PD-L1_Glyco-engineering\an Frontiers of Immunology\Figures\Fig S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munomodulation\Erstellen_Publikationen\Paper_anti-PD-L1_Glyco-engineering\an Frontiers of Immunology\Figures\Fig S6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7D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274FF857" wp14:editId="41F6E4F7">
            <wp:extent cx="2700000" cy="1665709"/>
            <wp:effectExtent l="0" t="0" r="5715" b="0"/>
            <wp:docPr id="12" name="Grafik 12" descr="F:\Immunomodulation\Erstellen_Publikationen\Paper_anti-PD-L1_Glyco-engineering\an Frontiers of Immunology\Figures\Fig S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munomodulation\Erstellen_Publikationen\Paper_anti-PD-L1_Glyco-engineering\an Frontiers of Immunology\Figures\Fig S6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6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2C18" w14:textId="77777777" w:rsidR="003237D0" w:rsidRDefault="003237D0" w:rsidP="003237D0">
      <w:pPr>
        <w:spacing w:before="240"/>
      </w:pPr>
      <w:bookmarkStart w:id="6" w:name="OLE_LINK7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bookmarkEnd w:id="6"/>
      <w:r>
        <w:t>: CD8 T cell activation in a MLR determined on day 2 vs. day 5 and MLR using a concentration series of αPDL1</w:t>
      </w:r>
      <w:r w:rsidRPr="00BE7E34">
        <w:rPr>
          <w:vertAlign w:val="subscript"/>
        </w:rPr>
        <w:t>WT</w:t>
      </w:r>
      <w:r>
        <w:t xml:space="preserve"> and αPDL1</w:t>
      </w:r>
      <w:r w:rsidRPr="00BE7E34">
        <w:rPr>
          <w:vertAlign w:val="subscript"/>
        </w:rPr>
        <w:t>GE</w:t>
      </w:r>
      <w:r>
        <w:t xml:space="preserve">. (6-1) The activation status of CD8 T cells (donor A) in </w:t>
      </w:r>
      <w:proofErr w:type="gramStart"/>
      <w:r>
        <w:t>a</w:t>
      </w:r>
      <w:proofErr w:type="gramEnd"/>
      <w:r>
        <w:t xml:space="preserve"> MLR in absence (white bars) and presence of αPDL1</w:t>
      </w:r>
      <w:r w:rsidRPr="00BE7E34">
        <w:rPr>
          <w:vertAlign w:val="subscript"/>
        </w:rPr>
        <w:t>NG</w:t>
      </w:r>
      <w:r>
        <w:t xml:space="preserve"> (light gray bars), αPDL1</w:t>
      </w:r>
      <w:r w:rsidRPr="00BE7E34">
        <w:rPr>
          <w:vertAlign w:val="subscript"/>
        </w:rPr>
        <w:t>WT</w:t>
      </w:r>
      <w:r>
        <w:t xml:space="preserve"> (dark gray bars), αPDL1</w:t>
      </w:r>
      <w:r w:rsidRPr="00BE7E34">
        <w:rPr>
          <w:vertAlign w:val="subscript"/>
        </w:rPr>
        <w:t>GE</w:t>
      </w:r>
      <w:r>
        <w:t xml:space="preserve"> (black bars) was determined on day 2 (open bars) and 5 (striped </w:t>
      </w:r>
      <w:proofErr w:type="spellStart"/>
      <w:r>
        <w:t>bars</w:t>
      </w:r>
      <w:proofErr w:type="spellEnd"/>
      <w:r>
        <w:t>) by flow cytometric analysis. The relative frequencies of CD25</w:t>
      </w:r>
      <w:r w:rsidRPr="00BE7E34">
        <w:rPr>
          <w:vertAlign w:val="superscript"/>
        </w:rPr>
        <w:t>+</w:t>
      </w:r>
      <w:r>
        <w:t xml:space="preserve"> in CD8 T cells were plotted. (6-2) The activation status of CD8 T cells (donor A) in </w:t>
      </w:r>
      <w:proofErr w:type="gramStart"/>
      <w:r>
        <w:t>a</w:t>
      </w:r>
      <w:proofErr w:type="gramEnd"/>
      <w:r>
        <w:t xml:space="preserve"> MLR in presence of increasing concentrations of αPDL1</w:t>
      </w:r>
      <w:r w:rsidRPr="00BE7E34">
        <w:rPr>
          <w:vertAlign w:val="subscript"/>
        </w:rPr>
        <w:t>WT</w:t>
      </w:r>
      <w:r>
        <w:t xml:space="preserve"> (gray triangles) and αPDL1</w:t>
      </w:r>
      <w:r w:rsidRPr="00BE7E34">
        <w:rPr>
          <w:vertAlign w:val="subscript"/>
        </w:rPr>
        <w:t>GE</w:t>
      </w:r>
      <w:r>
        <w:t xml:space="preserve"> (black squares) was determined on day 5 by flow cytometric analysis. The relative frequencies of CD25+ in CD8 T cells were plotted. Statistics: mean and SD of duplicates were plotted in all graphs. Data using increasing concentrations of anti-PD-L1 antibodies are representative of two independent experiments.</w:t>
      </w:r>
    </w:p>
    <w:p w14:paraId="2B10681E" w14:textId="77777777" w:rsidR="003237D0" w:rsidRDefault="003237D0" w:rsidP="003237D0">
      <w:pPr>
        <w:spacing w:before="240"/>
      </w:pPr>
    </w:p>
    <w:p w14:paraId="2F7700BF" w14:textId="77777777" w:rsidR="008C7BB4" w:rsidRDefault="008C7BB4" w:rsidP="008C7BB4">
      <w:pPr>
        <w:spacing w:before="240"/>
        <w:jc w:val="center"/>
      </w:pPr>
      <w:r>
        <w:rPr>
          <w:noProof/>
          <w:lang w:val="de-DE" w:eastAsia="de-DE"/>
        </w:rPr>
        <w:drawing>
          <wp:inline distT="0" distB="0" distL="0" distR="0" wp14:anchorId="37BABCE2" wp14:editId="11ED0C30">
            <wp:extent cx="3945870" cy="2035534"/>
            <wp:effectExtent l="0" t="0" r="0" b="3175"/>
            <wp:docPr id="16" name="Grafik 16" descr="F:\Immunomodulation\Erstellen_Publikationen\Paper_anti-PD-L1_Glyco-engineering\an Frontiers of Immunology\Figures\Fig 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munomodulation\Erstellen_Publikationen\Paper_anti-PD-L1_Glyco-engineering\an Frontiers of Immunology\Figures\Fig S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70" cy="20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45B8F" w14:textId="729D4C05" w:rsidR="008C7BB4" w:rsidRDefault="008C7BB4" w:rsidP="008C7BB4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7:</w:t>
      </w:r>
      <w:r>
        <w:t xml:space="preserve"> ADCC assay with ZR-75-1 as target cells. KHYG-1-CD16aV (effectors) were incubated with europium-loaded ZR-75-1 cells (targets) in presence of αPDL1</w:t>
      </w:r>
      <w:r w:rsidRPr="00BE7E34">
        <w:rPr>
          <w:vertAlign w:val="subscript"/>
        </w:rPr>
        <w:t>WT</w:t>
      </w:r>
      <w:r>
        <w:t xml:space="preserve"> (gray triangles), αPDL1</w:t>
      </w:r>
      <w:r w:rsidRPr="00BE7E34">
        <w:rPr>
          <w:vertAlign w:val="subscript"/>
        </w:rPr>
        <w:t>GE</w:t>
      </w:r>
      <w:r>
        <w:t xml:space="preserve"> (black squares), a positive control antibody (black crosses) and a hIgG1 isotype control (white circles) for 5 h with an effector-to-target ratio of 30:1 to determine the specific lysis of target cells. Percentage of specific lysis was plotted against increasing concentrations of test antibody. Statistics: mean and SD of triplicates were plotted. Data are representative of two independent experiments.</w:t>
      </w:r>
    </w:p>
    <w:p w14:paraId="3C192AF5" w14:textId="77777777" w:rsidR="00A65574" w:rsidRDefault="00A65574">
      <w:pPr>
        <w:spacing w:before="0" w:after="200" w:line="276" w:lineRule="auto"/>
      </w:pPr>
      <w:r>
        <w:br w:type="page"/>
      </w:r>
    </w:p>
    <w:p w14:paraId="2C91C0B6" w14:textId="77777777" w:rsidR="00092C88" w:rsidRDefault="00092C88" w:rsidP="00491211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lastRenderedPageBreak/>
        <w:drawing>
          <wp:inline distT="0" distB="0" distL="0" distR="0" wp14:anchorId="4DF937FF" wp14:editId="6CE61211">
            <wp:extent cx="3648043" cy="2160000"/>
            <wp:effectExtent l="0" t="0" r="0" b="0"/>
            <wp:docPr id="2" name="Grafik 2" descr="F:\Immunomodulation\Erstellen_Publikationen\Paper_anti-PD-L1_Glyco-engineering\an Frontiers of Immunology\Review-Prozess_1\neue Figures\Figure 6\Suppl. Figur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munomodulation\Erstellen_Publikationen\Paper_anti-PD-L1_Glyco-engineering\an Frontiers of Immunology\Review-Prozess_1\neue Figures\Figure 6\Suppl. Figure 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D96F" w14:textId="77777777" w:rsidR="003237D0" w:rsidRPr="001549D3" w:rsidRDefault="00A65574" w:rsidP="00A65574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8:</w:t>
      </w:r>
      <w:r>
        <w:t xml:space="preserve"> Representative cytotoxicity experiment with pre-activated isolated T cells from donor C pre-activated in a MLR for 5 days in presence of αPDL1</w:t>
      </w:r>
      <w:r w:rsidRPr="00491211">
        <w:rPr>
          <w:vertAlign w:val="subscript"/>
        </w:rPr>
        <w:t>NG</w:t>
      </w:r>
      <w:r>
        <w:t xml:space="preserve"> (</w:t>
      </w:r>
      <w:r w:rsidR="00375181">
        <w:t>light gra</w:t>
      </w:r>
      <w:r w:rsidR="00DE3E97">
        <w:t>y</w:t>
      </w:r>
      <w:r>
        <w:t xml:space="preserve"> bars), αPDL1</w:t>
      </w:r>
      <w:r w:rsidRPr="00F60962">
        <w:rPr>
          <w:vertAlign w:val="subscript"/>
        </w:rPr>
        <w:t>WT</w:t>
      </w:r>
      <w:r>
        <w:t xml:space="preserve"> (dark gray bars) and αPDL1</w:t>
      </w:r>
      <w:r w:rsidRPr="00491211">
        <w:rPr>
          <w:vertAlign w:val="subscript"/>
        </w:rPr>
        <w:t>GE</w:t>
      </w:r>
      <w:r>
        <w:t xml:space="preserve"> (black bars). </w:t>
      </w:r>
      <w:r w:rsidR="009B2365">
        <w:t xml:space="preserve">T cells isolated from MLR without addition of test antibody (medium; white bar) served as negative control. </w:t>
      </w:r>
      <w:r>
        <w:t xml:space="preserve">Pre-activated T cells were incubated with europium-loaded ZR-75-1 cells for 5 h in ratio of </w:t>
      </w:r>
      <w:r w:rsidR="006372BC">
        <w:t>20</w:t>
      </w:r>
      <w:r>
        <w:t xml:space="preserve">:1. The cytotoxicity assay was performed in absence and presence (striped </w:t>
      </w:r>
      <w:proofErr w:type="spellStart"/>
      <w:r>
        <w:t>bars</w:t>
      </w:r>
      <w:proofErr w:type="spellEnd"/>
      <w:r>
        <w:t xml:space="preserve">) of a bispecific antibody binding to a tumor antigen on ZR-75-1 and to CD3 on T cells. </w:t>
      </w:r>
      <w:r w:rsidR="00092C88">
        <w:t xml:space="preserve">The percentage of specific target cell lysis is shown. </w:t>
      </w:r>
      <w:r>
        <w:t>Statistics: mean and SEM of triplicates were plotted.</w:t>
      </w:r>
    </w:p>
    <w:sectPr w:rsidR="003237D0" w:rsidRPr="001549D3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CDD8F" w14:textId="77777777" w:rsidR="00DA7FD9" w:rsidRDefault="00DA7FD9" w:rsidP="00117666">
      <w:pPr>
        <w:spacing w:after="0"/>
      </w:pPr>
      <w:r>
        <w:separator/>
      </w:r>
    </w:p>
  </w:endnote>
  <w:endnote w:type="continuationSeparator" w:id="0">
    <w:p w14:paraId="489C9179" w14:textId="77777777" w:rsidR="00DA7FD9" w:rsidRDefault="00DA7FD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73702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8B6AFE" wp14:editId="7294568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C6CB334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7518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8B6AF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C6CB334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75181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A1FA6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FC88B74" wp14:editId="0B9AB84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023FABE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7518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88B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6023FABE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75181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286EE" w14:textId="77777777" w:rsidR="00DA7FD9" w:rsidRDefault="00DA7FD9" w:rsidP="00117666">
      <w:pPr>
        <w:spacing w:after="0"/>
      </w:pPr>
      <w:r>
        <w:separator/>
      </w:r>
    </w:p>
  </w:footnote>
  <w:footnote w:type="continuationSeparator" w:id="0">
    <w:p w14:paraId="5B5EDDD0" w14:textId="77777777" w:rsidR="00DA7FD9" w:rsidRDefault="00DA7FD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EDA4D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3AAA4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499C8583" wp14:editId="14BAC6E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D27"/>
    <w:rsid w:val="0001436A"/>
    <w:rsid w:val="00022588"/>
    <w:rsid w:val="00034304"/>
    <w:rsid w:val="00035434"/>
    <w:rsid w:val="00052A14"/>
    <w:rsid w:val="0006054D"/>
    <w:rsid w:val="00077D53"/>
    <w:rsid w:val="00087680"/>
    <w:rsid w:val="00092C88"/>
    <w:rsid w:val="00105FD9"/>
    <w:rsid w:val="00117666"/>
    <w:rsid w:val="001549D3"/>
    <w:rsid w:val="00160065"/>
    <w:rsid w:val="00162CCA"/>
    <w:rsid w:val="00177D84"/>
    <w:rsid w:val="001902C5"/>
    <w:rsid w:val="001C2EC5"/>
    <w:rsid w:val="00240D09"/>
    <w:rsid w:val="00267D18"/>
    <w:rsid w:val="002868E2"/>
    <w:rsid w:val="002869C3"/>
    <w:rsid w:val="002936E4"/>
    <w:rsid w:val="002B1409"/>
    <w:rsid w:val="002B4A57"/>
    <w:rsid w:val="002C74CA"/>
    <w:rsid w:val="003237D0"/>
    <w:rsid w:val="003544FB"/>
    <w:rsid w:val="00375181"/>
    <w:rsid w:val="003920EE"/>
    <w:rsid w:val="003A5CC9"/>
    <w:rsid w:val="003D2F2D"/>
    <w:rsid w:val="00401590"/>
    <w:rsid w:val="00406FC5"/>
    <w:rsid w:val="0041678E"/>
    <w:rsid w:val="00447801"/>
    <w:rsid w:val="00452E9C"/>
    <w:rsid w:val="004735C8"/>
    <w:rsid w:val="00491211"/>
    <w:rsid w:val="004961FF"/>
    <w:rsid w:val="004C1898"/>
    <w:rsid w:val="004C2BBE"/>
    <w:rsid w:val="00517244"/>
    <w:rsid w:val="00517A89"/>
    <w:rsid w:val="00522993"/>
    <w:rsid w:val="005250F2"/>
    <w:rsid w:val="005541FD"/>
    <w:rsid w:val="00570FBD"/>
    <w:rsid w:val="0057787D"/>
    <w:rsid w:val="00593EEA"/>
    <w:rsid w:val="005A5EEE"/>
    <w:rsid w:val="006372B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6B4D"/>
    <w:rsid w:val="007B1772"/>
    <w:rsid w:val="007C1F4D"/>
    <w:rsid w:val="007C206C"/>
    <w:rsid w:val="00800307"/>
    <w:rsid w:val="00817DD6"/>
    <w:rsid w:val="008751D1"/>
    <w:rsid w:val="00885156"/>
    <w:rsid w:val="008C25C4"/>
    <w:rsid w:val="008C7BB4"/>
    <w:rsid w:val="00903F34"/>
    <w:rsid w:val="009151AA"/>
    <w:rsid w:val="0093429D"/>
    <w:rsid w:val="00943573"/>
    <w:rsid w:val="00970F7D"/>
    <w:rsid w:val="00994A3D"/>
    <w:rsid w:val="009B2365"/>
    <w:rsid w:val="009C2B12"/>
    <w:rsid w:val="00A174D9"/>
    <w:rsid w:val="00A65574"/>
    <w:rsid w:val="00A90D27"/>
    <w:rsid w:val="00A9405E"/>
    <w:rsid w:val="00AB2C68"/>
    <w:rsid w:val="00AB6715"/>
    <w:rsid w:val="00B1671E"/>
    <w:rsid w:val="00B25EB8"/>
    <w:rsid w:val="00B37F4D"/>
    <w:rsid w:val="00B869EF"/>
    <w:rsid w:val="00BE7E34"/>
    <w:rsid w:val="00C52A7B"/>
    <w:rsid w:val="00C56BAF"/>
    <w:rsid w:val="00C6359B"/>
    <w:rsid w:val="00C679AA"/>
    <w:rsid w:val="00C75972"/>
    <w:rsid w:val="00CD066B"/>
    <w:rsid w:val="00CE4FEE"/>
    <w:rsid w:val="00D14006"/>
    <w:rsid w:val="00DA7FD9"/>
    <w:rsid w:val="00DB59C3"/>
    <w:rsid w:val="00DC259A"/>
    <w:rsid w:val="00DE23E8"/>
    <w:rsid w:val="00DE3E97"/>
    <w:rsid w:val="00E52377"/>
    <w:rsid w:val="00E64E17"/>
    <w:rsid w:val="00E866C9"/>
    <w:rsid w:val="00E9016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0E81E"/>
  <w15:docId w15:val="{73E2F5B2-FE06-4C27-9725-168D80BC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ellenraster2">
    <w:name w:val="Tabellenraster2"/>
    <w:basedOn w:val="TableNormal"/>
    <w:next w:val="TableGrid"/>
    <w:uiPriority w:val="39"/>
    <w:rsid w:val="00522993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goletz\AppData\Local\Temp\Temp2_Frontiers_Word_Templates.zip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8CA9A65-A1D1-4C73-AEA7-07D994033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8</Pages>
  <Words>1149</Words>
  <Characters>6551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Glycotope GmbH</Company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Goletz</dc:creator>
  <cp:lastModifiedBy>Victor Mitchell</cp:lastModifiedBy>
  <cp:revision>2</cp:revision>
  <cp:lastPrinted>2013-10-03T12:51:00Z</cp:lastPrinted>
  <dcterms:created xsi:type="dcterms:W3CDTF">2018-07-10T07:50:00Z</dcterms:created>
  <dcterms:modified xsi:type="dcterms:W3CDTF">2018-07-10T07:50:00Z</dcterms:modified>
</cp:coreProperties>
</file>