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1CE" w:rsidRPr="0030036C" w:rsidRDefault="00566543" w:rsidP="00566543">
      <w:pPr>
        <w:pStyle w:val="Caption"/>
        <w:keepNext/>
        <w:spacing w:line="360" w:lineRule="auto"/>
        <w:outlineLvl w:val="0"/>
        <w:rPr>
          <w:rFonts w:ascii="Times New Roman" w:hAnsi="Times New Roman" w:cs="Times New Roman"/>
        </w:rPr>
      </w:pPr>
      <w:bookmarkStart w:id="0" w:name="_Ref501887283"/>
      <w:r w:rsidRPr="0030036C">
        <w:rPr>
          <w:rFonts w:ascii="Times New Roman" w:hAnsi="Times New Roman" w:cs="Times New Roman"/>
        </w:rPr>
        <w:t xml:space="preserve">Supplement </w:t>
      </w:r>
      <w:r w:rsidR="004361CE" w:rsidRPr="0030036C">
        <w:rPr>
          <w:rFonts w:ascii="Times New Roman" w:hAnsi="Times New Roman" w:cs="Times New Roman"/>
        </w:rPr>
        <w:t>Table.</w:t>
      </w:r>
      <w:r w:rsidRPr="0030036C">
        <w:rPr>
          <w:rFonts w:ascii="Times New Roman" w:hAnsi="Times New Roman" w:cs="Times New Roman"/>
        </w:rPr>
        <w:t>S</w:t>
      </w:r>
      <w:r w:rsidR="004361CE" w:rsidRPr="0030036C">
        <w:rPr>
          <w:rFonts w:ascii="Times New Roman" w:hAnsi="Times New Roman" w:cs="Times New Roman"/>
        </w:rPr>
        <w:fldChar w:fldCharType="begin"/>
      </w:r>
      <w:r w:rsidR="004361CE" w:rsidRPr="0030036C">
        <w:rPr>
          <w:rFonts w:ascii="Times New Roman" w:hAnsi="Times New Roman" w:cs="Times New Roman"/>
        </w:rPr>
        <w:instrText xml:space="preserve"> SEQ Table \* ARABIC </w:instrText>
      </w:r>
      <w:r w:rsidR="004361CE" w:rsidRPr="0030036C">
        <w:rPr>
          <w:rFonts w:ascii="Times New Roman" w:hAnsi="Times New Roman" w:cs="Times New Roman"/>
        </w:rPr>
        <w:fldChar w:fldCharType="separate"/>
      </w:r>
      <w:r w:rsidR="004361CE" w:rsidRPr="0030036C">
        <w:rPr>
          <w:rFonts w:ascii="Times New Roman" w:hAnsi="Times New Roman" w:cs="Times New Roman"/>
          <w:noProof/>
        </w:rPr>
        <w:t>2</w:t>
      </w:r>
      <w:r w:rsidR="004361CE" w:rsidRPr="0030036C">
        <w:rPr>
          <w:rFonts w:ascii="Times New Roman" w:hAnsi="Times New Roman" w:cs="Times New Roman"/>
        </w:rPr>
        <w:fldChar w:fldCharType="end"/>
      </w:r>
      <w:bookmarkEnd w:id="0"/>
      <w:r w:rsidR="004361CE" w:rsidRPr="0030036C">
        <w:rPr>
          <w:rFonts w:ascii="Times New Roman" w:hAnsi="Times New Roman" w:cs="Times New Roman"/>
        </w:rPr>
        <w:t xml:space="preserve"> The </w:t>
      </w:r>
      <w:r w:rsidRPr="0030036C">
        <w:rPr>
          <w:rFonts w:ascii="Times New Roman" w:hAnsi="Times New Roman" w:cs="Times New Roman"/>
        </w:rPr>
        <w:t>predicted targets</w:t>
      </w:r>
      <w:r w:rsidR="004361CE" w:rsidRPr="0030036C">
        <w:rPr>
          <w:rFonts w:ascii="Times New Roman" w:hAnsi="Times New Roman" w:cs="Times New Roman"/>
        </w:rPr>
        <w:t xml:space="preserve"> of CP components and </w:t>
      </w:r>
      <w:r w:rsidR="0042133C" w:rsidRPr="0030036C">
        <w:rPr>
          <w:rFonts w:ascii="Times New Roman" w:hAnsi="Times New Roman" w:cs="Times New Roman"/>
        </w:rPr>
        <w:t xml:space="preserve">predicted targets </w:t>
      </w:r>
      <w:r w:rsidR="007E6054" w:rsidRPr="0030036C">
        <w:rPr>
          <w:rFonts w:ascii="Times New Roman" w:hAnsi="Times New Roman" w:cs="Times New Roman"/>
        </w:rPr>
        <w:t>linked lipid</w:t>
      </w:r>
      <w:r w:rsidR="004361CE" w:rsidRPr="0030036C">
        <w:rPr>
          <w:rFonts w:ascii="Times New Roman" w:hAnsi="Times New Roman" w:cs="Times New Roman"/>
        </w:rPr>
        <w:t xml:space="preserve"> targets through protein-protein interactions </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986"/>
        <w:gridCol w:w="1173"/>
        <w:gridCol w:w="992"/>
        <w:gridCol w:w="992"/>
        <w:gridCol w:w="1081"/>
        <w:gridCol w:w="1711"/>
        <w:gridCol w:w="1440"/>
        <w:gridCol w:w="1893"/>
        <w:gridCol w:w="988"/>
        <w:gridCol w:w="1530"/>
        <w:gridCol w:w="1172"/>
      </w:tblGrid>
      <w:tr w:rsidR="004361CE" w:rsidRPr="0030036C" w:rsidTr="00CE4717">
        <w:trPr>
          <w:trHeight w:val="144"/>
        </w:trPr>
        <w:tc>
          <w:tcPr>
            <w:tcW w:w="353" w:type="pct"/>
            <w:tcBorders>
              <w:top w:val="single" w:sz="4" w:space="0" w:color="auto"/>
              <w:bottom w:val="single" w:sz="4" w:space="0" w:color="auto"/>
            </w:tcBorders>
            <w:shd w:val="clear" w:color="auto" w:fill="auto"/>
            <w:noWrap/>
            <w:vAlign w:val="center"/>
            <w:hideMark/>
          </w:tcPr>
          <w:p w:rsidR="004361CE" w:rsidRPr="0030036C" w:rsidRDefault="00587EF1"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Predicted</w:t>
            </w:r>
            <w:r w:rsidR="004361CE" w:rsidRPr="0030036C">
              <w:rPr>
                <w:rFonts w:ascii="Times New Roman" w:eastAsia="Times New Roman" w:hAnsi="Times New Roman" w:cs="Times New Roman"/>
                <w:color w:val="000000"/>
                <w:sz w:val="18"/>
                <w:szCs w:val="18"/>
              </w:rPr>
              <w:t xml:space="preserve"> target</w:t>
            </w:r>
          </w:p>
        </w:tc>
        <w:tc>
          <w:tcPr>
            <w:tcW w:w="420" w:type="pct"/>
            <w:tcBorders>
              <w:top w:val="single" w:sz="4" w:space="0" w:color="auto"/>
              <w:bottom w:val="single" w:sz="4" w:space="0" w:color="auto"/>
            </w:tcBorders>
            <w:shd w:val="clear" w:color="auto" w:fill="auto"/>
            <w:noWrap/>
            <w:vAlign w:val="center"/>
            <w:hideMark/>
          </w:tcPr>
          <w:p w:rsidR="004361CE" w:rsidRPr="0030036C" w:rsidRDefault="00587EF1"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Lipids</w:t>
            </w:r>
            <w:r w:rsidR="004361CE" w:rsidRPr="0030036C">
              <w:rPr>
                <w:rFonts w:ascii="Times New Roman" w:eastAsia="Times New Roman" w:hAnsi="Times New Roman" w:cs="Times New Roman"/>
                <w:color w:val="000000"/>
                <w:sz w:val="18"/>
                <w:szCs w:val="18"/>
              </w:rPr>
              <w:t xml:space="preserve"> target</w:t>
            </w:r>
          </w:p>
        </w:tc>
        <w:tc>
          <w:tcPr>
            <w:tcW w:w="355"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Astragalin</w:t>
            </w:r>
          </w:p>
        </w:tc>
        <w:tc>
          <w:tcPr>
            <w:tcW w:w="355"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Quercetin</w:t>
            </w:r>
          </w:p>
        </w:tc>
        <w:tc>
          <w:tcPr>
            <w:tcW w:w="387"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Kaempferol</w:t>
            </w:r>
          </w:p>
        </w:tc>
        <w:tc>
          <w:tcPr>
            <w:tcW w:w="613"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Neochlorogenic acid</w:t>
            </w:r>
          </w:p>
        </w:tc>
        <w:tc>
          <w:tcPr>
            <w:tcW w:w="516"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Chlorogenic acid</w:t>
            </w:r>
          </w:p>
        </w:tc>
        <w:tc>
          <w:tcPr>
            <w:tcW w:w="678"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4-hydroxybenzoic acid</w:t>
            </w:r>
          </w:p>
        </w:tc>
        <w:tc>
          <w:tcPr>
            <w:tcW w:w="354"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Gallic acid</w:t>
            </w:r>
          </w:p>
        </w:tc>
        <w:tc>
          <w:tcPr>
            <w:tcW w:w="548"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Quadranoside IV</w:t>
            </w:r>
          </w:p>
        </w:tc>
        <w:tc>
          <w:tcPr>
            <w:tcW w:w="420" w:type="pct"/>
            <w:tcBorders>
              <w:top w:val="single" w:sz="4" w:space="0" w:color="auto"/>
              <w:bottom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Asiatic acid</w:t>
            </w:r>
          </w:p>
        </w:tc>
      </w:tr>
      <w:tr w:rsidR="004361CE" w:rsidRPr="0030036C" w:rsidTr="00CE4717">
        <w:trPr>
          <w:trHeight w:val="144"/>
        </w:trPr>
        <w:tc>
          <w:tcPr>
            <w:tcW w:w="353"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ABCC1</w:t>
            </w:r>
          </w:p>
        </w:tc>
        <w:tc>
          <w:tcPr>
            <w:tcW w:w="420"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STT3B</w:t>
            </w:r>
          </w:p>
        </w:tc>
        <w:tc>
          <w:tcPr>
            <w:tcW w:w="355"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tcBorders>
              <w:top w:val="single" w:sz="4" w:space="0" w:color="auto"/>
            </w:tcBorders>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ALOX12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PLA2G12A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ALOX12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PLA2G3</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ALOX15</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PLA2G12A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ALOX15</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PLA2G3</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ALOX15</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PLA2G4D</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APP</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APP</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PLD2</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BCL2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PIK3C3</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BCL2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BCL2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PIK3CB</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BCL2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PLA2G1B</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BCL2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PLD2</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CA9</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PTEN</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r w:rsidRPr="0030036C">
              <w:rPr>
                <w:rFonts w:ascii="Times New Roman" w:eastAsia="Times New Roman" w:hAnsi="Times New Roman" w:cs="Times New Roman"/>
                <w:color w:val="000000"/>
                <w:sz w:val="18"/>
                <w:szCs w:val="18"/>
              </w:rPr>
              <w:t>√</w:t>
            </w: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CYP2C9</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PLA2G12A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CYP2C9</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PLA2G3</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ACE</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PIK3C2A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CES1</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LIPA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CES1</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LRAT</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FYN</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FYN</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PIK3CB</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FYN</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PIP5K1C</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FYN</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PLD2</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lastRenderedPageBreak/>
              <w:t>PSMB8</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PNLIP</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PTPN1</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PIK3CA</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PTPN1</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PIK3CG</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PTPN1</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PLD2</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r>
      <w:tr w:rsidR="004361CE" w:rsidRPr="0030036C" w:rsidTr="00CE4717">
        <w:trPr>
          <w:trHeight w:val="144"/>
        </w:trPr>
        <w:tc>
          <w:tcPr>
            <w:tcW w:w="35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PTPN2</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PIK3CB</w:t>
            </w: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p>
        </w:tc>
        <w:tc>
          <w:tcPr>
            <w:tcW w:w="355"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87"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13"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16"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67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354"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sz w:val="18"/>
                <w:szCs w:val="18"/>
              </w:rPr>
            </w:pPr>
          </w:p>
        </w:tc>
        <w:tc>
          <w:tcPr>
            <w:tcW w:w="548"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c>
          <w:tcPr>
            <w:tcW w:w="420" w:type="pct"/>
            <w:shd w:val="clear" w:color="auto" w:fill="auto"/>
            <w:noWrap/>
            <w:vAlign w:val="center"/>
            <w:hideMark/>
          </w:tcPr>
          <w:p w:rsidR="004361CE" w:rsidRPr="0030036C" w:rsidRDefault="004361CE" w:rsidP="0042133C">
            <w:pPr>
              <w:spacing w:after="0" w:line="360" w:lineRule="auto"/>
              <w:jc w:val="center"/>
              <w:rPr>
                <w:rFonts w:ascii="Times New Roman" w:eastAsia="Times New Roman" w:hAnsi="Times New Roman" w:cs="Times New Roman"/>
                <w:color w:val="000000"/>
                <w:sz w:val="18"/>
                <w:szCs w:val="18"/>
              </w:rPr>
            </w:pPr>
            <w:r w:rsidRPr="0030036C">
              <w:rPr>
                <w:rFonts w:ascii="Times New Roman" w:eastAsia="Times New Roman" w:hAnsi="Times New Roman" w:cs="Times New Roman"/>
                <w:color w:val="000000"/>
                <w:sz w:val="18"/>
                <w:szCs w:val="18"/>
              </w:rPr>
              <w:t>√</w:t>
            </w:r>
          </w:p>
        </w:tc>
      </w:tr>
    </w:tbl>
    <w:p w:rsidR="0042133C" w:rsidRPr="0030036C" w:rsidRDefault="0042133C" w:rsidP="0042133C">
      <w:pPr>
        <w:spacing w:line="360" w:lineRule="auto"/>
        <w:rPr>
          <w:rFonts w:ascii="Times New Roman" w:hAnsi="Times New Roman" w:cs="Times New Roman"/>
          <w:sz w:val="18"/>
          <w:szCs w:val="18"/>
        </w:rPr>
      </w:pPr>
    </w:p>
    <w:p w:rsidR="00566543" w:rsidRPr="0030036C" w:rsidRDefault="00566543">
      <w:pPr>
        <w:rPr>
          <w:rFonts w:ascii="Times New Roman" w:hAnsi="Times New Roman" w:cs="Times New Roman"/>
          <w:sz w:val="18"/>
          <w:szCs w:val="18"/>
        </w:rPr>
      </w:pPr>
      <w:r w:rsidRPr="0030036C">
        <w:rPr>
          <w:rFonts w:ascii="Times New Roman" w:hAnsi="Times New Roman" w:cs="Times New Roman"/>
          <w:sz w:val="18"/>
          <w:szCs w:val="18"/>
        </w:rPr>
        <w:br w:type="page"/>
      </w:r>
    </w:p>
    <w:p w:rsidR="00677621" w:rsidRPr="0030036C" w:rsidRDefault="00566543" w:rsidP="00566543">
      <w:pPr>
        <w:spacing w:line="360" w:lineRule="auto"/>
        <w:outlineLvl w:val="0"/>
        <w:rPr>
          <w:rFonts w:ascii="Times New Roman" w:hAnsi="Times New Roman" w:cs="Times New Roman"/>
          <w:sz w:val="18"/>
          <w:szCs w:val="18"/>
        </w:rPr>
      </w:pPr>
      <w:r w:rsidRPr="0030036C">
        <w:rPr>
          <w:rFonts w:ascii="Times New Roman" w:hAnsi="Times New Roman" w:cs="Times New Roman"/>
          <w:sz w:val="18"/>
          <w:szCs w:val="18"/>
        </w:rPr>
        <w:lastRenderedPageBreak/>
        <w:t xml:space="preserve">Supplement Table. S3 </w:t>
      </w:r>
      <w:proofErr w:type="gramStart"/>
      <w:r w:rsidRPr="0030036C">
        <w:rPr>
          <w:rFonts w:ascii="Times New Roman" w:hAnsi="Times New Roman" w:cs="Times New Roman"/>
          <w:sz w:val="18"/>
          <w:szCs w:val="18"/>
        </w:rPr>
        <w:t>The</w:t>
      </w:r>
      <w:proofErr w:type="gramEnd"/>
      <w:r w:rsidRPr="0030036C">
        <w:rPr>
          <w:rFonts w:ascii="Times New Roman" w:hAnsi="Times New Roman" w:cs="Times New Roman"/>
          <w:sz w:val="18"/>
          <w:szCs w:val="18"/>
        </w:rPr>
        <w:t xml:space="preserve"> components-predicted target-lipids target network of CP. </w:t>
      </w:r>
    </w:p>
    <w:tbl>
      <w:tblPr>
        <w:tblpPr w:leftFromText="180" w:rightFromText="180" w:vertAnchor="text" w:tblpY="1"/>
        <w:tblOverlap w:val="never"/>
        <w:tblW w:w="5000" w:type="pct"/>
        <w:tblBorders>
          <w:top w:val="single" w:sz="4" w:space="0" w:color="auto"/>
          <w:bottom w:val="single" w:sz="4" w:space="0" w:color="auto"/>
        </w:tblBorders>
        <w:tblLook w:val="0000" w:firstRow="0" w:lastRow="0" w:firstColumn="0" w:lastColumn="0" w:noHBand="0" w:noVBand="0"/>
      </w:tblPr>
      <w:tblGrid>
        <w:gridCol w:w="2255"/>
        <w:gridCol w:w="2284"/>
        <w:gridCol w:w="2822"/>
        <w:gridCol w:w="1921"/>
        <w:gridCol w:w="2284"/>
        <w:gridCol w:w="2392"/>
      </w:tblGrid>
      <w:tr w:rsidR="00566543" w:rsidRPr="0030036C" w:rsidTr="00B432BB">
        <w:tc>
          <w:tcPr>
            <w:tcW w:w="808" w:type="pct"/>
            <w:tcBorders>
              <w:top w:val="single" w:sz="4" w:space="0" w:color="auto"/>
              <w:bottom w:val="nil"/>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Flavonoids</w:t>
            </w:r>
          </w:p>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Quercetin; Kaempferol</w:t>
            </w:r>
          </w:p>
        </w:tc>
        <w:tc>
          <w:tcPr>
            <w:tcW w:w="818" w:type="pct"/>
            <w:vMerge w:val="restart"/>
            <w:tcBorders>
              <w:top w:val="single" w:sz="4" w:space="0" w:color="auto"/>
              <w:bottom w:val="nil"/>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Association with</w:t>
            </w:r>
          </w:p>
          <w:p w:rsidR="00566543" w:rsidRPr="0030036C" w:rsidRDefault="00566543" w:rsidP="00C22F88">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 xml:space="preserve">Diabetic dyslipidemia </w:t>
            </w:r>
          </w:p>
        </w:tc>
        <w:tc>
          <w:tcPr>
            <w:tcW w:w="1011" w:type="pct"/>
            <w:vMerge w:val="restart"/>
            <w:tcBorders>
              <w:top w:val="single" w:sz="4" w:space="0" w:color="auto"/>
              <w:bottom w:val="nil"/>
            </w:tcBorders>
            <w:vAlign w:val="center"/>
          </w:tcPr>
          <w:p w:rsidR="00566543" w:rsidRPr="0030036C" w:rsidRDefault="00566543" w:rsidP="00C22F88">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Pharmacology experiment</w:t>
            </w:r>
          </w:p>
        </w:tc>
        <w:tc>
          <w:tcPr>
            <w:tcW w:w="688" w:type="pct"/>
            <w:vMerge w:val="restart"/>
            <w:tcBorders>
              <w:top w:val="single" w:sz="4" w:space="0" w:color="auto"/>
              <w:bottom w:val="nil"/>
            </w:tcBorders>
            <w:vAlign w:val="center"/>
          </w:tcPr>
          <w:p w:rsidR="00566543" w:rsidRPr="0030036C" w:rsidRDefault="00566543" w:rsidP="00C22F88">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 xml:space="preserve"> Predicted targets linked lipids targets</w:t>
            </w:r>
          </w:p>
        </w:tc>
        <w:tc>
          <w:tcPr>
            <w:tcW w:w="818" w:type="pct"/>
            <w:vMerge w:val="restart"/>
            <w:tcBorders>
              <w:top w:val="single" w:sz="4" w:space="0" w:color="auto"/>
              <w:bottom w:val="nil"/>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Association with</w:t>
            </w:r>
          </w:p>
          <w:p w:rsidR="00566543" w:rsidRPr="0030036C" w:rsidRDefault="00566543" w:rsidP="00C22F88">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Diabetic dyslipidemia </w:t>
            </w:r>
          </w:p>
        </w:tc>
        <w:tc>
          <w:tcPr>
            <w:tcW w:w="857" w:type="pct"/>
            <w:vMerge w:val="restart"/>
            <w:tcBorders>
              <w:top w:val="single" w:sz="4" w:space="0" w:color="auto"/>
              <w:bottom w:val="nil"/>
            </w:tcBorders>
            <w:vAlign w:val="center"/>
          </w:tcPr>
          <w:p w:rsidR="00566543" w:rsidRPr="0030036C" w:rsidRDefault="00566543" w:rsidP="00C22F88">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 xml:space="preserve">Experimental validation of protein-protein interactions  </w:t>
            </w:r>
          </w:p>
        </w:tc>
      </w:tr>
      <w:tr w:rsidR="00566543" w:rsidRPr="0030036C" w:rsidTr="00B432BB">
        <w:tc>
          <w:tcPr>
            <w:tcW w:w="808" w:type="pct"/>
            <w:tcBorders>
              <w:top w:val="nil"/>
              <w:bottom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Predicted targets </w:t>
            </w:r>
          </w:p>
        </w:tc>
        <w:tc>
          <w:tcPr>
            <w:tcW w:w="818" w:type="pct"/>
            <w:vMerge/>
            <w:tcBorders>
              <w:top w:val="nil"/>
              <w:bottom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1011" w:type="pct"/>
            <w:vMerge/>
            <w:tcBorders>
              <w:top w:val="nil"/>
              <w:bottom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688" w:type="pct"/>
            <w:vMerge/>
            <w:tcBorders>
              <w:top w:val="nil"/>
              <w:bottom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18" w:type="pct"/>
            <w:vMerge/>
            <w:tcBorders>
              <w:top w:val="nil"/>
              <w:bottom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Merge/>
            <w:tcBorders>
              <w:top w:val="nil"/>
              <w:bottom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tcBorders>
              <w:top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ABCC1</w:t>
            </w:r>
          </w:p>
        </w:tc>
        <w:tc>
          <w:tcPr>
            <w:tcW w:w="818" w:type="pct"/>
            <w:tcBorders>
              <w:top w:val="single" w:sz="4" w:space="0" w:color="auto"/>
            </w:tcBorders>
            <w:vAlign w:val="center"/>
          </w:tcPr>
          <w:p w:rsidR="00566543" w:rsidRPr="0030036C" w:rsidRDefault="006F5ECF"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{"citationItems":[{"id":"ITEM-1","itemData":{"DOI":"10.18869/acadpub.ibj.21.2.120","ISSN":"1028852X","PMID":"27238935","abstract":"BACKGROUND: Atorvastatin is prescribed for the primary and the secondary prevention of coronary artery diseases. A wide variation in inter-individual statin response suggests that genetic differences may contribute to this variation. This study investigated the association of ABCB1 (C3435T) and ABCC1 (G2012T) polymorphisms with clinical response to atorvastatin in Iranian primary hyperlipidemic patients. METHODS: Individuals (n=179) with primary hypercholesterolemia were enrolled, and peripheral blood samples were collected. Genotyping of two polymorphisms were performed by amplification refractory mutation system PCR. RESULTS: Following four weeks of treatment, a significant reduction of LDL-C was observed in variant groups (CT+TT) of ABCB1 (P=0.018) and wild-type group (GG) of ABCC1 genes (P=0.029). Logistic regression analysis revealed a significant difference between male and female responses to 10 mg/day atorvastatin (P=0.004, odds ratio=0.2, CI 95%=0.06-0.6). CONCLUSION: Our finding indicated that these polymorphisms may be attributed to LDL-C serum levels in the primary hypercholesterolemia patients receiving atorvastatin.","author":[{"dropping-particle":"","family":"Behdad","given":"Niusha","non-dropping-particle":"","parse-names":false,"suffix":""},{"dropping-particle":"","family":"Kojuri","given":"Javad","non-dropping-particle":"","parse-names":false,"suffix":""},{"dropping-particle":"","family":"Azarpira","given":"Negar","non-dropping-particle":"","parse-names":false,"suffix":""},{"dropping-particle":"","family":"Masoomi","given":"Amir","non-dropping-particle":"","parse-names":false,"suffix":""},{"dropping-particle":"","family":"Namazi","given":"Soha","non-dropping-particle":"","parse-names":false,"suffix":""}],"container-title":"Iranian Biomedical Journal","id":"ITEM-1","issue":"2","issued":{"date-parts":[["2017"]]},"page":"120-125","title":"Association of ABCB1 (C3435T) and ABCC1 (G2012T) polymorphisms with clinical response to atorvastatin in Iranian patients with primary hyperlipidemia","type":"article-journal","volume":"21"},"uris":["http://www.mendeley.com/documents/?uuid=4a11e1f1-2130-413d-966a-1b33960dce81"]}],"mendeley":{"formattedCitation":"(Behdad et al., 2017)","plainTextFormattedCitation":"(Behdad et al., 2017)","previouslyFormattedCitation":"(Behdad et al., 2017)"},"properties":{"noteIndex":0},"schema":"https://github.com/citation-style-language/schema/raw/master/csl-citation.json"}</w:instrText>
            </w:r>
            <w:r>
              <w:rPr>
                <w:rFonts w:ascii="Times New Roman" w:hAnsi="Times New Roman" w:cs="Times New Roman"/>
                <w:color w:val="000000"/>
                <w:sz w:val="18"/>
                <w:szCs w:val="18"/>
              </w:rPr>
              <w:fldChar w:fldCharType="separate"/>
            </w:r>
            <w:r w:rsidRPr="006F5ECF">
              <w:rPr>
                <w:rFonts w:ascii="Times New Roman" w:hAnsi="Times New Roman" w:cs="Times New Roman"/>
                <w:noProof/>
                <w:color w:val="000000"/>
                <w:sz w:val="18"/>
                <w:szCs w:val="18"/>
              </w:rPr>
              <w:t>(Behdad et al., 2017)</w:t>
            </w:r>
            <w:r>
              <w:rPr>
                <w:rFonts w:ascii="Times New Roman" w:hAnsi="Times New Roman" w:cs="Times New Roman"/>
                <w:color w:val="000000"/>
                <w:sz w:val="18"/>
                <w:szCs w:val="18"/>
              </w:rPr>
              <w:fldChar w:fldCharType="end"/>
            </w:r>
          </w:p>
        </w:tc>
        <w:tc>
          <w:tcPr>
            <w:tcW w:w="1011" w:type="pct"/>
            <w:tcBorders>
              <w:top w:val="single" w:sz="4" w:space="0" w:color="auto"/>
            </w:tcBorders>
            <w:vAlign w:val="center"/>
          </w:tcPr>
          <w:p w:rsidR="00566543" w:rsidRPr="0030036C" w:rsidRDefault="00F1085D"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{"citationItems":[{"id":"ITEM-1","itemData":{"DOI":"10.1016/j.phymed.2018.03.040","ISSN":"1618-095X (Electronic)","PMID":"29747752","abstract":"BACKGROUND: Chemotherapy has been widely used to treat cancer, but the appearance of multidrug resistance (MDR) is the biggest obstacle to successful chemotherapy. One of the conventional mechanisms of MDR is overexpression of ATP-binding cassette (ABC) transporters such as P-glycoprotein (P-gp/ABCB1) and multidrug resistance-associated proteins (MRPs/ABCCs) that limits the prolonged and efficient use of chemotherapeutic drugs. To enhance the chemosensitivity of tumor cells, attentions have been focused on effective MDR modulators. PURPOSE: This study aimed to investigate the reversal effect of quercetin on MDR, and explored its mechanism of action in vitro. STUDY DESIGN/METHODS: The effect and mechanism of quercetin on MDR was examined by using MTT assay, flow cytometry, real-time PCR and western blot analysis in human hepatocellular carcinoma cells. RESULTS: Our data found that the intracellular accumulation of rhodamine-123 (Rh123) and doxorubicin (ADR) were increased, the sensitivity of BEL/5-FU cells to chemotherapeutic drugs were increased, and the expressions of ABCB1, ABCC1 and ABCC2 were all down-regulated, which indicated that the functions and expressions of ABCB1, ABCC1 and ABCC2 efflux pump were inhibited by quercetin treatment. Moreover, the suppression of ABCB1, ABCC1 and ABCC2 by quercetin was dependent on the FZD7 through the Wnt/beta-catenin pathway. Further research revealed that reduction of FZD7 by RNA interference (siFZD7) enhanced the sensitivity to chemotherapeutic drugs, increased the cellular accumulation of Rh123 and ADR, and induced inhibitory effects on the expression of FZD7, ABCB1, ABCC1, ABCC2 and beta-catenin, similar to quercetin. In the meanwhile, overexpression of FZD7 showed the inversely effect on the expressions. Interesting, it was confirmed that quercetin could inhibit the expression levels of FZD7, ABCB1, ABCC1, ABCC2 and beta-catenin in BEL-7402 cells; furthermore, treatment by quercetin combined with siFZD7 in BEL/5-FU cells, the expressions of these genes were effectively decreased in comparison to quercetin combined with siRNA negative control (sncRNA). CONCLUSION: Overall, these data suggested the effectiveness of using quercetin, at least in part, via inhibiting FZD7 to combat chemoresistance and showed that quercetin could be developed into an efficient natural sensitizer for resistant human hepatocellular carcinoma.","author":[{"dropping-particle":"","family":"Chen","given":"Zhaolin","non-dropping-particle":"","parse-names":false,"suffix":""},{"dropping-particle":"","family":"Huang","given":"Cheng","non-dropping-particle":"","parse-names":false,"suffix":""},{"dropping-particle":"","family":"Ma","given":"Taotao","non-dropping-particle":"","parse-names":false,"suffix":""},{"dropping-particle":"","family":"Jiang","given":"Ling","non-dropping-particle":"","parse-names":false,"suffix":""},{"dropping-particle":"","family":"Tang","given":"Liqin","non-dropping-particle":"","parse-names":false,"suffix":""},{"dropping-particle":"","family":"Shi","given":"Tianlu","non-dropping-particle":"","parse-names":false,"suffix":""},{"dropping-particle":"","family":"Zhang","given":"Shantang","non-dropping-particle":"","parse-names":false,"suffix":""},{"dropping-particle":"","family":"Zhang","given":"Lei","non-dropping-particle":"","parse-names":false,"suffix":""},{"dropping-particle":"","family":"Zhu","given":"Pengli","non-dropping-particle":"","parse-names":false,"suffix":""},{"dropping-particle":"","family":"Li","given":"Jun","non-dropping-particle":"","parse-names":false,"suffix":""},{"dropping-particle":"","family":"Shen","given":"Aizong","non-dropping-particle":"","parse-names":false,"suffix":""}],"container-title":"Phytomedicine : international journal of phytotherapy and phytopharmacology","id":"ITEM-1","issued":{"date-parts":[["2018","4"]]},"language":"eng","page":"37-45","publisher-place":"Germany","title":"Reversal effect of quercetin on multidrug resistance via FZD7/beta-catenin pathway in hepatocellular carcinoma cells.","type":"article-journal","volume":"43"},"uris":["http://www.mendeley.com/documents/?uuid=f72e28e6-b9ef-443a-aedf-68ce238d652d"]}],"mendeley":{"formattedCitation":"(Chen et al., 2018)","plainTextFormattedCitation":"(Chen et al., 2018)","previouslyFormattedCitation":"(Chen et al., 2018)"},"properties":{"noteIndex":0},"schema":"https://github.com/citation-style-language/schema/raw/master/csl-citation.json"}</w:instrText>
            </w:r>
            <w:r>
              <w:rPr>
                <w:rFonts w:ascii="Times New Roman" w:hAnsi="Times New Roman" w:cs="Times New Roman"/>
                <w:color w:val="000000"/>
                <w:sz w:val="18"/>
                <w:szCs w:val="18"/>
              </w:rPr>
              <w:fldChar w:fldCharType="separate"/>
            </w:r>
            <w:r w:rsidRPr="00F1085D">
              <w:rPr>
                <w:rFonts w:ascii="Times New Roman" w:hAnsi="Times New Roman" w:cs="Times New Roman"/>
                <w:noProof/>
                <w:color w:val="000000"/>
                <w:sz w:val="18"/>
                <w:szCs w:val="18"/>
              </w:rPr>
              <w:t>(Chen et al., 2018)</w:t>
            </w:r>
            <w:r>
              <w:rPr>
                <w:rFonts w:ascii="Times New Roman" w:hAnsi="Times New Roman" w:cs="Times New Roman"/>
                <w:color w:val="000000"/>
                <w:sz w:val="18"/>
                <w:szCs w:val="18"/>
              </w:rPr>
              <w:fldChar w:fldCharType="end"/>
            </w:r>
          </w:p>
        </w:tc>
        <w:tc>
          <w:tcPr>
            <w:tcW w:w="688" w:type="pct"/>
            <w:tcBorders>
              <w:top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STT3B</w:t>
            </w:r>
          </w:p>
        </w:tc>
        <w:tc>
          <w:tcPr>
            <w:tcW w:w="818" w:type="pct"/>
            <w:tcBorders>
              <w:top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tcBorders>
              <w:top w:val="single" w:sz="4" w:space="0" w:color="auto"/>
            </w:tcBorders>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ALOX12</w:t>
            </w:r>
          </w:p>
        </w:tc>
        <w:tc>
          <w:tcPr>
            <w:tcW w:w="818" w:type="pct"/>
            <w:vAlign w:val="center"/>
          </w:tcPr>
          <w:p w:rsidR="00566543" w:rsidRPr="0030036C" w:rsidRDefault="006F5ECF"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{"citationItems":[{"id":"ITEM-1","itemData":{"ISSN":"0962-9351","author":[{"dropping-particle":"","family":"Burdon","given":"Kathryn P","non-dropping-particle":"","parse-names":false,"suffix":""},{"dropping-particle":"","family":"Rudock","given":"Megan E","non-dropping-particle":"","parse-names":false,"suffix":""},{"dropping-particle":"","family":"Lehtinen","given":"Allison B","non-dropping-particle":"","parse-names":false,"suffix":""},{"dropping-particle":"","family":"Langefeld","given":"Carl D","non-dropping-particle":"","parse-names":false,"suffix":""},{"dropping-particle":"","family":"Bowden","given":"Donald W","non-dropping-particle":"","parse-names":false,"suffix":""},{"dropping-particle":"","family":"Register","given":"Thomas C","non-dropping-particle":"","parse-names":false,"suffix":""},{"dropping-particle":"","family":"Liu","given":"Yongmei","non-dropping-particle":"","parse-names":false,"suffix":""},{"dropping-particle":"","family":"Freedman","given":"Barry I","non-dropping-particle":"","parse-names":false,"suffix":""},{"dropping-particle":"","family":"Carr","given":"J Jeffrey","non-dropping-particle":"","parse-names":false,"suffix":""},{"dropping-particle":"","family":"Hedrick","given":"Catherine C","non-dropping-particle":"","parse-names":false,"suffix":""}],"container-title":"Mediators of inflammation","id":"ITEM-1","issued":{"date-parts":[["2010"]]},"publisher":"Hindawi","title":"Human lipoxygenase pathway gene variation and association with markers of subclinical atherosclerosis in the diabetes heart study","type":"article-journal","volume":"2010"},"uris":["http://www.mendeley.com/documents/?uuid=14af6f49-4cff-469a-b5d5-62085b46fcb2"]}],"mendeley":{"formattedCitation":"(Burdon et al., 2010)","plainTextFormattedCitation":"(Burdon et al., 2010)","previouslyFormattedCitation":"(Burdon et al., 2010)"},"properties":{"noteIndex":0},"schema":"https://github.com/citation-style-language/schema/raw/master/csl-citation.json"}</w:instrText>
            </w:r>
            <w:r>
              <w:rPr>
                <w:rFonts w:ascii="Times New Roman" w:hAnsi="Times New Roman" w:cs="Times New Roman"/>
                <w:color w:val="000000"/>
                <w:sz w:val="18"/>
                <w:szCs w:val="18"/>
              </w:rPr>
              <w:fldChar w:fldCharType="separate"/>
            </w:r>
            <w:r w:rsidRPr="006F5ECF">
              <w:rPr>
                <w:rFonts w:ascii="Times New Roman" w:hAnsi="Times New Roman" w:cs="Times New Roman"/>
                <w:noProof/>
                <w:color w:val="000000"/>
                <w:sz w:val="18"/>
                <w:szCs w:val="18"/>
              </w:rPr>
              <w:t>(Burdon et al., 2010)</w:t>
            </w:r>
            <w:r>
              <w:rPr>
                <w:rFonts w:ascii="Times New Roman" w:hAnsi="Times New Roman" w:cs="Times New Roman"/>
                <w:color w:val="000000"/>
                <w:sz w:val="18"/>
                <w:szCs w:val="18"/>
              </w:rPr>
              <w:fldChar w:fldCharType="end"/>
            </w:r>
          </w:p>
        </w:tc>
        <w:tc>
          <w:tcPr>
            <w:tcW w:w="1011" w:type="pc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{"citationItems":[{"id":"ITEM-1","itemData":{"DOI":"10.1248/bpb.b16-00954","ISSN":"1347-5215 (Electronic)","PMID":"28381806","abstract":"The human hair shaft is covered with multiple scale-like cuticular layers. During the terminal differentiation stage of immature cuticular cells within the hair follicle, cysteine-rich calcium binding S100A3 protein is predominantly translated, and its arginine residues are converted to citrullines by peptidylarginine deiminases (PADI). In this study, we found several naturally occurring compounds (e.g., hinokitiol, escletin, and quercetin) elevate S100A3 citrullination in a human colorectal adenocarcinoma cell line (SW480). Selected compounds similarly promoted cuticular differentiation within isolated human hair follicles. Their promotive activities correlated with the previously reported inhibitory activities of arachidonate 12-lipoxygenase (ALOX12) in vitro. Microarray analysis revealed that ALOX12 inhibitor remarkably up-regulated heparin-binding epidermal growth factor-like growth factor (HBEGF). ALOX12 inhibitor and recombinant HBEGF similarly regulated expression of PADI genes in SW480 cells. In isolated hair follicles, arachidonic acid strongly promoted S100A3 citrullination along with elevation of HBEGF. These results suggest that ALOX12 inhibition efficiently triggers hair cuticle maturation by modulating arachidonate metabolism in concert with HBEGF.","author":[{"dropping-particle":"","family":"Kizawa","given":"Kenji","non-dropping-particle":"","parse-names":false,"suffix":""},{"dropping-particle":"","family":"Fujimori","given":"Takeshi","non-dropping-particle":"","parse-names":false,"suffix":""},{"dropping-particle":"","family":"Kawai","given":"Tomomitsu","non-dropping-particle":"","parse-names":false,"suffix":""}],"container-title":"Biological &amp; pharmaceutical bulletin","id":"ITEM-1","issue":"4","issued":{"date-parts":[["2017"]]},"language":"eng","page":"516-523","publisher-place":"Japan","title":"Arachidonate 12-Lipoxygenase Inhibitors Promote S100A3 Citrullination in Cultured SW480 Cells and Isolated Hair Follicles.","type":"article-journal","volume":"40"},"uris":["http://www.mendeley.com/documents/?uuid=adde4f78-7420-4894-8b46-43f0c0970c4c"]}],"mendeley":{"formattedCitation":"(Kizawa et al., 2017)","plainTextFormattedCitation":"(Kizawa et al., 2017)","previouslyFormattedCitation":"(Kizawa et al., 2017)"},"properties":{"noteIndex":0},"schema":"https://github.com/citation-style-language/schema/raw/master/csl-citation.json"}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(Kizawa et al., 2017)</w:t>
            </w:r>
            <w:r>
              <w:rPr>
                <w:rFonts w:ascii="Times New Roman" w:hAnsi="Times New Roman" w:cs="Times New Roman"/>
                <w:color w:val="000000"/>
                <w:sz w:val="18"/>
                <w:szCs w:val="18"/>
              </w:rPr>
              <w:fldChar w:fldCharType="end"/>
            </w: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PLA2G12A</w:t>
            </w:r>
          </w:p>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PLA2G3</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r>
      <w:tr w:rsidR="00566543" w:rsidRPr="0030036C" w:rsidTr="00B432BB">
        <w:tc>
          <w:tcPr>
            <w:tcW w:w="80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ALOX15</w:t>
            </w:r>
          </w:p>
        </w:tc>
        <w:tc>
          <w:tcPr>
            <w:tcW w:w="818" w:type="pct"/>
            <w:vAlign w:val="center"/>
          </w:tcPr>
          <w:p w:rsidR="00566543" w:rsidRPr="0030036C" w:rsidRDefault="006F5ECF"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{"citationItems":[{"id":"ITEM-1","itemData":{"ISSN":"0027-8424","author":[{"dropping-particle":"","family":"Zhao","given":"Jinming","non-dropping-particle":"","parse-names":false,"suffix":""},{"dropping-particle":"","family":"O'Donnell","given":"Valerie B","non-dropping-particle":"","parse-names":false,"suffix":""},{"dropping-particle":"","family":"Balzar","given":"Silvana","non-dropping-particle":"","parse-names":false,"suffix":""},{"dropping-particle":"","family":"Croix","given":"Claudette M St","non-dropping-particle":"","parse-names":false,"suffix":""},{"dropping-particle":"","family":"Trudeau","given":"John B","non-dropping-particle":"","parse-names":false,"suffix":""},{"dropping-particle":"","family":"Wenzel","given":"Sally E","non-dropping-particle":"","parse-names":false,"suffix":""}],"container-title":"Proceedings of the National Academy of Sciences","id":"ITEM-1","issue":"34","issued":{"date-parts":[["2011"]]},"page":"14246-14251","publisher":"National Acad Sciences","title":"15-Lipoxygenase 1 interacts with phosphatidylethanolamine-binding protein to regulate MAPK signaling in human airway epithelial cells","type":"article-journal","volume":"108"},"uris":["http://www.mendeley.com/documents/?uuid=f04488d3-1a1b-4c53-b366-4c52d2ff9f83"]}],"mendeley":{"formattedCitation":"(Zhao et al., 2011)","plainTextFormattedCitation":"(Zhao et al., 2011)","previouslyFormattedCitation":"(Zhao et al., 2011)"},"properties":{"noteIndex":0},"schema":"https://github.com/citation-style-language/schema/raw/master/csl-citation.json"}</w:instrText>
            </w:r>
            <w:r>
              <w:rPr>
                <w:rFonts w:ascii="Times New Roman" w:hAnsi="Times New Roman" w:cs="Times New Roman"/>
                <w:color w:val="000000"/>
                <w:sz w:val="18"/>
                <w:szCs w:val="18"/>
              </w:rPr>
              <w:fldChar w:fldCharType="separate"/>
            </w:r>
            <w:r w:rsidRPr="006F5ECF">
              <w:rPr>
                <w:rFonts w:ascii="Times New Roman" w:hAnsi="Times New Roman" w:cs="Times New Roman"/>
                <w:noProof/>
                <w:color w:val="000000"/>
                <w:sz w:val="18"/>
                <w:szCs w:val="18"/>
              </w:rPr>
              <w:t>(Zhao et al., 2011)</w:t>
            </w:r>
            <w:r>
              <w:rPr>
                <w:rFonts w:ascii="Times New Roman" w:hAnsi="Times New Roman" w:cs="Times New Roman"/>
                <w:color w:val="000000"/>
                <w:sz w:val="18"/>
                <w:szCs w:val="18"/>
              </w:rPr>
              <w:fldChar w:fldCharType="end"/>
            </w:r>
          </w:p>
        </w:tc>
        <w:tc>
          <w:tcPr>
            <w:tcW w:w="1011" w:type="pc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{"citationItems":[{"id":"ITEM-1","itemData":{"ISSN":"0003-9861 (Print)","PMID":"9448720","abstract":"Lipoxygenase is suggested to be involved in the early event of atherosclerosis by inducing plasma low-density lipoprotein (LDL) oxidation in the subendothelial space of the arterial wall. Since flavonoids such as quercetin are recognized as lipoxygenase inhibitors and they occur mainly in the glycoside form, we assessed the effect of quercetin and its glycosides (quercetin 3-O-beta-glucopyranoside, Q3G; quercetin 4'-O-beta-glucopyranoside, Q4'G; quercetin 7-O-beta-glucopyranoside, Q7G) on rabbit reticulocyte 15-lipoxygenase (15-LOX)-induced human LDL lipid peroxidation and compared it with the inhibition obtained by ascorbic acid and alpha-tocopherol, the main water-soluble and lipid-soluble antioxidants in blood plasma, respectively. Quercetin inhibited the formation of cholesteryl ester hydroperoxides (CE-OOH) and endogenous alpha-tocopherol consumption effectively throughout the incubation period of 6 h. Ascorbic acid exhibited an effective inhibition only in the initial stage and LDL preloaded with fivefold alpha-tocopherol did not affect the formation of CE-OOH compared with the native LDL. CE-OOH formation was inhibited by both quercetin and quercetin monoglucosides in a concentration-dependent manner. Quercetin, Q3G, and Q7G exhibited a higher inhibitory effect than Q4'G (IC50: 0.3-0.5 microM for quercetin, Q3G, and Q7G and 1.2 microM for Q4'G). While endogenous alpha-tocopherol was completely depleted after 2 h of LDL oxidation, quercetin, Q7G, and Q3G prevented the consumption of alpha-tocopherol. Quercetin and its monoglucosides were also exhausted during the LDL oxidation. These results indicate that quercetin glycosides as well as its aglycone are capable of inhibiting lipoxygenase-induced LDL oxidation more efficiently than ascorbic acid and alpha-tocopherol.","author":[{"dropping-particle":"","family":"Luiz da Silva","given":"E","non-dropping-particle":"","parse-names":false,"suffix":""},{"dropping-particle":"","family":"Tsushida","given":"T","non-dropping-particle":"","parse-names":false,"suffix":""},{"dropping-particle":"","family":"Terao","given":"J","non-dropping-particle":"","parse-names":false,"suffix":""}],"container-title":"Archives of biochemistry and biophysics","id":"ITEM-1","issue":"2","issued":{"date-parts":[["1998","1"]]},"language":"eng","page":"313-320","publisher-place":"United States","title":"Inhibition of mammalian 15-lipoxygenase-dependent lipid peroxidation in low-density lipoprotein by quercetin and quercetin monoglucosides.","type":"article-journal","volume":"349"},"uris":["http://www.mendeley.com/documents/?uuid=a450cd25-b532-4d6c-bf3d-feca263fd1ca"]}],"mendeley":{"formattedCitation":"(Luiz da Silva et al., 1998)","plainTextFormattedCitation":"(Luiz da Silva et al., 1998)","previouslyFormattedCitation":"(Luiz da Silva et al., 1998)"},"properties":{"noteIndex":0},"schema":"https://github.com/citation-style-language/schema/raw/master/csl-citation.json"}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(Luiz da Silva et al., 1998)</w:t>
            </w:r>
            <w:r>
              <w:rPr>
                <w:rFonts w:ascii="Times New Roman" w:hAnsi="Times New Roman" w:cs="Times New Roman"/>
                <w:color w:val="000000"/>
                <w:sz w:val="18"/>
                <w:szCs w:val="18"/>
              </w:rPr>
              <w:fldChar w:fldCharType="end"/>
            </w: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PLA2G3</w:t>
            </w:r>
          </w:p>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PLA2G4D </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Merge w:val="restart"/>
            <w:vAlign w:val="center"/>
          </w:tcPr>
          <w:p w:rsidR="00566543" w:rsidRPr="0030036C" w:rsidRDefault="00566543" w:rsidP="00C22F88">
            <w:pPr>
              <w:autoSpaceDE w:val="0"/>
              <w:autoSpaceDN w:val="0"/>
              <w:adjustRightInd w:val="0"/>
              <w:spacing w:after="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APP</w:t>
            </w:r>
          </w:p>
        </w:tc>
        <w:tc>
          <w:tcPr>
            <w:tcW w:w="818" w:type="pct"/>
            <w:vMerge w:val="restart"/>
            <w:vAlign w:val="center"/>
          </w:tcPr>
          <w:p w:rsidR="00566543" w:rsidRPr="0030036C" w:rsidRDefault="006F5ECF"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{"citationItems":[{"id":"ITEM-1","itemData":{"DOI":"10.1007/s00125-014-3269-x","ISSN":"1432-0428 (Electronic)","PMID":"24849570","abstract":"AIMS/HYPOTHESIS: Impaired glucose uptake in skeletal muscle is an important contributor to glucose intolerance in type 2 diabetes. The aspartate protease, beta-site APP-cleaving enzyme 1 (BACE1), a critical regulator of amyloid precursor protein (APP) processing, modulates in vivo glucose disposal and insulin sensitivity in mice. Insulin-independent pathways to stimulate glucose uptake and GLUT4 translocation may offer alternative therapeutic avenues for the treatment of diabetes. We therefore addressed whether BACE1 activity, via APP processing, in skeletal muscle modifies glucose uptake and oxidation independently of insulin. METHODS: Skeletal muscle cell lines were used to investigate the effects of BACE1 and alpha-secretase inhibition and BACE1 and APP overexpression on glucose uptake, GLUT4 cell surface translocation, glucose oxidation and cellular respiration. RESULTS: In the absence of insulin, reduction of BACE1 activity increased glucose uptake and oxidation, GLUT4myc cell surface translocation, and basal rate of oxygen consumption. In contrast, overexpressing BACE1 in C2C12 myotubes decreased glucose uptake, glucose oxidation and oxygen consumption rate. APP overexpression increased and alpha-secretase inhibition decreased glucose uptake in C2C12 myotubes. The increase in glucose uptake elicited by BACE1 inhibition is dependent on phosphoinositide 3-kinase (PI3K) and mimicked by soluble APPalpha (sAPPalpha). CONCLUSIONS/INTERPRETATION: Inhibition of muscle BACE1 activity increases insulin-independent, PI3K-dependent glucose uptake and cell surface translocation of GLUT4. As APP overexpression raises basal glucose uptake, and direct application of sAPPalpha increases PI3K-protein kinase B signalling and glucose uptake in myotubes, we suggest that alpha-secretase-dependent shedding of sAPPalpha regulates insulin-independent glucose uptake in skeletal muscle.","author":[{"dropping-particle":"","family":"Hamilton","given":"D Lee","non-dropping-particle":"","parse-names":false,"suffix":""},{"dropping-particle":"","family":"Findlay","given":"John A","non-dropping-particle":"","parse-names":false,"suffix":""},{"dropping-particle":"","family":"Montagut","given":"Gemma","non-dropping-particle":"","parse-names":false,"suffix":""},{"dropping-particle":"","family":"Meakin","given":"Paul J","non-dropping-particle":"","parse-names":false,"suffix":""},{"dropping-particle":"","family":"Bestow","given":"Dawn","non-dropping-particle":"","parse-names":false,"suffix":""},{"dropping-particle":"","family":"Jalicy","given":"Susan M","non-dropping-particle":"","parse-names":false,"suffix":""},{"dropping-particle":"","family":"Ashford","given":"Michael L J","non-dropping-particle":"","parse-names":false,"suffix":""}],"container-title":"Diabetologia","id":"ITEM-1","issue":"8","issued":{"date-parts":[["2014","8"]]},"language":"eng","page":"1684-1692","publisher-place":"Germany","title":"Altered amyloid precursor protein processing regulates glucose uptake and oxidation in cultured rodent myotubes.","type":"article-journal","volume":"57"},"uris":["http://www.mendeley.com/documents/?uuid=51e76b11-e518-42a5-ae1f-053dcca3b55e"]}],"mendeley":{"formattedCitation":"(Hamilton et al., 2014)","plainTextFormattedCitation":"(Hamilton et al., 2014)","previouslyFormattedCitation":"(Hamilton et al., 2014)"},"properties":{"noteIndex":0},"schema":"https://github.com/citation-style-language/schema/raw/master/csl-citation.json"}</w:instrText>
            </w:r>
            <w:r>
              <w:rPr>
                <w:rFonts w:ascii="Times New Roman" w:hAnsi="Times New Roman" w:cs="Times New Roman"/>
                <w:color w:val="000000"/>
                <w:sz w:val="18"/>
                <w:szCs w:val="18"/>
              </w:rPr>
              <w:fldChar w:fldCharType="separate"/>
            </w:r>
            <w:r w:rsidRPr="006F5ECF">
              <w:rPr>
                <w:rFonts w:ascii="Times New Roman" w:hAnsi="Times New Roman" w:cs="Times New Roman"/>
                <w:noProof/>
                <w:color w:val="000000"/>
                <w:sz w:val="18"/>
                <w:szCs w:val="18"/>
              </w:rPr>
              <w:t>(Hamilton et al., 2014)</w:t>
            </w:r>
            <w:r>
              <w:rPr>
                <w:rFonts w:ascii="Times New Roman" w:hAnsi="Times New Roman" w:cs="Times New Roman"/>
                <w:color w:val="000000"/>
                <w:sz w:val="18"/>
                <w:szCs w:val="18"/>
              </w:rPr>
              <w:fldChar w:fldCharType="end"/>
            </w:r>
          </w:p>
        </w:tc>
        <w:tc>
          <w:tcPr>
            <w:tcW w:w="1011" w:type="pct"/>
            <w:vMerge w:val="restar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{"citationItems":[{"id":"ITEM-1","itemData":{"DOI":"10.1016/j.phymed.2016.07.007","ISSN":"1618-095X (Electronic)","PMID":"27765347","abstract":"BACKGROUND: Plant secondary metabolites may induce adaptive cellular stress-responses in a variety of cells including neurons at the sub-toxic doses ingested by humans. Such 'neurohormesis' phenomenon, activated by flavonoids such as quercetin or rutin, may involve cell responses driven by modulation of signaling pathways which are responsible for its neuroprotective effects. PURPOSE: We attempt to explore the molecular mechanisms involved in the neurohormetic responses to quercetin and rutin exposure, in a SH-SY5Y cell line which stably overexpresses the amyloid precursor protein (APP) Swedish mutation, based on a biphasic concentration-response relationship for cell viability. METHODS: We examined the impact of both natural compounds, at concentrations in its hormetic range on the following cell parameters: chymotrypsin-like activity of the proteasome system; PARP-1 protein levels and expression and caspase activation; APP processing; and the main endogenous antioxidant enzymes. RESULTS: Proteasome activities following quercetin or rutin treatment were significantly augmented in comparison with non-treated cells. Activity of caspase-3 was significantly attenuated by treatment with quercetin or rutin. Modest increased levels of PARP-1 protein and mRNA transcripts were observed in relation to the mild increase of proteasome activity. Significant reductions of the full-length APP and sAPP protein and APP mRNA levels were related to significant enhancements of alpha-secretase ADAM-10 protein and mRNA transcripts and significant increases of BACE processing in cells exposed to rutin. Furthermore, quercetin or rutin treatment displayed an overall increase of the four antioxidant enzymes. CONCLUSIONS: The upregulation of the proteasome activity observed upon quercetin or rutin treatment could be afforded by a mild increased of PARP-1. Consequently, targeting the proteasome by quercetin or rutin to enhance its activity in a mild manner could avoid caspase activation. Moreover, it is likely that APP processing of cells upon rutin treatment is mostly driven by the non-amyloidogenic pathway leading to a putative reduction of betaA production. Overall induction of endogenous antioxidant enzymes under quercetin or rutin treatments of APPswe cells might modulate its proteasome activity. We might conclude that quercetin and rutin might exert a neurohormetic cell response affecting various signaling pathways and molecular networks associated with modulation of protea…","author":[{"dropping-particle":"","family":"Martin-Aragon","given":"Sagrario","non-dropping-particle":"","parse-names":false,"suffix":""},{"dropping-particle":"","family":"Jimenez-Aliaga","given":"Karim Lizeth","non-dropping-particle":"","parse-names":false,"suffix":""},{"dropping-particle":"","family":"Benedi","given":"Juana","non-dropping-particle":"","parse-names":false,"suffix":""},{"dropping-particle":"","family":"Bermejo-Bescos","given":"Paloma","non-dropping-particle":"","parse-names":false,"suffix":""}],"container-title":"Phytomedicine : international journal of phytotherapy and phytopharmacology","id":"ITEM-1","issue":"12","issued":{"date-parts":[["2016","11"]]},"language":"eng","page":"1285-1294","publisher-place":"Germany","title":"Neurohormetic responses of quercetin and rutin in a cell line over-expressing the amyloid precursor protein (APPswe cells).","type":"article-journal","volume":"23"},"uris":["http://www.mendeley.com/documents/?uuid=0eaad81c-c9f3-4c39-aac5-dfa9e531c88a"]}],"mendeley":{"formattedCitation":"(Martin-Aragon et al., 2016)","plainTextFormattedCitation":"(Martin-Aragon et al., 2016)","previouslyFormattedCitation":"(Martin-Aragon et al., 2016)"},"properties":{"noteIndex":0},"schema":"https://github.com/citation-style-language/schema/raw/master/csl-citation.json"}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(Martin-Aragon et al., 2016)</w:t>
            </w:r>
            <w:r>
              <w:rPr>
                <w:rFonts w:ascii="Times New Roman" w:hAnsi="Times New Roman" w:cs="Times New Roman"/>
                <w:color w:val="000000"/>
                <w:sz w:val="18"/>
                <w:szCs w:val="18"/>
              </w:rPr>
              <w:fldChar w:fldCharType="end"/>
            </w: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PIK3CA</w:t>
            </w:r>
          </w:p>
        </w:tc>
        <w:tc>
          <w:tcPr>
            <w:tcW w:w="818" w:type="pc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{"citationItems":[{"id":"ITEM-1","itemData":{"DOI":"10.1177/0960327114561663","ISSN":"1477-0903 (Electronic)","PMID":"26286522","abstract":"In this study, we examined the in vivo effect and the mechanism of asiatic acid (AA) on glucose uptake in an insulin target skeletal muscle. Diabetic rats showed significantly increased levels of plasma glucose, thiobarbituric acid reactive substances, and lipid hydroperoxides, decreased levels of insulin and antioxidants, and impairment in insulin-signaling proteins such as insulin receptor (IR), insulin receptor substrate (IRS)-1/2, phosphoinositide 3-kinase (PI3K), Akt, and glucose transporter 4 (GLUT4) proteins. Oral treatment with AA (20 mg/kg body weight) showed near-normalized levels of plasma glucose, lipid peroxidation products, and antioxidants and improved insulin, IR, IRS-1/2, PI3K, Akt, and GLUT4 proteins. These findings suggest that AA improves glucose response by increasing GLUT4 in skeletal muscle through Akt and antioxidant defense in plasma and it also improves glucose homeostasis.","author":[{"dropping-particle":"","family":"Ramachandran","given":"V","non-dropping-particle":"","parse-names":false,"suffix":""},{"dropping-particle":"","family":"Saravanan","given":"R","non-dropping-particle":"","parse-names":false,"suffix":""}],"container-title":"Human &amp; experimental toxicology","id":"ITEM-1","issue":"9","issued":{"date-parts":[["2015","9"]]},"language":"eng","page":"884-893","publisher-place":"England","title":"Glucose uptake through translocation and activation of GLUT4 in PI3K/Akt signaling pathway by asiatic acid in diabetic rats.","type":"article-journal","volume":"34"},"uris":["http://www.mendeley.com/documents/?uuid=5c4a16aa-2f81-4c8d-9ec3-06cc9709e6f9"]}],"mendeley":{"formattedCitation":"(Ramachandran and Saravanan, 2015)","plainTextFormattedCitation":"(Ramachandran and Saravanan, 2015)","previouslyFormattedCitation":"(Ramachandran and Saravanan, 2015)"},"properties":{"noteIndex":0},"schema":"https://github.com/citation-style-language/schema/raw/master/csl-citation.json"}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(Ramachandran and Saravanan, 2015)</w:t>
            </w:r>
            <w:r>
              <w:rPr>
                <w:rFonts w:ascii="Times New Roman" w:hAnsi="Times New Roman" w:cs="Times New Roman"/>
                <w:color w:val="000000"/>
                <w:sz w:val="18"/>
                <w:szCs w:val="18"/>
              </w:rPr>
              <w:fldChar w:fldCharType="end"/>
            </w: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18"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1011"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PLD2</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Merge w:val="restart"/>
            <w:vAlign w:val="center"/>
          </w:tcPr>
          <w:p w:rsidR="00566543" w:rsidRPr="0030036C" w:rsidRDefault="00566543" w:rsidP="00C22F88">
            <w:pPr>
              <w:autoSpaceDE w:val="0"/>
              <w:autoSpaceDN w:val="0"/>
              <w:adjustRightInd w:val="0"/>
              <w:spacing w:after="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BCL2</w:t>
            </w:r>
          </w:p>
        </w:tc>
        <w:tc>
          <w:tcPr>
            <w:tcW w:w="818" w:type="pct"/>
            <w:vMerge w:val="restart"/>
            <w:vAlign w:val="center"/>
          </w:tcPr>
          <w:p w:rsidR="00566543" w:rsidRPr="0030036C" w:rsidRDefault="006F5ECF"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sidR="00C22F88">
              <w:rPr>
                <w:rFonts w:ascii="Times New Roman" w:hAnsi="Times New Roman" w:cs="Times New Roman"/>
                <w:color w:val="000000"/>
                <w:sz w:val="18"/>
                <w:szCs w:val="18"/>
              </w:rPr>
              <w:instrText>ADDIN CSL_CITATION {"citationItems":[{"id":"ITEM-1","itemData":{"DOI":"10.17305/bjbms.2016.919","ISSN":"1840-4812 (Electronic)","PMID":"27209071","abstract":"Apoptosis plays important roles in the pathophysiology of Type 2 diabetes mellitus (T2DM). The etiology of T2DM is multifactorial, including obesity-associated insulin resistance, defective insulin secretion, and loss of beta-cell mass through beta-cell apoptosis. beta-cell apoptosis is mediated through a milliard of caspase family cascade machinery in T2DM. The glucose-induced insulin secretion is the principle pathophysiology of diabetes and insufficient insulin secretion results in chronic hyperglycemia, diabetes. Recently, hyperglycemia-induced beta-cell apoptosis has been extensively studied on the balance of pro-apoptotic Bcl-2 proteins (Bad, Bid, Bik, and Bax) and anti-apoptotic Bcl family (Bcl-2 and Bcl-xL) toward apoptosis in vitro isolated islets and insulinoma cell culture. Apoptosis can only occur when the concentration of pro-apoptotic Bcl-2 exceeds that of anti-apoptotic proteins at the mitochondrial membrane of the intrinsic pathway. A bulk of recent research on hyperglycemia-induced apoptosis on beta-cells unveiled complex details on glucose toxicity on beta-cells in molecular levels coupled with cell membrane potential by adenosine triphosphate generation through K+ channel closure, opening Ca2+ channel and plasma membrane depolarization. Furthermore, animal models using knockout mice will shed light on the basic understanding of the pathophysiology of diabetes as a glucose metabolic disease complex, on the balance of anti-apoptotic Bcl family and pro-apoptotic genes. The cumulative knowledge will provide a better understanding of glucose metabolism at a molecular level and will lead to eventual prevention and therapeutic application for T2DM with improving medications.","author":[{"dropping-particle":"","family":"Tomita","given":"Tatsuo","non-dropping-particle":"","parse-names":false,"suffix":""}],"container-title":"Bosnian journal of basic medical sciences","id":"ITEM-1","issue":"3","issued":{"date-parts":[["2016","8"]]},"language":"eng","page":"162-179","publisher-place":"Bosnia and Herzegovina","title":"Apoptosis in pancreatic beta-islet cells in Type 2 diabetes.","type":"article-journal","volume":"16"},"uris":["http://www.mendeley.com/documents/?uuid=4e130bfb-ee7b-4e1f-addf-56d8ff8688cf"]}],"mendeley":{"formattedCitation":"(Tomita, 2016)","plainTextFormattedCitation":"(Tomita, 2016)","previouslyFormattedCitation":"(Tomita, 2016)"},"properties":{"noteIndex":0},"schema":"https://github.com/citation-style-language/schema/raw/master/csl-citation.json"}</w:instrText>
            </w:r>
            <w:r>
              <w:rPr>
                <w:rFonts w:ascii="Times New Roman" w:hAnsi="Times New Roman" w:cs="Times New Roman"/>
                <w:color w:val="000000"/>
                <w:sz w:val="18"/>
                <w:szCs w:val="18"/>
              </w:rPr>
              <w:fldChar w:fldCharType="separate"/>
            </w:r>
            <w:r w:rsidRPr="006F5ECF">
              <w:rPr>
                <w:rFonts w:ascii="Times New Roman" w:hAnsi="Times New Roman" w:cs="Times New Roman"/>
                <w:noProof/>
                <w:color w:val="000000"/>
                <w:sz w:val="18"/>
                <w:szCs w:val="18"/>
              </w:rPr>
              <w:t>(Tomita, 2016)</w:t>
            </w:r>
            <w:r>
              <w:rPr>
                <w:rFonts w:ascii="Times New Roman" w:hAnsi="Times New Roman" w:cs="Times New Roman"/>
                <w:color w:val="000000"/>
                <w:sz w:val="18"/>
                <w:szCs w:val="18"/>
              </w:rPr>
              <w:fldChar w:fldCharType="end"/>
            </w:r>
          </w:p>
        </w:tc>
        <w:tc>
          <w:tcPr>
            <w:tcW w:w="1011" w:type="pct"/>
            <w:vMerge w:val="restar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{"citationItems":[{"id":"ITEM-1","itemData":{"DOI":"10.1016/j.fct.2014.02.012","ISSN":"1873-6351 (Electronic)","PMID":"24530315","abstract":"Lead toxicity is of major health concern due to its persistence in environment that induces cognitive impairment and neuronal degeneration. The present study was conducted to investigate the efficacy of quercetin, a ubiquitous bioflavonoid against lead-induced neurotoxicity in Wistar rats. Briefly, lead acetate (20mg/kg) was injected i.p., followed by oral administration of quercetin (50 and 100mg/kg) once daily for five consecutive days. On 6th day, rats were assessed for motor co-ordination, grip strength and sensorimotor impairment (by adhesive removal test). Lead treated rats have shown marked behavioral impairment with increased oxidative stress. Quercetin reduced lead-induced oxidative burden in brain, thus maintained the normal behavioral functions of lead-intoxicated rats. The lead administered group showed severely vacuolated and pyknotic nuclei with high expressions of Bak and Hsp-70. The expression of anti-apoptotic Bcl-2 was observed to be reduced in lead intoxicated group. Quercetin however, restored the normal morphology of brain and the expressions of Bak, Bcl-2 and Hsp-70. In conclusion, quercetin mitigates the toxic effect of lead effectively and thus, may be an important compound for developing effective therapeutic intervention against metal toxicity.","author":[{"dropping-particle":"","family":"Chander","given":"Krishan","non-dropping-particle":"","parse-names":false,"suffix":""},{"dropping-particle":"","family":"Vaibhav","given":"Kumar","non-dropping-particle":"","parse-names":false,"suffix":""},{"dropping-particle":"","family":"Ejaz Ahmed","given":"Md","non-dropping-particle":"","parse-names":false,"suffix":""},{"dropping-particle":"","family":"Javed","given":"Hayate","non-dropping-particle":"","parse-names":false,"suffix":""},{"dropping-particle":"","family":"Tabassum","given":"Rizwana","non-dropping-particle":"","parse-names":false,"suffix":""},{"dropping-particle":"","family":"Khan","given":"Andleeb","non-dropping-particle":"","parse-names":false,"suffix":""},{"dropping-particle":"","family":"Kumar","given":"Mukesh","non-dropping-particle":"","parse-names":false,"suffix":""},{"dropping-particle":"","family":"Katyal","given":"Anju","non-dropping-particle":"","parse-names":false,"suffix":""},{"dropping-particle":"","family":"Islam","given":"Fakhrul","non-dropping-particle":"","parse-names":false,"suffix":""},{"dropping-particle":"","family":"Siddiqui","given":"M Saeed","non-dropping-particle":"","parse-names":false,"suffix":""}],"container-title":"Food and chemical toxicology : an international journal published for the British Industrial Biological Research Association","id":"ITEM-1","issued":{"date-parts":[["2014","6"]]},"language":"eng","page":"297-306","publisher-place":"England","title":"Quercetin mitigates lead acetate-induced behavioral and histological alterations  via suppression of oxidative stress, Hsp-70, Bak and upregulation of Bcl-2.","type":"article-journal","volume":"68"},"uris":["http://www.mendeley.com/documents/?uuid=96509fea-4a6e-4bac-aed7-a82309fc2419"]}],"mendeley":{"formattedCitation":"(Chander et al., 2014)","plainTextFormattedCitation":"(Chander et al., 2014)","previouslyFormattedCitation":"(Chander et al., 2014)"},"properties":{"noteIndex":0},"schema":"https://github.com/citation-style-language/schema/raw/master/csl-citation.json"}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(Chander et al., 2014)</w:t>
            </w:r>
            <w:r>
              <w:rPr>
                <w:rFonts w:ascii="Times New Roman" w:hAnsi="Times New Roman" w:cs="Times New Roman"/>
                <w:color w:val="000000"/>
                <w:sz w:val="18"/>
                <w:szCs w:val="18"/>
              </w:rPr>
              <w:fldChar w:fldCharType="end"/>
            </w: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PIK3CA</w:t>
            </w:r>
          </w:p>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PIK3CB</w:t>
            </w:r>
          </w:p>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PIK3C3</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Merge/>
            <w:vAlign w:val="center"/>
          </w:tcPr>
          <w:p w:rsidR="00566543" w:rsidRPr="0030036C" w:rsidRDefault="00566543" w:rsidP="00C22F88">
            <w:pPr>
              <w:autoSpaceDE w:val="0"/>
              <w:autoSpaceDN w:val="0"/>
              <w:adjustRightInd w:val="0"/>
              <w:spacing w:after="0" w:line="360" w:lineRule="auto"/>
              <w:jc w:val="center"/>
              <w:rPr>
                <w:rFonts w:ascii="Times New Roman" w:hAnsi="Times New Roman" w:cs="Times New Roman"/>
                <w:color w:val="000000"/>
                <w:sz w:val="18"/>
                <w:szCs w:val="18"/>
              </w:rPr>
            </w:pPr>
          </w:p>
        </w:tc>
        <w:tc>
          <w:tcPr>
            <w:tcW w:w="818"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1011"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PLA2G1B</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18"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1011" w:type="pct"/>
            <w:vMerge/>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PLD2</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lastRenderedPageBreak/>
              <w:t>CA9</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1011"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PTEN</w:t>
            </w:r>
          </w:p>
        </w:tc>
        <w:tc>
          <w:tcPr>
            <w:tcW w:w="818" w:type="pc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{"citationItems":[{"id":"ITEM-1","itemData":{"DOI":"10.1007/s10557-014-6546-5","ISSN":"1573-7241 (Electronic)","PMID":"25106875","abstract":"PURPOSE: Statins increase the incidence of new onset diabetes. Prolonged statin therapy upregulates PTEN expression. PTEN levels are also elevated in diabetic animals. Activation of protein kinase A by cAMP decreases PTEN expression. We assessed whether prolonged treatment with rosuvastatin (ROS) induces glucose intolerance by upregulating Phosphatase and Tensin Homologue on Chromosome 10 (PTEN) in mice receiving normal (ND) or Western Diet (WD) and whether concomitant treatment with cilostazol (CIL, a phosphodiesterase-3 inhibitor) attenuates the effects. METHODS: PTEN(loxp/cre) or PTEN(+/-) mice received ND or WD without or with ROS (10 mg/kg/day). Wild-type mice received ND or WD without or with ROS, CIL (10 mg/kg/day), or ROS+CIL for 30 days. Fasting insulin and glucose tolerance test were measured as well as PTEN and P-AKT levels in skeletal muscle. RESULTS: Serum glucose after intraperitoneal injection of glucose was higher in PTEN(loxp/cre) mice receiving WD or ROS and especially WD+ROS. Levels were lower in PTEN(+/-) mice compared to PTEN(loxp/cre) in each treatment group. CIL decreased glucose levels in mice receiving WD, ROS and their combination. Insulin levels were higher in the WD+ROS group. CIL decreased insulin in mice receiving WD+ROS. WD, ROS and especially their combination increased PTEN and decreased P-AKT levels. CIL attenuated the effect of WD, ROS and their combination. CONCLUSIONS: Long-term ROS can induce diabetes by upregulating PTEN. CIL attenuates these changes. Partial knockdown of PTEN also ameliorates ROS-induced insulin resistance. Further studies are needed to assess the effects of increasing cAMP levels to prevent the induction of diabetes by statins.","author":[{"dropping-particle":"","family":"Birnbaum","given":"Yochai","non-dropping-particle":"","parse-names":false,"suffix":""},{"dropping-particle":"","family":"Nanhwan","given":"Manjyot K","non-dropping-particle":"","parse-names":false,"suffix":""},{"dropping-particle":"","family":"Ling","given":"Shukuan","non-dropping-particle":"","parse-names":false,"suffix":""},{"dropping-particle":"","family":"Perez-Polo","given":"Jose R","non-dropping-particle":"","parse-names":false,"suffix":""},{"dropping-particle":"","family":"Ye","given":"Yumei","non-dropping-particle":"","parse-names":false,"suffix":""},{"dropping-particle":"","family":"Bajaj","given":"Mandeep","non-dropping-particle":"","parse-names":false,"suffix":""}],"container-title":"Cardiovascular drugs and therapy","id":"ITEM-1","issue":"5","issued":{"date-parts":[["2014","10"]]},"language":"eng","page":"447-457","publisher-place":"United States","title":"PTEN upregulation may explain the development of insulin resistance and type 2 diabetes with high dose statins.","type":"article-journal","volume":"28"},"uris":["http://www.mendeley.com/documents/?uuid=dfcb9613-60ce-49e9-ae63-ea032e67c9a3"]}],"mendeley":{"formattedCitation":"(Birnbaum et al., 2014)","plainTextFormattedCitation":"(Birnbaum et al., 2014)","previouslyFormattedCitation":"(Birnbaum et al., 2014)"},"properties":{"noteIndex":0},"schema":"https://github.com/citation-style-language/schema/raw/master/csl-citation.json"}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(Birnbaum et al., 2014)</w:t>
            </w:r>
            <w:r>
              <w:rPr>
                <w:rFonts w:ascii="Times New Roman" w:hAnsi="Times New Roman" w:cs="Times New Roman"/>
                <w:color w:val="000000"/>
                <w:sz w:val="18"/>
                <w:szCs w:val="18"/>
              </w:rPr>
              <w:fldChar w:fldCharType="end"/>
            </w: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c>
          <w:tcPr>
            <w:tcW w:w="80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CYP2CP</w:t>
            </w:r>
          </w:p>
        </w:tc>
        <w:tc>
          <w:tcPr>
            <w:tcW w:w="818" w:type="pc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{"citationItems":[{"id":"ITEM-1","itemData":{"DOI":"10.1007/s00228-014-1641-x","ISSN":"1432-1041 (Electronic)","PMID":"24442125","abstract":"PURPOSE: Sulphonylureas (SU) are widely used in the management of type 2 diabetes. We investigated the influence of CYP2C9, KCNJ11 and ABCC8 polymorphisms on the response to SU currently used in everyday clinical practice. METHODS: Patients treated for type 2 diabetes with sulphonylurea in monotherapy (n = 21) or in combination with metformin (n = 135) were provided with glucose-monitoring devices and instructed to measure fasting blood glucose levels once per week and additionally at any signs and symptoms suggesting low blood glucose for a period of three months. All patients were genotyped for CYP2C9 rs1799853 and rs1057910 (*2 and *3 allele, respectively), KCNJ11 rs5219 and rs5215, and ABCC8 rs757110. RESULTS: The average duration of diabetes in the study group was 10.6 +/- 7.1 years. Most of the patients achieved relatively good blood glucose control (HbA1c 7.0 +/- 0.9). In total, 76 hypoglycemia events were observed (mean 0.48 +/- 1.3). No severe hypoglycemia was reported; the lowest blood glucose was 2.1 mmol/l. Although 124 (79.5 %) patients never experienced hypoglycemia, 32 (20.5 %) patients experienced from one to eight events. None of the investigated polymorphisms influenced HbA1c levels or risk for hypoglycemia episodes in the whole group of patients. CYP2C9 genotype significantly influenced the occurrence of hypoglycemia events among the elderly patients (aged 60 years and over; n = 103). Among them, carriers of two wild-type alleles suffered 0.36 +/- 0.98 events, while patients with one or two polymorphic alleles had 0.79 +/- 1.7 or 2.67 +/- 4.6 events, respectively (p = 0.014). CONCLUSIONS: Our results indicate that the CYP2C9 genotype may influence the risk for hypoglycemia events in elderly patients, but not in the overall population of type 2 diabetes patients.","author":[{"dropping-particle":"","family":"Klen","given":"Jasna","non-dropping-particle":"","parse-names":false,"suffix":""},{"dropping-particle":"","family":"Dolzan","given":"Vita","non-dropping-particle":"","parse-names":false,"suffix":""},{"dropping-particle":"","family":"Janez","given":"Andrej","non-dropping-particle":"","parse-names":false,"suffix":""}],"container-title":"European journal of clinical pharmacology","id":"ITEM-1","issue":"4","issued":{"date-parts":[["2014","4"]]},"language":"eng","page":"421-428","publisher-place":"Germany","title":"CYP2C9, KCNJ11 and ABCC8 polymorphisms and the response to sulphonylurea treatment in type 2 diabetes patients.","type":"article-journal","volume":"70"},"uris":["http://www.mendeley.com/documents/?uuid=9fb2b59c-7082-4795-a59d-498798ea6085"]}],"mendeley":{"formattedCitation":"(Klen et al., 2014)","plainTextFormattedCitation":"(Klen et al., 2014)","previouslyFormattedCitation":"(Klen et al., 2014)"},"properties":{"noteIndex":0},"schema":"https://github.com/citation-style-language/schema/raw/master/csl-citation.json"}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(Klen et al., 2014)</w:t>
            </w:r>
            <w:r>
              <w:rPr>
                <w:rFonts w:ascii="Times New Roman" w:hAnsi="Times New Roman" w:cs="Times New Roman"/>
                <w:color w:val="000000"/>
                <w:sz w:val="18"/>
                <w:szCs w:val="18"/>
              </w:rPr>
              <w:fldChar w:fldCharType="end"/>
            </w:r>
          </w:p>
        </w:tc>
        <w:tc>
          <w:tcPr>
            <w:tcW w:w="1011" w:type="pct"/>
            <w:vAlign w:val="center"/>
          </w:tcPr>
          <w:p w:rsidR="00566543" w:rsidRPr="0030036C" w:rsidRDefault="00C22F88" w:rsidP="00C22F88">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{"citationItems":[{"id":"ITEM-1","itemData":{"DOI":"10.1002/ptr.5978","ISSN":"1099-1573 (Electronic)","PMID":"29168292","abstract":"The purpose of present study was to evaluate the effect of quercetin on pharmacokinetics of diclofenac sodium (DIC) in healthy volunteers. The open-label, 2 period, sequential study was conducted in 12 healthy volunteers. DIC 100 mg was administered during control and after quercetin phases. Quercetin 500 mg was administered twice daily for 10 days during quercetin phase. Treatment with quercetin significantly enhanced maximum plasma concentration (Cmax ), area under the curve (AUC0-infinity ), and half life, while significantly decreased elimination rate constant (kel ) and apparent oral clearance (CL/F) of DIC compared with control. On the other hand, Cmax and AUC0-infinity of 4-hydroxydiclofenac (4-OHDIC) were decreased after quercetin treatment. In addition, geometric mean ratios and 90% confidence intervals for Cmax and AUC0-infinity of DIC and 4-OHDIC were both out of the no-effect limits of 0.80-1.25, which indicates a significant pharmacokinetic interaction between quercetin and DIC. Furthermore, quercetin treatment significantly decreased metabolic ratios of Cmax and AUC0-infinity suggesting that reduced formation of DIC to 4-OHDIC. The results suggest that quercetin might have inhibited CYP2C9-mediated metabolism of DIC. Accordingly, caution should be taken when quercetin is used in combination with therapeutic drugs metabolized by CYP2C9, and dose adjustment of CYP2C9 substrates may be necessary.","author":[{"dropping-particle":"","family":"Bedada","given":"Satish Kumar","non-dropping-particle":"","parse-names":false,"suffix":""},{"dropping-particle":"","family":"Neerati","given":"Prasad","non-dropping-particle":"","parse-names":false,"suffix":""}],"container-title":"Phytotherapy research : PTR","id":"ITEM-1","issue":"2","issued":{"date-parts":[["2018","2"]]},"language":"eng","page":"305-311","publisher-place":"England","title":"Evaluation of the effect of quercetin treatment on CYP2C9 enzyme activity of diclofenac in healthy human volunteers.","type":"article-journal","volume":"32"},"uris":["http://www.mendeley.com/documents/?uuid=490a74e0-5088-4f07-b027-c368107d4e15"]}],"mendeley":{"formattedCitation":"(Bedada and Neerati, 2018)","plainTextFormattedCitation":"(Bedada and Neerati, 2018)","previouslyFormattedCitation":"(Bedada and Neerati, 2018)"},"properties":{"noteIndex":0},"schema":"https://github.com/citation-style-language/schema/raw/master/csl-citation.json"}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(Bedada and Neerati, 2018)</w:t>
            </w:r>
            <w:r>
              <w:rPr>
                <w:rFonts w:ascii="Times New Roman" w:hAnsi="Times New Roman" w:cs="Times New Roman"/>
                <w:color w:val="000000"/>
                <w:sz w:val="18"/>
                <w:szCs w:val="18"/>
              </w:rPr>
              <w:fldChar w:fldCharType="end"/>
            </w:r>
          </w:p>
        </w:tc>
        <w:tc>
          <w:tcPr>
            <w:tcW w:w="68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PLA2G12A</w:t>
            </w:r>
          </w:p>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PLA2G3</w:t>
            </w:r>
          </w:p>
        </w:tc>
        <w:tc>
          <w:tcPr>
            <w:tcW w:w="818"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c>
          <w:tcPr>
            <w:tcW w:w="857" w:type="pct"/>
            <w:vAlign w:val="center"/>
          </w:tcPr>
          <w:p w:rsidR="00566543" w:rsidRPr="0030036C" w:rsidRDefault="00566543" w:rsidP="00C22F88">
            <w:pPr>
              <w:autoSpaceDE w:val="0"/>
              <w:autoSpaceDN w:val="0"/>
              <w:adjustRightInd w:val="0"/>
              <w:spacing w:line="360" w:lineRule="auto"/>
              <w:jc w:val="center"/>
              <w:rPr>
                <w:rFonts w:ascii="Times New Roman" w:hAnsi="Times New Roman" w:cs="Times New Roman"/>
                <w:color w:val="000000"/>
                <w:sz w:val="18"/>
                <w:szCs w:val="18"/>
              </w:rPr>
            </w:pPr>
          </w:p>
        </w:tc>
      </w:tr>
    </w:tbl>
    <w:p w:rsidR="00566543" w:rsidRPr="0030036C" w:rsidRDefault="00566543" w:rsidP="0042133C">
      <w:pPr>
        <w:spacing w:line="360" w:lineRule="auto"/>
        <w:rPr>
          <w:rFonts w:ascii="Times New Roman" w:hAnsi="Times New Roman" w:cs="Times New Roman"/>
          <w:sz w:val="18"/>
          <w:szCs w:val="18"/>
        </w:rPr>
      </w:pPr>
    </w:p>
    <w:p w:rsidR="00AE1EF3" w:rsidRDefault="00AE1EF3">
      <w:pPr>
        <w:rPr>
          <w:rFonts w:ascii="Times New Roman" w:hAnsi="Times New Roman" w:cs="Times New Roman"/>
          <w:sz w:val="18"/>
          <w:szCs w:val="18"/>
        </w:rPr>
      </w:pPr>
      <w:r>
        <w:rPr>
          <w:rFonts w:ascii="Times New Roman" w:hAnsi="Times New Roman" w:cs="Times New Roman"/>
          <w:sz w:val="18"/>
          <w:szCs w:val="18"/>
        </w:rPr>
        <w:br w:type="page"/>
      </w:r>
    </w:p>
    <w:p w:rsidR="00566543" w:rsidRPr="0030036C" w:rsidRDefault="00566543" w:rsidP="0042133C">
      <w:pPr>
        <w:spacing w:line="360" w:lineRule="auto"/>
        <w:rPr>
          <w:rFonts w:ascii="Times New Roman" w:hAnsi="Times New Roman" w:cs="Times New Roman"/>
          <w:sz w:val="18"/>
          <w:szCs w:val="18"/>
        </w:rPr>
      </w:pPr>
    </w:p>
    <w:p w:rsidR="00566543" w:rsidRPr="0030036C" w:rsidRDefault="00566543" w:rsidP="0042133C">
      <w:pPr>
        <w:spacing w:line="360" w:lineRule="auto"/>
        <w:rPr>
          <w:rFonts w:ascii="Times New Roman" w:hAnsi="Times New Roman" w:cs="Times New Roman"/>
          <w:sz w:val="18"/>
          <w:szCs w:val="18"/>
        </w:rPr>
      </w:pPr>
    </w:p>
    <w:tbl>
      <w:tblPr>
        <w:tblW w:w="5000" w:type="pct"/>
        <w:jc w:val="center"/>
        <w:tblBorders>
          <w:top w:val="single" w:sz="4" w:space="0" w:color="auto"/>
          <w:bottom w:val="single" w:sz="4" w:space="0" w:color="auto"/>
        </w:tblBorders>
        <w:tblLook w:val="0000" w:firstRow="0" w:lastRow="0" w:firstColumn="0" w:lastColumn="0" w:noHBand="0" w:noVBand="0"/>
      </w:tblPr>
      <w:tblGrid>
        <w:gridCol w:w="1779"/>
        <w:gridCol w:w="1954"/>
        <w:gridCol w:w="1996"/>
        <w:gridCol w:w="2465"/>
        <w:gridCol w:w="1669"/>
        <w:gridCol w:w="1996"/>
        <w:gridCol w:w="2099"/>
      </w:tblGrid>
      <w:tr w:rsidR="00566543" w:rsidRPr="0030036C" w:rsidTr="00B432BB">
        <w:trPr>
          <w:trHeight w:val="1299"/>
          <w:jc w:val="center"/>
        </w:trPr>
        <w:tc>
          <w:tcPr>
            <w:tcW w:w="637" w:type="pct"/>
            <w:tcBorders>
              <w:top w:val="single" w:sz="4" w:space="0" w:color="auto"/>
              <w:bottom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Organic acids</w:t>
            </w:r>
          </w:p>
        </w:tc>
        <w:tc>
          <w:tcPr>
            <w:tcW w:w="700" w:type="pct"/>
            <w:tcBorders>
              <w:top w:val="single" w:sz="4" w:space="0" w:color="auto"/>
              <w:bottom w:val="single" w:sz="4" w:space="0" w:color="auto"/>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Predicted targets</w:t>
            </w:r>
          </w:p>
        </w:tc>
        <w:tc>
          <w:tcPr>
            <w:tcW w:w="715" w:type="pct"/>
            <w:tcBorders>
              <w:top w:val="single" w:sz="4" w:space="0" w:color="auto"/>
              <w:bottom w:val="single" w:sz="4" w:space="0" w:color="auto"/>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Association with diabetic dyslipidemia</w:t>
            </w:r>
          </w:p>
        </w:tc>
        <w:tc>
          <w:tcPr>
            <w:tcW w:w="883" w:type="pct"/>
            <w:tcBorders>
              <w:top w:val="single" w:sz="4" w:space="0" w:color="auto"/>
              <w:bottom w:val="single" w:sz="4" w:space="0" w:color="auto"/>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Pharmacology experiment</w:t>
            </w:r>
          </w:p>
        </w:tc>
        <w:tc>
          <w:tcPr>
            <w:tcW w:w="598" w:type="pct"/>
            <w:tcBorders>
              <w:top w:val="single" w:sz="4" w:space="0" w:color="auto"/>
              <w:bottom w:val="single" w:sz="4" w:space="0" w:color="auto"/>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Predicted targets linked lipids targets</w:t>
            </w:r>
          </w:p>
        </w:tc>
        <w:tc>
          <w:tcPr>
            <w:tcW w:w="715" w:type="pct"/>
            <w:tcBorders>
              <w:top w:val="single" w:sz="4" w:space="0" w:color="auto"/>
              <w:bottom w:val="single" w:sz="4" w:space="0" w:color="auto"/>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Association with diabetic dyslipidemia</w:t>
            </w:r>
          </w:p>
        </w:tc>
        <w:tc>
          <w:tcPr>
            <w:tcW w:w="752" w:type="pct"/>
            <w:tcBorders>
              <w:top w:val="single" w:sz="4" w:space="0" w:color="auto"/>
              <w:bottom w:val="single" w:sz="4" w:space="0" w:color="auto"/>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Experimental validation of protein-protein interactions</w:t>
            </w:r>
          </w:p>
        </w:tc>
      </w:tr>
      <w:tr w:rsidR="00566543" w:rsidRPr="0030036C" w:rsidTr="00B432BB">
        <w:trPr>
          <w:jc w:val="center"/>
        </w:trPr>
        <w:tc>
          <w:tcPr>
            <w:tcW w:w="637" w:type="pct"/>
            <w:vMerge w:val="restart"/>
            <w:tcBorders>
              <w:top w:val="single" w:sz="4" w:space="0" w:color="auto"/>
            </w:tcBorders>
            <w:vAlign w:val="center"/>
          </w:tcPr>
          <w:p w:rsidR="00566543" w:rsidRPr="0030036C" w:rsidRDefault="00566543" w:rsidP="00A20143">
            <w:pPr>
              <w:autoSpaceDE w:val="0"/>
              <w:autoSpaceDN w:val="0"/>
              <w:adjustRightInd w:val="0"/>
              <w:spacing w:after="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Chlorogenic acid and neo</w:t>
            </w:r>
            <w:r w:rsidRPr="0030036C">
              <w:rPr>
                <w:rFonts w:ascii="Times New Roman" w:hAnsi="Times New Roman" w:cs="Times New Roman"/>
                <w:sz w:val="18"/>
                <w:szCs w:val="18"/>
              </w:rPr>
              <w:t>c</w:t>
            </w:r>
            <w:r w:rsidRPr="0030036C">
              <w:rPr>
                <w:rFonts w:ascii="Times New Roman" w:hAnsi="Times New Roman" w:cs="Times New Roman"/>
                <w:color w:val="000000"/>
                <w:sz w:val="18"/>
                <w:szCs w:val="18"/>
              </w:rPr>
              <w:t>hlorogenic acid</w:t>
            </w:r>
          </w:p>
        </w:tc>
        <w:tc>
          <w:tcPr>
            <w:tcW w:w="700"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APP</w:t>
            </w:r>
          </w:p>
        </w:tc>
        <w:tc>
          <w:tcPr>
            <w:tcW w:w="715" w:type="pct"/>
            <w:tcBorders>
              <w:top w:val="single" w:sz="4" w:space="0" w:color="auto"/>
            </w:tcBorders>
            <w:vAlign w:val="center"/>
          </w:tcPr>
          <w:p w:rsidR="00566543" w:rsidRPr="0030036C" w:rsidRDefault="00C22F88"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83"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PIK3CA</w:t>
            </w:r>
          </w:p>
        </w:tc>
        <w:tc>
          <w:tcPr>
            <w:tcW w:w="715"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after="0" w:line="360" w:lineRule="auto"/>
              <w:jc w:val="center"/>
              <w:rPr>
                <w:rFonts w:ascii="Times New Roman" w:hAnsi="Times New Roman" w:cs="Times New Roman"/>
                <w:color w:val="000000"/>
                <w:sz w:val="18"/>
                <w:szCs w:val="18"/>
              </w:rPr>
            </w:pPr>
          </w:p>
        </w:tc>
        <w:tc>
          <w:tcPr>
            <w:tcW w:w="700"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APP</w:t>
            </w:r>
          </w:p>
        </w:tc>
        <w:tc>
          <w:tcPr>
            <w:tcW w:w="715" w:type="pct"/>
            <w:vAlign w:val="center"/>
          </w:tcPr>
          <w:p w:rsidR="00566543" w:rsidRPr="0030036C" w:rsidRDefault="00C22F88"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83"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PLD2</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after="0" w:line="360" w:lineRule="auto"/>
              <w:jc w:val="center"/>
              <w:rPr>
                <w:rFonts w:ascii="Times New Roman" w:hAnsi="Times New Roman" w:cs="Times New Roman"/>
                <w:color w:val="000000"/>
                <w:sz w:val="18"/>
                <w:szCs w:val="18"/>
              </w:rPr>
            </w:pPr>
          </w:p>
        </w:tc>
        <w:tc>
          <w:tcPr>
            <w:tcW w:w="700"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CA</w:t>
            </w:r>
            <w:r w:rsidR="00B432BB">
              <w:rPr>
                <w:rFonts w:ascii="Times New Roman" w:hAnsi="Times New Roman" w:cs="Times New Roman"/>
                <w:color w:val="000000"/>
                <w:sz w:val="18"/>
                <w:szCs w:val="18"/>
              </w:rPr>
              <w:t>2</w:t>
            </w:r>
          </w:p>
        </w:tc>
        <w:tc>
          <w:tcPr>
            <w:tcW w:w="715" w:type="pct"/>
            <w:vAlign w:val="center"/>
          </w:tcPr>
          <w:p w:rsidR="00566543" w:rsidRPr="0030036C" w:rsidRDefault="00B432BB"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sidR="00DF4F8B">
              <w:rPr>
                <w:rFonts w:ascii="Times New Roman" w:hAnsi="Times New Roman" w:cs="Times New Roman"/>
                <w:color w:val="000000"/>
                <w:sz w:val="18"/>
                <w:szCs w:val="18"/>
              </w:rPr>
              <w:instrText>ADDIN CSL_CITATION {"citationItems":[{"id":"ITEM-1","itemData":{"ISSN":"0030-9982 (Print)","PMID":"22755300","abstract":"OBJECTIVES: To determine the serum levels of methylglyoxal (MG) and carbonic anhydrase (CA) activity in known cases of type-II diabetes mellitus with insulin resistance and to compare them with age-sex matched healthy controls. METHODS: Eightysix participants were enrolled for the present case-controlled study with ages ranging from 25 to 44 years. The analytes measured were fasting blood glucose, serum insulin, methylglyoxal and carbonic anhydrase assay by standard procedures. Further carbonic anhydrase activities were measured in erythrocytes haemolysate and the effect of methylglyoxal on erythrocyte membrane was studied. The effects of methylglyoxal on erythrocyte carbonic anhydrase activity and insulin reactivity were also measured. RESULTS: The mean serum levels of insulin, fasting blood glucose, carbonic anhydrase activity, methylglyoxal and body mass index (BMI) was significantly higher (p &lt; 0.001) in patients compared to the controls. The carbonic anhydrase activity was directly proportional to increasing blood glucose concentration. The haemolysate prepared from the erythrocytes of patients and controls also showed significantly higher carbonic anhydrase activities in patients than the controls. Increased carbonic anhydrase activity in a dose-dependent manner with methylglyoxal was also observed. CONCLUSION: Insulin resistance is accompanied by increased activity of carbonic anhydrase which is significantly related to increasing methylglyoxal levels.","author":[{"dropping-particle":"","family":"Biswas","given":"Utpal Kumar","non-dropping-particle":"","parse-names":false,"suffix":""},{"dropping-particle":"","family":"Kumar","given":"Arun","non-dropping-particle":"","parse-names":false,"suffix":""}],"container-title":"JPMA. The Journal of the Pakistan Medical Association","id":"ITEM-1","issue":"5","issued":{"date-parts":[["2012","5"]]},"language":"eng","page":"417-421","publisher-place":"Pakistan","title":"Study on the changes of carbonic anhydrase activity in insulin resistance and the effect of methylglyoxal.","type":"article-journal","volume":"62"},"uris":["http://www.mendeley.com/documents/?uuid=1f29c30f-c688-45eb-93e3-3e651d8e2de4"]}],"mendeley":{"formattedCitation":"(Biswas and Kumar, 2012)","plainTextFormattedCitation":"(Biswas and Kumar, 2012)","previouslyFormattedCitation":"(Biswas and Kumar, 2012)"},"properties":{"noteIndex":0},"schema":"https://github.com/citation-style-language/schema/raw/master/csl-citation.json"}</w:instrText>
            </w:r>
            <w:r>
              <w:rPr>
                <w:rFonts w:ascii="Times New Roman" w:hAnsi="Times New Roman" w:cs="Times New Roman"/>
                <w:color w:val="000000"/>
                <w:sz w:val="18"/>
                <w:szCs w:val="18"/>
              </w:rPr>
              <w:fldChar w:fldCharType="separate"/>
            </w:r>
            <w:r w:rsidRPr="00B432BB">
              <w:rPr>
                <w:rFonts w:ascii="Times New Roman" w:hAnsi="Times New Roman" w:cs="Times New Roman"/>
                <w:noProof/>
                <w:color w:val="000000"/>
                <w:sz w:val="18"/>
                <w:szCs w:val="18"/>
              </w:rPr>
              <w:t>(Biswas and Kumar, 2012)</w:t>
            </w:r>
            <w:r>
              <w:rPr>
                <w:rFonts w:ascii="Times New Roman" w:hAnsi="Times New Roman" w:cs="Times New Roman"/>
                <w:color w:val="000000"/>
                <w:sz w:val="18"/>
                <w:szCs w:val="18"/>
              </w:rPr>
              <w:fldChar w:fldCharType="end"/>
            </w:r>
          </w:p>
        </w:tc>
        <w:tc>
          <w:tcPr>
            <w:tcW w:w="883"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PTEN</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vMerge w:val="restart"/>
            <w:vAlign w:val="center"/>
          </w:tcPr>
          <w:p w:rsidR="00566543" w:rsidRPr="0030036C" w:rsidRDefault="00566543" w:rsidP="00A20143">
            <w:pPr>
              <w:autoSpaceDE w:val="0"/>
              <w:autoSpaceDN w:val="0"/>
              <w:adjustRightInd w:val="0"/>
              <w:spacing w:after="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FYN</w:t>
            </w:r>
          </w:p>
        </w:tc>
        <w:tc>
          <w:tcPr>
            <w:tcW w:w="715" w:type="pct"/>
            <w:vMerge w:val="restart"/>
            <w:vAlign w:val="center"/>
          </w:tcPr>
          <w:p w:rsidR="00566543" w:rsidRPr="0030036C" w:rsidRDefault="00C22F88"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{"citationItems":[{"id":"ITEM-1","itemData":{"DOI":"10.1155/2016/5671803","ISSN":"2314-6753 (Electronic)","PMID":"26881253","abstract":"Fyn, a member of the Src family of tyrosine kinases, is a key regulator in cytoskeletal remodeling in a variety of cell types. Recent studies have demonstrated that Fyn is responsible for nephrin tyrosine phosphorylation, which will result in polymerization of actin filaments and podocyte damage. Thus detailed involvement of Fyn in podocytes is to be elucidated. In this study, we investigated the potential role of Fyn/ROCK signaling and its interactions with paxillin. Our results presented that high glucose led to filamentous actin (F-actin) rearrangement in podocytes, accompanied by paxillin phosphorylation and increased cell motility, during which Fyn and ROCK were markedly activated. Gene knockdown of Fyn by siRNA showed a reversal effect on high glucose-induced podocyte damage and ROCK activation; however, inhibition of ROCK had no significant effects on Fyn phosphorylation. These observations demonstrate that in vitro Fyn mediates high glucose-induced actin cytoskeleton remodeling of podocytes via promoting ROCK activation and paxillin phosphorylation.","author":[{"dropping-particle":"","family":"Lv","given":"Zhimei","non-dropping-particle":"","parse-names":false,"suffix":""},{"dropping-particle":"","family":"Hu","given":"Mengsi","non-dropping-particle":"","parse-names":false,"suffix":""},{"dropping-particle":"","family":"Ren","given":"Xiaoxu","non-dropping-particle":"","parse-names":false,"suffix":""},{"dropping-particle":"","family":"Fan","given":"Minghua","non-dropping-particle":"","parse-names":false,"suffix":""},{"dropping-particle":"","family":"Zhen","given":"Junhui","non-dropping-particle":"","parse-names":false,"suffix":""},{"dropping-particle":"","family":"Chen","given":"Liqun","non-dropping-particle":"","parse-names":false,"suffix":""},{"dropping-particle":"","family":"Lin","given":"Jiangong","non-dropping-particle":"","parse-names":false,"suffix":""},{"dropping-particle":"","family":"Ding","given":"Nannan","non-dropping-particle":"","parse-names":false,"suffix":""},{"dropping-particle":"","family":"Wang","given":"Qun","non-dropping-particle":"","parse-names":false,"suffix":""},{"dropping-particle":"","family":"Wang","given":"Rong","non-dropping-particle":"","parse-names":false,"suffix":""}],"container-title":"Journal of diabetes research","id":"ITEM-1","issued":{"date-parts":[["2016"]]},"language":"eng","page":"5671803","publisher-place":"Egypt","title":"Fyn Mediates High Glucose-Induced Actin Cytoskeleton Reorganization of Podocytes  via Promoting ROCK Activation In Vitro.","type":"article-journal","volume":"2016"},"uris":["http://www.mendeley.com/documents/?uuid=9d71f09a-9318-46d5-85c4-73a0b0394cde"]}],"mendeley":{"formattedCitation":"(Lv et al., 2016)","plainTextFormattedCitation":"(Lv et al., 2016)","previouslyFormattedCitation":"(Lv et al., 2016)"},"properties":{"noteIndex":0},"schema":"https://github.com/citation-style-language/schema/raw/master/csl-citation.json"}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(Lv et al., 2016)</w:t>
            </w:r>
            <w:r>
              <w:rPr>
                <w:rFonts w:ascii="Times New Roman" w:hAnsi="Times New Roman" w:cs="Times New Roman"/>
                <w:color w:val="000000"/>
                <w:sz w:val="18"/>
                <w:szCs w:val="18"/>
              </w:rPr>
              <w:fldChar w:fldCharType="end"/>
            </w:r>
          </w:p>
        </w:tc>
        <w:tc>
          <w:tcPr>
            <w:tcW w:w="883" w:type="pct"/>
            <w:vMerge w:val="restart"/>
            <w:vAlign w:val="center"/>
          </w:tcPr>
          <w:p w:rsidR="00566543" w:rsidRPr="0030036C" w:rsidRDefault="00C22F88"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{"citationItems":[{"id":"ITEM-1","itemData":{"DOI":"10.1093/carcin/bgn282","ISSN":"1460-2180 (Electronic)","PMID":"19073879","abstract":"Caffeic acid (3,4-dihydroxycinnamic acid) is a well-known phenolic phytochemical  present in many foods, including coffee. Recent studies suggested that caffeic acid exerts anticarcinogenic effects, but little is known about the underlying molecular mechanisms and specific target proteins. In this study, we found that Fyn, one of the members of the non-receptor protein tyrosine kinase family, was required for ultraviolet (UV) B-induced cyclooxygenase-2 (COX-2) expression, and caffeic acid suppressed UVB-induced skin carcinogenesis by directly inhibiting Fyn kinase activity. Caffeic acid more effectively suppressed UVB-induced COX-2 expression and subsequent prostaglandin E(2) production in JB6 P+ mouse skin epidermal (JB6 P+) cells compared with chlorogenic acid (5-O-caffeoylquinic acid), an ester of caffeic acid with quinic acid. Data also revealed that caffeic acid more effectively induced the downregulation of COX-2 expression at the transcriptional level mediated through the inhibition of activator protein-1 (AP-1) and nuclear factor-kappaB transcription activity compared with chlorogenic acid. Fyn kinase activity was suppressed more effectively by caffeic acid than by chlorogenic acid, and downstream mitogen-activated protein kinases (MAPKs) were subsequently blocked. Pharmacological Fyn kinase inhibitor (3-(4-chlorophenyl)1-(1,1-dimethylethyl)-1H-pyrazolo[3,4-d]pyrimidin-4-amine and leflunomide) data also revealed that Fyn is involved in UVB-induced COX-2 expression mediated through the phosphorylation of MAPKs in JB6 P+ cells. Pull-down assays revealed that caffeic acid directly bound with Fyn and non-competitively with adenosine triphosphate. In vivo data from mouse skin also supported the idea that caffeic acid suppressed UVB-induced COX-2 expression by blocking Fyn kinase activity. These results suggested that this compound could act as a potent chemopreventive agent against skin cancer.","author":[{"dropping-particle":"","family":"Kang","given":"Nam Joo","non-dropping-particle":"","parse-names":false,"suffix":""},{"dropping-particle":"","family":"Lee","given":"Ki Won","non-dropping-particle":"","parse-names":false,"suffix":""},{"dropping-particle":"","family":"Shin","given":"Bong Jik","non-dropping-particle":"","parse-names":false,"suffix":""},{"dropping-particle":"","family":"Jung","given":"Sung Keun","non-dropping-particle":"","parse-names":false,"suffix":""},{"dropping-particle":"","family":"Hwang","given":"Mun Kyung","non-dropping-particle":"","parse-names":false,"suffix":""},{"dropping-particle":"","family":"Bode","given":"Ann M","non-dropping-particle":"","parse-names":false,"suffix":""},{"dropping-particle":"","family":"Heo","given":"Yong-Seok","non-dropping-particle":"","parse-names":false,"suffix":""},{"dropping-particle":"","family":"Lee","given":"Hyong Joo","non-dropping-particle":"","parse-names":false,"suffix":""},{"dropping-particle":"","family":"Dong","given":"Zigang","non-dropping-particle":"","parse-names":false,"suffix":""}],"container-title":"Carcinogenesis","id":"ITEM-1","issue":"2","issued":{"date-parts":[["2009","2"]]},"language":"eng","page":"321-330","publisher-place":"England","title":"Caffeic acid, a phenolic phytochemical in coffee, directly inhibits Fyn kinase activity and UVB-induced COX-2 expression.","type":"article-journal","volume":"30"},"uris":["http://www.mendeley.com/documents/?uuid=9aa299aa-c705-4b89-bf4a-6cf0b021c924"]}],"mendeley":{"formattedCitation":"(Kang et al., 2009)","plainTextFormattedCitation":"(Kang et al., 2009)","previouslyFormattedCitation":"(Kang et al., 2009)"},"properties":{"noteIndex":0},"schema":"https://github.com/citation-style-language/schema/raw/master/csl-citation.json"}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(Kang et al., 2009)</w:t>
            </w:r>
            <w:r>
              <w:rPr>
                <w:rFonts w:ascii="Times New Roman" w:hAnsi="Times New Roman" w:cs="Times New Roman"/>
                <w:color w:val="000000"/>
                <w:sz w:val="18"/>
                <w:szCs w:val="18"/>
              </w:rPr>
              <w:fldChar w:fldCharType="end"/>
            </w: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PIK3CA</w:t>
            </w:r>
          </w:p>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PIK3CB</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vMerge/>
            <w:vAlign w:val="center"/>
          </w:tcPr>
          <w:p w:rsidR="00566543" w:rsidRPr="0030036C" w:rsidRDefault="00566543" w:rsidP="00A20143">
            <w:pPr>
              <w:autoSpaceDE w:val="0"/>
              <w:autoSpaceDN w:val="0"/>
              <w:adjustRightInd w:val="0"/>
              <w:spacing w:after="0" w:line="360" w:lineRule="auto"/>
              <w:jc w:val="center"/>
              <w:rPr>
                <w:rFonts w:ascii="Times New Roman" w:hAnsi="Times New Roman" w:cs="Times New Roman"/>
                <w:color w:val="000000"/>
                <w:sz w:val="18"/>
                <w:szCs w:val="18"/>
              </w:rPr>
            </w:pPr>
          </w:p>
        </w:tc>
        <w:tc>
          <w:tcPr>
            <w:tcW w:w="715"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883"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PIP5K1C</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15"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883"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PLD2</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r>
      <w:tr w:rsidR="00566543" w:rsidRPr="0030036C" w:rsidTr="00B432BB">
        <w:trPr>
          <w:jc w:val="center"/>
        </w:trPr>
        <w:tc>
          <w:tcPr>
            <w:tcW w:w="637" w:type="pct"/>
            <w:vMerge w:val="restar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Gallic acid</w:t>
            </w:r>
          </w:p>
        </w:tc>
        <w:tc>
          <w:tcPr>
            <w:tcW w:w="700" w:type="pct"/>
            <w:vMerge w:val="restart"/>
            <w:vAlign w:val="center"/>
          </w:tcPr>
          <w:p w:rsidR="00566543" w:rsidRPr="0030036C" w:rsidRDefault="00566543" w:rsidP="00A20143">
            <w:pPr>
              <w:autoSpaceDE w:val="0"/>
              <w:autoSpaceDN w:val="0"/>
              <w:adjustRightInd w:val="0"/>
              <w:spacing w:after="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BCL2</w:t>
            </w:r>
          </w:p>
        </w:tc>
        <w:tc>
          <w:tcPr>
            <w:tcW w:w="715" w:type="pct"/>
            <w:vMerge w:val="restart"/>
            <w:vAlign w:val="center"/>
          </w:tcPr>
          <w:p w:rsidR="00566543" w:rsidRPr="0030036C" w:rsidRDefault="006A7E5E"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83" w:type="pct"/>
            <w:vMerge w:val="restart"/>
            <w:vAlign w:val="center"/>
          </w:tcPr>
          <w:p w:rsidR="00566543" w:rsidRPr="0030036C" w:rsidRDefault="00C22F88"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sidR="006A7E5E">
              <w:rPr>
                <w:rFonts w:ascii="Times New Roman" w:hAnsi="Times New Roman" w:cs="Times New Roman"/>
                <w:color w:val="000000"/>
                <w:sz w:val="18"/>
                <w:szCs w:val="18"/>
              </w:rPr>
              <w:instrText>ADDIN CSL_CITATION {"citationItems":[{"id":"ITEM-1","itemData":{"DOI":"10.1016/j.jbspin.2012.08.010","ISSN":"1778-7254 (Electronic)","PMID":"23058179","abstract":"OBJECTIVES: To investigate whether gallic acid (3, 4, 5-trihydroxybenzoic acid),  a natural polyphenolic acid found in gall nuts, sumac, oak bark, tea leaves, grapes and wine, has pro-apoptotic and anti-inflammatory effects on fibroblast-like synoviocytes (FLS) from patients with rheumatoid arthritis (RA). METHODS: Viability of RA FLS was assessed using a MTT assay after gallic acid treatment. Apoptosis was assessed by TUNEL assay and caspase-3 activity was determined by a colorimetric assay. The levels of apoptosis-related proteins including Bcl-2, p-Akt, p53, and Bax were determined using western blot analyses, and the mRNA expressions of various pro-inflammatory mediators were measured using quantitative real-time PCR. RESULTS: Cell viability of RA FLS was significantly decreased by treatment with 10 or more muM of gallic acid. Gallic acid treatment at the concentrations that do not affect cell viability (0.1 and 1 muM) induced cellular apoptosis of RA FLS. Treatment with 0.1 and 1 muM of gallic acid also resulted in a significant increase in caspase-3 activity and regulated the productions of Bcl-2, Bax, p53 and pAkt. The mRNA expression levels of pro-inflammatory cytokines (IL-1beta, IL-6), chemokines (CCL-2/MCP-1, CCL-7/MCP-3), cyclooxygenase-2, and matrix metalloproteinase-9 from RA FLS were suppressed by the gallic acid treatment in dose-dependent manners. CONCLUSION: Gallic acid treatment was found to induce apoptosis of RA FLS through regulation of apoptosis-related protein expressions and to reduce the expression of pro-inflammatory genes in RA FLS. These data suggest that pro-apoptotic and anti-inflammatory activities of gallic acid may be used as a possible therapeutic option for RA.","author":[{"dropping-particle":"","family":"Yoon","given":"Chong-Hyeon","non-dropping-particle":"","parse-names":false,"suffix":""},{"dropping-particle":"","family":"Chung","given":"Soo-Jin","non-dropping-particle":"","parse-names":false,"suffix":""},{"dropping-particle":"","family":"Lee","given":"Sang-Won","non-dropping-particle":"","parse-names":false,"suffix":""},{"dropping-particle":"","family":"Park","given":"Yong-Beom","non-dropping-particle":"","parse-names":false,"suffix":""},{"dropping-particle":"","family":"Lee","given":"Soo-Kon","non-dropping-particle":"","parse-names":false,"suffix":""},{"dropping-particle":"","family":"Park","given":"Min-Chan","non-dropping-particle":"","parse-names":false,"suffix":""}],"container-title":"Joint, bone, spine : revue du rhumatisme","id":"ITEM-1","issue":"3","issued":{"date-parts":[["2013","5"]]},"language":"eng","page":"274-279","publisher-place":"France","title":"Gallic acid, a natural polyphenolic acid, induces apoptosis and inhibits proinflammatory gene expressions in rheumatoid arthritis fibroblast-like synoviocytes.","type":"article-journal","volume":"80"},"uris":["http://www.mendeley.com/documents/?uuid=5cfcff5e-0d50-4610-a5a8-ceaf5da74079"]}],"mendeley":{"formattedCitation":"(Yoon et al., 2013)","plainTextFormattedCitation":"(Yoon et al., 2013)","previouslyFormattedCitation":"(Yoon et al., 2013)"},"properties":{"noteIndex":0},"schema":"https://github.com/citation-style-language/schema/raw/master/csl-citation.json"}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(Yoon et al., 2013)</w:t>
            </w:r>
            <w:r>
              <w:rPr>
                <w:rFonts w:ascii="Times New Roman" w:hAnsi="Times New Roman" w:cs="Times New Roman"/>
                <w:color w:val="000000"/>
                <w:sz w:val="18"/>
                <w:szCs w:val="18"/>
              </w:rPr>
              <w:fldChar w:fldCharType="end"/>
            </w: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PIK3CA</w:t>
            </w:r>
          </w:p>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PIK3CB</w:t>
            </w:r>
          </w:p>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PIK3C3</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vMerge/>
            <w:vAlign w:val="center"/>
          </w:tcPr>
          <w:p w:rsidR="00566543" w:rsidRPr="0030036C" w:rsidRDefault="00566543" w:rsidP="00A20143">
            <w:pPr>
              <w:autoSpaceDE w:val="0"/>
              <w:autoSpaceDN w:val="0"/>
              <w:adjustRightInd w:val="0"/>
              <w:spacing w:after="0" w:line="360" w:lineRule="auto"/>
              <w:jc w:val="center"/>
              <w:rPr>
                <w:rFonts w:ascii="Times New Roman" w:hAnsi="Times New Roman" w:cs="Times New Roman"/>
                <w:color w:val="000000"/>
                <w:sz w:val="18"/>
                <w:szCs w:val="18"/>
              </w:rPr>
            </w:pPr>
          </w:p>
        </w:tc>
        <w:tc>
          <w:tcPr>
            <w:tcW w:w="715"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883"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PLA2G1B</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15"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883"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PLD2</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B432BB">
        <w:trPr>
          <w:jc w:val="center"/>
        </w:trPr>
        <w:tc>
          <w:tcPr>
            <w:tcW w:w="637"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CA</w:t>
            </w:r>
            <w:r w:rsidR="00B432BB">
              <w:rPr>
                <w:rFonts w:ascii="Times New Roman" w:hAnsi="Times New Roman" w:cs="Times New Roman"/>
                <w:color w:val="000000"/>
                <w:sz w:val="18"/>
                <w:szCs w:val="18"/>
              </w:rPr>
              <w:t>2</w:t>
            </w:r>
          </w:p>
        </w:tc>
        <w:tc>
          <w:tcPr>
            <w:tcW w:w="715" w:type="pct"/>
            <w:vAlign w:val="center"/>
          </w:tcPr>
          <w:p w:rsidR="00566543" w:rsidRPr="0030036C" w:rsidRDefault="00B432B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83"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PTEN</w:t>
            </w:r>
          </w:p>
        </w:tc>
        <w:tc>
          <w:tcPr>
            <w:tcW w:w="715"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7C09EB">
        <w:trPr>
          <w:trHeight w:val="634"/>
          <w:jc w:val="center"/>
        </w:trPr>
        <w:tc>
          <w:tcPr>
            <w:tcW w:w="637" w:type="pct"/>
            <w:vMerge/>
            <w:tcBorders>
              <w:bottom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tcBorders>
              <w:bottom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PSMB8</w:t>
            </w:r>
          </w:p>
        </w:tc>
        <w:tc>
          <w:tcPr>
            <w:tcW w:w="715" w:type="pct"/>
            <w:tcBorders>
              <w:bottom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883" w:type="pct"/>
            <w:tcBorders>
              <w:bottom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tcBorders>
              <w:bottom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PNLIP</w:t>
            </w:r>
          </w:p>
        </w:tc>
        <w:tc>
          <w:tcPr>
            <w:tcW w:w="715" w:type="pct"/>
            <w:tcBorders>
              <w:bottom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52" w:type="pct"/>
            <w:tcBorders>
              <w:bottom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7C09EB">
        <w:trPr>
          <w:jc w:val="center"/>
        </w:trPr>
        <w:tc>
          <w:tcPr>
            <w:tcW w:w="637" w:type="pct"/>
            <w:vMerge w:val="restart"/>
            <w:tcBorders>
              <w:top w:val="nil"/>
              <w:left w:val="nil"/>
              <w:bottom w:val="nil"/>
              <w:right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4-Hydrobenzoic acid</w:t>
            </w:r>
          </w:p>
        </w:tc>
        <w:tc>
          <w:tcPr>
            <w:tcW w:w="700" w:type="pct"/>
            <w:tcBorders>
              <w:top w:val="nil"/>
              <w:left w:val="nil"/>
              <w:bottom w:val="nil"/>
              <w:right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ACE</w:t>
            </w:r>
          </w:p>
        </w:tc>
        <w:tc>
          <w:tcPr>
            <w:tcW w:w="715" w:type="pct"/>
            <w:tcBorders>
              <w:top w:val="nil"/>
              <w:left w:val="nil"/>
              <w:bottom w:val="nil"/>
              <w:right w:val="nil"/>
            </w:tcBorders>
            <w:vAlign w:val="center"/>
          </w:tcPr>
          <w:p w:rsidR="00566543" w:rsidRPr="0030036C" w:rsidRDefault="00C22F88"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{"citationItems":[{"id":"ITEM-1","itemData":{"DOI":"10.1177/1470320313516172","ISSN":"1752-8976 (Electronic)","PMID":"24452036","abstract":"HYPOTHESIS/INTRODUCTION: Polymorphisms of angiotensin converting enzyme (ACE) and methylene-tetrahydrofolate reductase (MTHFR) genes have been proposed to be associated with type 2 diabetes mellitus (T2DM) with conflicting results. This work was planned in order to check for the association of these polymorphisms with the susceptibility for and complications of T2DM among Egyptian cases. MATERIALS AND METHODS: This is a case controlled study involving 203 patients with T2DM and 311 healthy controls. Polymorphic variants of ACE I&gt;D and MTHFR (677 C&gt;T and 1298 A&gt;C) were determined using the polymerase chain reaction (PCR) restriction analysis technique. RESULTS: The susceptibility to T2DM was higher among subjects having the MTHFR 677TT (odds ratio (OR)=2.2, p=0.01), MTHFR 1298 AA (OR=1.84, p=0.001) and ACE (ID+II) (OR=2.0, p=0.0007) genotypes. Logistic regression analysis showed that MTHFR 677T allele was a risk factor for diabetic retinopathy (DR) (OR=3.47, p&lt;0.001), diabetic polyneuropathy (DPN) (OR=5.2, p&lt;0.0001) and ischemic heart disease (IHD) (OR=2.9, p&lt;0.05), while MTHFR 1298 C allele was a risk factor for DR (OR=4.2, p&lt;0.001) and the ACE DD genotype was a risk factor for DPN (OR=3.1, p&lt;0.001). CONCLUSIONS: The MTHFR 677 TT genotype was associated with T2DM susceptibility and complications (DR, DPN and IHD). The MTHFR 1298 CC, AC and ACE DD genotypes were associated with DR and DPN.","author":[{"dropping-particle":"","family":"Settin","given":"Ahmad","non-dropping-particle":"","parse-names":false,"suffix":""},{"dropping-particle":"","family":"El-Baz","given":"Rizk","non-dropping-particle":"","parse-names":false,"suffix":""},{"dropping-particle":"","family":"Ismaeel","given":"Azza","non-dropping-particle":"","parse-names":false,"suffix":""},{"dropping-particle":"","family":"Tolba","given":"Wafaa","non-dropping-particle":"","parse-names":false,"suffix":""},{"dropping-particle":"","family":"Allah","given":"Wafaa A","non-dropping-particle":"","parse-names":false,"suffix":""}],"container-title":"Journal of the renin-angiotensin-aldosterone system : JRAAS","id":"ITEM-1","issue":"4","issued":{"date-parts":[["2015","12"]]},"language":"eng","page":"838-843","publisher-place":"England","title":"Association of ACE and MTHFR genetic polymorphisms with type 2 diabetes mellitus: Susceptibility and complications.","type":"article-journal","volume":"16"},"uris":["http://www.mendeley.com/documents/?uuid=7960f81e-fd60-4f36-83b3-8f9d696eae50"]}],"mendeley":{"formattedCitation":"(Settin et al., 2015)","plainTextFormattedCitation":"(Settin et al., 2015)","previouslyFormattedCitation":"(Settin et al., 2015)"},"properties":{"noteIndex":0},"schema":"https://github.com/citation-style-language/schema/raw/master/csl-citation.json"}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(Settin et al., 2015)</w:t>
            </w:r>
            <w:r>
              <w:rPr>
                <w:rFonts w:ascii="Times New Roman" w:hAnsi="Times New Roman" w:cs="Times New Roman"/>
                <w:color w:val="000000"/>
                <w:sz w:val="18"/>
                <w:szCs w:val="18"/>
              </w:rPr>
              <w:fldChar w:fldCharType="end"/>
            </w:r>
          </w:p>
        </w:tc>
        <w:tc>
          <w:tcPr>
            <w:tcW w:w="883" w:type="pct"/>
            <w:tcBorders>
              <w:top w:val="nil"/>
              <w:left w:val="nil"/>
              <w:bottom w:val="nil"/>
              <w:right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tcBorders>
              <w:top w:val="nil"/>
              <w:left w:val="nil"/>
              <w:bottom w:val="nil"/>
              <w:right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PIK3C2A</w:t>
            </w:r>
          </w:p>
        </w:tc>
        <w:tc>
          <w:tcPr>
            <w:tcW w:w="715" w:type="pct"/>
            <w:tcBorders>
              <w:top w:val="nil"/>
              <w:left w:val="nil"/>
              <w:bottom w:val="nil"/>
              <w:right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752" w:type="pct"/>
            <w:tcBorders>
              <w:top w:val="nil"/>
              <w:left w:val="nil"/>
              <w:bottom w:val="nil"/>
              <w:right w:val="nil"/>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7C09EB" w:rsidRPr="0030036C" w:rsidTr="007C09EB">
        <w:trPr>
          <w:jc w:val="center"/>
        </w:trPr>
        <w:tc>
          <w:tcPr>
            <w:tcW w:w="637" w:type="pct"/>
            <w:vMerge/>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CES1</w:t>
            </w:r>
          </w:p>
          <w:p w:rsidR="007C09EB" w:rsidRPr="0030036C" w:rsidRDefault="007C09EB" w:rsidP="00A20143">
            <w:pPr>
              <w:autoSpaceDE w:val="0"/>
              <w:autoSpaceDN w:val="0"/>
              <w:adjustRightInd w:val="0"/>
              <w:spacing w:after="200" w:line="360" w:lineRule="auto"/>
              <w:jc w:val="center"/>
              <w:rPr>
                <w:rFonts w:ascii="Times New Roman" w:hAnsi="Times New Roman" w:cs="Times New Roman"/>
                <w:color w:val="000000"/>
                <w:sz w:val="18"/>
                <w:szCs w:val="18"/>
              </w:rPr>
            </w:pPr>
          </w:p>
        </w:tc>
        <w:tc>
          <w:tcPr>
            <w:tcW w:w="715"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{"citationItems":[{"id":"ITEM-1","itemData":{"DOI":"10.1371/journal.pone.0109663","ISSN":"1932-6203 (Electronic)","PMID":"25285996","abstract":"Metabolic syndrome, characterized by obesity, hyperglycemia, dyslipidemia and hypertension, increases the risks for cardiovascular disease, diabetes and stroke. Carboxylesterase 1 (CES1) is an enzyme that hydrolyzes triglycerides and cholesterol esters, and is important for lipid metabolism. Our previous data show that over-expression of mouse hepatic CES1 lowers plasma glucose levels and improves insulin sensitivity in diabetic ob/ob mice. In the present study, we determined the physiological role of hepatic CES1 in glucose homeostasis. Hepatic CES1 expression was reduced by fasting but increased in diabetic mice. Treatment of mice with glucose induced hepatic CES1 expression. Consistent with the in vivo study, glucose stimulated CES1 promoter activity and increased acetylation of histone 3 and histone 4 in the CES1 chromatin. Knockdown of ATP-citrate lyase (ACL), an enzyme that regulates histone acetylation, abolished glucose-mediated histone acetylation in the CES1 chromatin and glucose-induced hepatic CES1 expression. Finally, knockdown of hepatic CES1 significantly increased postprandial blood glucose levels. In conclusion, the present study uncovers a novel glucose-CES1-glucose pathway which may play an important role in regulating postprandial blood glucose levels.","author":[{"dropping-particle":"","family":"Xu","given":"Jiesi","non-dropping-particle":"","parse-names":false,"suffix":""},{"dropping-particle":"","family":"Yin","given":"Liya","non-dropping-particle":"","parse-names":false,"suffix":""},{"dropping-particle":"","family":"Xu","given":"Yang","non-dropping-particle":"","parse-names":false,"suffix":""},{"dropping-particle":"","family":"Li","given":"Yuanyuan","non-dropping-particle":"","parse-names":false,"suffix":""},{"dropping-particle":"","family":"Zalzala","given":"Munaf","non-dropping-particle":"","parse-names":false,"suffix":""},{"dropping-particle":"","family":"Cheng","given":"Gang","non-dropping-particle":"","parse-names":false,"suffix":""},{"dropping-particle":"","family":"Zhang","given":"Yanqiao","non-dropping-particle":"","parse-names":false,"suffix":""}],"container-title":"PloS one","id":"ITEM-1","issue":"10","issued":{"date-parts":[["2014"]]},"language":"eng","page":"e109663","publisher-place":"United States","title":"Hepatic carboxylesterase 1 is induced by glucose and regulates postprandial glucose levels.","type":"article-journal","volume":"9"},"uris":["http://www.mendeley.com/documents/?uuid=35ad4fb7-876a-4225-ba29-7d7120ec31a6"]}],"mendeley":{"formattedCitation":"(Xu et al., 2014)","plainTextFormattedCitation":"(Xu et al., 2014)","previouslyFormattedCitation":"(Xu et al., 2014)"},"properties":{"noteIndex":0},"schema":"https://github.com/citation-style-language/schema/raw/master/csl-citation.json"}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(Xu et al., 2014)</w:t>
            </w:r>
            <w:r>
              <w:rPr>
                <w:rFonts w:ascii="Times New Roman" w:hAnsi="Times New Roman" w:cs="Times New Roman"/>
                <w:color w:val="000000"/>
                <w:sz w:val="18"/>
                <w:szCs w:val="18"/>
              </w:rPr>
              <w:fldChar w:fldCharType="end"/>
            </w:r>
          </w:p>
        </w:tc>
        <w:tc>
          <w:tcPr>
            <w:tcW w:w="883"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bookmarkStart w:id="1" w:name="_GoBack"/>
            <w:bookmarkEnd w:id="1"/>
          </w:p>
        </w:tc>
        <w:tc>
          <w:tcPr>
            <w:tcW w:w="598"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LIPA</w:t>
            </w:r>
          </w:p>
        </w:tc>
        <w:tc>
          <w:tcPr>
            <w:tcW w:w="715"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52"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r>
      <w:tr w:rsidR="007C09EB" w:rsidRPr="0030036C" w:rsidTr="007C09EB">
        <w:trPr>
          <w:jc w:val="center"/>
        </w:trPr>
        <w:tc>
          <w:tcPr>
            <w:tcW w:w="637" w:type="pct"/>
            <w:vMerge/>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CYP2C9</w:t>
            </w:r>
          </w:p>
        </w:tc>
        <w:tc>
          <w:tcPr>
            <w:tcW w:w="715" w:type="pct"/>
            <w:tcBorders>
              <w:top w:val="nil"/>
              <w:left w:val="nil"/>
              <w:bottom w:val="nil"/>
              <w:right w:val="nil"/>
            </w:tcBorders>
            <w:vAlign w:val="center"/>
          </w:tcPr>
          <w:p w:rsidR="007C09EB"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83"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LRAT</w:t>
            </w:r>
          </w:p>
        </w:tc>
        <w:tc>
          <w:tcPr>
            <w:tcW w:w="715"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52" w:type="pct"/>
            <w:tcBorders>
              <w:top w:val="nil"/>
              <w:left w:val="nil"/>
              <w:bottom w:val="nil"/>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r>
      <w:tr w:rsidR="007C09EB" w:rsidRPr="0030036C" w:rsidTr="007C09EB">
        <w:trPr>
          <w:jc w:val="center"/>
        </w:trPr>
        <w:tc>
          <w:tcPr>
            <w:tcW w:w="637" w:type="pct"/>
            <w:vMerge/>
            <w:tcBorders>
              <w:top w:val="nil"/>
              <w:left w:val="nil"/>
              <w:bottom w:val="single" w:sz="4" w:space="0" w:color="auto"/>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00" w:type="pct"/>
            <w:tcBorders>
              <w:top w:val="nil"/>
              <w:left w:val="nil"/>
              <w:bottom w:val="single" w:sz="4" w:space="0" w:color="auto"/>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PTPN1</w:t>
            </w:r>
          </w:p>
        </w:tc>
        <w:tc>
          <w:tcPr>
            <w:tcW w:w="715" w:type="pct"/>
            <w:tcBorders>
              <w:top w:val="nil"/>
              <w:left w:val="nil"/>
              <w:bottom w:val="single" w:sz="4" w:space="0" w:color="auto"/>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83" w:type="pct"/>
            <w:tcBorders>
              <w:top w:val="nil"/>
              <w:left w:val="nil"/>
              <w:bottom w:val="single" w:sz="4" w:space="0" w:color="auto"/>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598" w:type="pct"/>
            <w:tcBorders>
              <w:top w:val="nil"/>
              <w:left w:val="nil"/>
              <w:bottom w:val="single" w:sz="4" w:space="0" w:color="auto"/>
              <w:right w:val="nil"/>
            </w:tcBorders>
            <w:vAlign w:val="center"/>
          </w:tcPr>
          <w:p w:rsidR="007C09EB" w:rsidRPr="0030036C" w:rsidRDefault="007C09EB" w:rsidP="007C09EB">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PIK3CA</w:t>
            </w:r>
          </w:p>
          <w:p w:rsidR="007C09EB" w:rsidRPr="0030036C" w:rsidRDefault="007C09EB" w:rsidP="007C09EB">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PIK3CB</w:t>
            </w:r>
          </w:p>
          <w:p w:rsidR="007C09EB" w:rsidRPr="0030036C" w:rsidRDefault="007C09EB" w:rsidP="007C09EB">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PIK3C3</w:t>
            </w:r>
          </w:p>
        </w:tc>
        <w:tc>
          <w:tcPr>
            <w:tcW w:w="715" w:type="pct"/>
            <w:tcBorders>
              <w:top w:val="nil"/>
              <w:left w:val="nil"/>
              <w:bottom w:val="single" w:sz="4" w:space="0" w:color="auto"/>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752" w:type="pct"/>
            <w:tcBorders>
              <w:top w:val="nil"/>
              <w:left w:val="nil"/>
              <w:bottom w:val="single" w:sz="4" w:space="0" w:color="auto"/>
              <w:right w:val="nil"/>
            </w:tcBorders>
            <w:vAlign w:val="center"/>
          </w:tcPr>
          <w:p w:rsidR="007C09EB" w:rsidRPr="0030036C" w:rsidRDefault="007C09EB"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r>
    </w:tbl>
    <w:p w:rsidR="00566543" w:rsidRPr="0030036C" w:rsidRDefault="00566543" w:rsidP="0042133C">
      <w:pPr>
        <w:spacing w:line="360" w:lineRule="auto"/>
        <w:rPr>
          <w:rFonts w:ascii="Times New Roman" w:hAnsi="Times New Roman" w:cs="Times New Roman"/>
          <w:sz w:val="18"/>
          <w:szCs w:val="18"/>
        </w:rPr>
      </w:pPr>
    </w:p>
    <w:p w:rsidR="00566543" w:rsidRPr="0030036C" w:rsidRDefault="00566543" w:rsidP="0042133C">
      <w:pPr>
        <w:spacing w:line="360" w:lineRule="auto"/>
        <w:rPr>
          <w:rFonts w:ascii="Times New Roman" w:hAnsi="Times New Roman" w:cs="Times New Roman"/>
          <w:sz w:val="18"/>
          <w:szCs w:val="18"/>
        </w:rPr>
      </w:pPr>
    </w:p>
    <w:p w:rsidR="00566543" w:rsidRPr="0030036C" w:rsidRDefault="00566543" w:rsidP="0042133C">
      <w:pPr>
        <w:spacing w:line="360" w:lineRule="auto"/>
        <w:rPr>
          <w:rFonts w:ascii="Times New Roman" w:hAnsi="Times New Roman" w:cs="Times New Roman"/>
          <w:sz w:val="18"/>
          <w:szCs w:val="18"/>
        </w:rPr>
      </w:pPr>
    </w:p>
    <w:p w:rsidR="00566543" w:rsidRPr="0030036C" w:rsidRDefault="00566543" w:rsidP="0042133C">
      <w:pPr>
        <w:spacing w:line="360" w:lineRule="auto"/>
        <w:rPr>
          <w:rFonts w:ascii="Times New Roman" w:hAnsi="Times New Roman" w:cs="Times New Roman"/>
          <w:sz w:val="18"/>
          <w:szCs w:val="18"/>
        </w:rPr>
      </w:pPr>
    </w:p>
    <w:p w:rsidR="00AE1EF3" w:rsidRDefault="00AE1EF3">
      <w:pPr>
        <w:rPr>
          <w:rFonts w:ascii="Times New Roman" w:hAnsi="Times New Roman" w:cs="Times New Roman"/>
          <w:sz w:val="18"/>
          <w:szCs w:val="18"/>
        </w:rPr>
      </w:pPr>
      <w:r>
        <w:rPr>
          <w:rFonts w:ascii="Times New Roman" w:hAnsi="Times New Roman" w:cs="Times New Roman"/>
          <w:sz w:val="18"/>
          <w:szCs w:val="18"/>
        </w:rPr>
        <w:br w:type="page"/>
      </w:r>
    </w:p>
    <w:p w:rsidR="00AE1EF3" w:rsidRPr="0030036C" w:rsidRDefault="00AE1EF3" w:rsidP="0042133C">
      <w:pPr>
        <w:spacing w:line="360" w:lineRule="auto"/>
        <w:rPr>
          <w:rFonts w:ascii="Times New Roman" w:hAnsi="Times New Roman" w:cs="Times New Roman"/>
          <w:sz w:val="18"/>
          <w:szCs w:val="18"/>
        </w:rPr>
      </w:pPr>
    </w:p>
    <w:tbl>
      <w:tblPr>
        <w:tblW w:w="5000" w:type="pct"/>
        <w:tblBorders>
          <w:top w:val="single" w:sz="4" w:space="0" w:color="auto"/>
          <w:bottom w:val="single" w:sz="4" w:space="0" w:color="auto"/>
        </w:tblBorders>
        <w:tblLook w:val="0000" w:firstRow="0" w:lastRow="0" w:firstColumn="0" w:lastColumn="0" w:noHBand="0" w:noVBand="0"/>
      </w:tblPr>
      <w:tblGrid>
        <w:gridCol w:w="2200"/>
        <w:gridCol w:w="2292"/>
        <w:gridCol w:w="2839"/>
        <w:gridCol w:w="1926"/>
        <w:gridCol w:w="2295"/>
        <w:gridCol w:w="2406"/>
      </w:tblGrid>
      <w:tr w:rsidR="00566543" w:rsidRPr="0030036C" w:rsidTr="00566543">
        <w:tc>
          <w:tcPr>
            <w:tcW w:w="788" w:type="pct"/>
            <w:tcBorders>
              <w:top w:val="single" w:sz="4" w:space="0" w:color="auto"/>
              <w:bottom w:val="nil"/>
            </w:tcBorders>
            <w:vAlign w:val="bottom"/>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 xml:space="preserve">Saponins: </w:t>
            </w:r>
            <w:r w:rsidRPr="0030036C">
              <w:rPr>
                <w:rFonts w:ascii="Times New Roman" w:eastAsia="Times New Roman" w:hAnsi="Times New Roman" w:cs="Times New Roman"/>
                <w:color w:val="000000"/>
                <w:sz w:val="18"/>
                <w:szCs w:val="18"/>
              </w:rPr>
              <w:t>Quadranoside IV and Asiatic acid</w:t>
            </w:r>
          </w:p>
        </w:tc>
        <w:tc>
          <w:tcPr>
            <w:tcW w:w="821" w:type="pct"/>
            <w:vMerge w:val="restart"/>
            <w:tcBorders>
              <w:top w:val="single" w:sz="4" w:space="0" w:color="auto"/>
              <w:bottom w:val="nil"/>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Association with diabetic dyslipidemia</w:t>
            </w:r>
          </w:p>
        </w:tc>
        <w:tc>
          <w:tcPr>
            <w:tcW w:w="1017" w:type="pct"/>
            <w:vMerge w:val="restart"/>
            <w:tcBorders>
              <w:top w:val="single" w:sz="4" w:space="0" w:color="auto"/>
              <w:bottom w:val="nil"/>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Pharmacology experiment</w:t>
            </w:r>
          </w:p>
        </w:tc>
        <w:tc>
          <w:tcPr>
            <w:tcW w:w="690" w:type="pct"/>
            <w:vMerge w:val="restart"/>
            <w:tcBorders>
              <w:top w:val="single" w:sz="4" w:space="0" w:color="auto"/>
              <w:bottom w:val="nil"/>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Predicted targets linked lipids targets</w:t>
            </w:r>
          </w:p>
        </w:tc>
        <w:tc>
          <w:tcPr>
            <w:tcW w:w="822" w:type="pct"/>
            <w:vMerge w:val="restart"/>
            <w:tcBorders>
              <w:top w:val="single" w:sz="4" w:space="0" w:color="auto"/>
              <w:bottom w:val="nil"/>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Association with diabetic dyslipidemia</w:t>
            </w:r>
          </w:p>
        </w:tc>
        <w:tc>
          <w:tcPr>
            <w:tcW w:w="862" w:type="pct"/>
            <w:vMerge w:val="restart"/>
            <w:tcBorders>
              <w:top w:val="single" w:sz="4" w:space="0" w:color="auto"/>
              <w:bottom w:val="nil"/>
            </w:tcBorders>
            <w:vAlign w:val="center"/>
          </w:tcPr>
          <w:p w:rsidR="00566543" w:rsidRPr="0030036C" w:rsidRDefault="00566543" w:rsidP="00A20143">
            <w:pPr>
              <w:autoSpaceDE w:val="0"/>
              <w:autoSpaceDN w:val="0"/>
              <w:adjustRightInd w:val="0"/>
              <w:spacing w:after="200"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Experimental validation of protein-protein interactions</w:t>
            </w:r>
          </w:p>
        </w:tc>
      </w:tr>
      <w:tr w:rsidR="00566543" w:rsidRPr="0030036C" w:rsidTr="00566543">
        <w:tc>
          <w:tcPr>
            <w:tcW w:w="788" w:type="pct"/>
            <w:tcBorders>
              <w:top w:val="nil"/>
              <w:bottom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Predicted targets</w:t>
            </w:r>
          </w:p>
        </w:tc>
        <w:tc>
          <w:tcPr>
            <w:tcW w:w="821" w:type="pct"/>
            <w:vMerge/>
            <w:tcBorders>
              <w:top w:val="nil"/>
              <w:bottom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1017" w:type="pct"/>
            <w:vMerge/>
            <w:tcBorders>
              <w:top w:val="nil"/>
              <w:bottom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690" w:type="pct"/>
            <w:vMerge/>
            <w:tcBorders>
              <w:top w:val="nil"/>
              <w:bottom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822" w:type="pct"/>
            <w:vMerge/>
            <w:tcBorders>
              <w:top w:val="nil"/>
              <w:bottom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862" w:type="pct"/>
            <w:vMerge/>
            <w:tcBorders>
              <w:top w:val="nil"/>
              <w:bottom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566543">
        <w:tc>
          <w:tcPr>
            <w:tcW w:w="788"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PTPN1</w:t>
            </w:r>
          </w:p>
        </w:tc>
        <w:tc>
          <w:tcPr>
            <w:tcW w:w="821" w:type="pct"/>
            <w:vMerge w:val="restart"/>
            <w:tcBorders>
              <w:top w:val="single" w:sz="4" w:space="0" w:color="auto"/>
            </w:tcBorders>
            <w:vAlign w:val="center"/>
          </w:tcPr>
          <w:p w:rsidR="00566543" w:rsidRPr="0030036C" w:rsidRDefault="00C22F88" w:rsidP="00A20143">
            <w:pPr>
              <w:autoSpaceDE w:val="0"/>
              <w:autoSpaceDN w:val="0"/>
              <w:adjustRightInd w:val="0"/>
              <w:spacing w:line="36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fldChar w:fldCharType="begin" w:fldLock="1"/>
            </w:r>
            <w:r>
              <w:rPr>
                <w:rFonts w:ascii="Times New Roman" w:hAnsi="Times New Roman" w:cs="Times New Roman"/>
                <w:color w:val="000000"/>
                <w:sz w:val="18"/>
                <w:szCs w:val="18"/>
              </w:rPr>
              <w:instrText>ADDIN CSL_CITATION {"citationItems":[{"id":"ITEM-1","itemData":{"DOI":"10.1186/1471-2350-7-44","ISSN":"1471-2350 (Electronic)","PMID":"16677372","abstract":"BACKGROUND: The protein tyrosine phosphatase-1B, a negative regulator for insulin and leptin signalling, potentially modulates glucose and energy homeostasis. PTP1B is encoded by the PTPN1 gene located on chromosome 20q13 showing linkage with type 2 diabetes (T2D) in several populations. PTPN1 gene variants have been inconsistently associated with T2D, and the aim of our study was to investigate the effect of PTPN1 genetic variations on the risk of T2D, obesity and on the variability of metabolic phenotypes in the French population. METHODS: Fourteen single nucleotide polymorphisms (SNPs) spanning the PTPN1 locus were selected from previous association reports and from HapMap linkage disequilibrium data. SNPs were evaluated for association with T2D in two case-control groups with 1227 cases and 1047 controls. Association with moderate and severe obesity was also tested in a case-control study design. Association with metabolic traits was evaluated in 736 normoglycaemic, non-obese subjects from a general population. Five SNPs showing a trend towards association with T2D, obesity or metabolic parameters were investigated for familial association. RESULTS: From 14 SNPs investigated, only SNP rs914458, located 10 kb downstream of the PTPN1 gene significantly associated with T2D (p = 0.02 under a dominant model; OR = 1.43 [1.06-1.94]) in the combined sample set. SNP rs914458 also showed association with moderate obesity (allelic p = 0.04; OR = 1.2 [1.01-1.43]). When testing for association with metabolic traits, two strongly correlated SNPs, rs941798 and rs2426159, present multiple consistent associations. SNP rs2426159 exhibited evidence of association under a dominant model with glucose homeostasis related traits (p = 0.04 for fasting insulin and HOMA-B) and with lipid markers (0.02 = p = 0.04). Moreover, risk allele homozygotes for this SNP had an increased systolic blood pressure (p = 0.03). No preferential transmission of alleles was observed for the SNPs tested in the family sample. CONCLUSION: In our study, PTPN1 variants showed moderate association with T2D and obesity. However, consistent associations with metabolic variables reflecting insulin resistance and dyslipidemia are found for two intronic SNPs as previously reported. Thus, our data indicate that PTPN1 variants may modulate the lipid profile, thereby influencing susceptibility to metabolic disease.","author":[{"dropping-particle":"","family":"Cheyssac","given":"Claire","non-dropping-particle":"","parse-names":false,"suffix":""},{"dropping-particle":"","family":"Lecoeur","given":"Cecile","non-dropping-particle":"","parse-names":false,"suffix":""},{"dropping-particle":"","family":"Dechaume","given":"Aurelie","non-dropping-particle":"","parse-names":false,"suffix":""},{"dropping-particle":"","family":"Bibi","given":"Amina","non-dropping-particle":"","parse-names":false,"suffix":""},{"dropping-particle":"","family":"Charpentier","given":"Guillaume","non-dropping-particle":"","parse-names":false,"suffix":""},{"dropping-particle":"","family":"Balkau","given":"Beverley","non-dropping-particle":"","parse-names":false,"suffix":""},{"dropping-particle":"","family":"Marre","given":"Michel","non-dropping-particle":"","parse-names":false,"suffix":""},{"dropping-particle":"","family":"Froguel","given":"Philippe","non-dropping-particle":"","parse-names":false,"suffix":""},{"dropping-particle":"","family":"Gibson","given":"Fernando","non-dropping-particle":"","parse-names":false,"suffix":""},{"dropping-particle":"","family":"Vaxillaire","given":"Martine","non-dropping-particle":"","parse-names":false,"suffix":""}],"container-title":"BMC medical genetics","id":"ITEM-1","issued":{"date-parts":[["2006","5"]]},"language":"eng","page":"44","publisher-place":"England","title":"Analysis of common PTPN1 gene variants in type 2 diabetes, obesity and associated phenotypes in the French population.","type":"article-journal","volume":"7"},"uris":["http://www.mendeley.com/documents/?uuid=d83c8e92-3813-45ce-8230-4b7394ac420f"]}],"mendeley":{"formattedCitation":"(Cheyssac et al., 2006)","plainTextFormattedCitation":"(Cheyssac et al., 2006)","previouslyFormattedCitation":"(Cheyssac et al., 2006)"},"properties":{"noteIndex":0},"schema":"https://github.com/citation-style-language/schema/raw/master/csl-citation.json"}</w:instrText>
            </w:r>
            <w:r>
              <w:rPr>
                <w:rFonts w:ascii="Times New Roman" w:hAnsi="Times New Roman" w:cs="Times New Roman"/>
                <w:color w:val="000000"/>
                <w:sz w:val="18"/>
                <w:szCs w:val="18"/>
              </w:rPr>
              <w:fldChar w:fldCharType="separate"/>
            </w:r>
            <w:r w:rsidRPr="00C22F88">
              <w:rPr>
                <w:rFonts w:ascii="Times New Roman" w:hAnsi="Times New Roman" w:cs="Times New Roman"/>
                <w:noProof/>
                <w:color w:val="000000"/>
                <w:sz w:val="18"/>
                <w:szCs w:val="18"/>
              </w:rPr>
              <w:t>(Cheyssac et al., 2006)</w:t>
            </w:r>
            <w:r>
              <w:rPr>
                <w:rFonts w:ascii="Times New Roman" w:hAnsi="Times New Roman" w:cs="Times New Roman"/>
                <w:color w:val="000000"/>
                <w:sz w:val="18"/>
                <w:szCs w:val="18"/>
              </w:rPr>
              <w:fldChar w:fldCharType="end"/>
            </w:r>
          </w:p>
        </w:tc>
        <w:tc>
          <w:tcPr>
            <w:tcW w:w="1017"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690"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PIK3CA</w:t>
            </w:r>
          </w:p>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PIK3CG</w:t>
            </w:r>
          </w:p>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PIK3CB</w:t>
            </w:r>
          </w:p>
        </w:tc>
        <w:tc>
          <w:tcPr>
            <w:tcW w:w="822"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62" w:type="pct"/>
            <w:tcBorders>
              <w:top w:val="single" w:sz="4" w:space="0" w:color="auto"/>
            </w:tcBorders>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r w:rsidR="00566543" w:rsidRPr="0030036C" w:rsidTr="00566543">
        <w:tc>
          <w:tcPr>
            <w:tcW w:w="788"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PTPN1</w:t>
            </w:r>
          </w:p>
        </w:tc>
        <w:tc>
          <w:tcPr>
            <w:tcW w:w="821" w:type="pct"/>
            <w:vMerge/>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1017"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c>
          <w:tcPr>
            <w:tcW w:w="690"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t>PLD2</w:t>
            </w:r>
          </w:p>
        </w:tc>
        <w:tc>
          <w:tcPr>
            <w:tcW w:w="82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r w:rsidRPr="0030036C">
              <w:rPr>
                <w:rFonts w:ascii="Times New Roman" w:hAnsi="Times New Roman" w:cs="Times New Roman"/>
                <w:color w:val="000000"/>
                <w:sz w:val="18"/>
                <w:szCs w:val="18"/>
              </w:rPr>
              <w:sym w:font="Symbol" w:char="F0D6"/>
            </w:r>
          </w:p>
        </w:tc>
        <w:tc>
          <w:tcPr>
            <w:tcW w:w="862" w:type="pct"/>
            <w:vAlign w:val="center"/>
          </w:tcPr>
          <w:p w:rsidR="00566543" w:rsidRPr="0030036C" w:rsidRDefault="00566543" w:rsidP="00A20143">
            <w:pPr>
              <w:autoSpaceDE w:val="0"/>
              <w:autoSpaceDN w:val="0"/>
              <w:adjustRightInd w:val="0"/>
              <w:spacing w:line="360" w:lineRule="auto"/>
              <w:jc w:val="center"/>
              <w:rPr>
                <w:rFonts w:ascii="Times New Roman" w:hAnsi="Times New Roman" w:cs="Times New Roman"/>
                <w:color w:val="000000"/>
                <w:sz w:val="18"/>
                <w:szCs w:val="18"/>
              </w:rPr>
            </w:pPr>
          </w:p>
        </w:tc>
      </w:tr>
    </w:tbl>
    <w:p w:rsidR="00566543" w:rsidRPr="0030036C" w:rsidRDefault="00566543" w:rsidP="0042133C">
      <w:pPr>
        <w:spacing w:line="360" w:lineRule="auto"/>
        <w:rPr>
          <w:rFonts w:ascii="Times New Roman" w:hAnsi="Times New Roman" w:cs="Times New Roman"/>
          <w:sz w:val="18"/>
          <w:szCs w:val="18"/>
        </w:rPr>
      </w:pPr>
    </w:p>
    <w:p w:rsidR="0030036C" w:rsidRPr="0030036C" w:rsidRDefault="0030036C" w:rsidP="0042133C">
      <w:pPr>
        <w:spacing w:line="360" w:lineRule="auto"/>
        <w:rPr>
          <w:rFonts w:ascii="Times New Roman" w:hAnsi="Times New Roman" w:cs="Times New Roman"/>
          <w:sz w:val="18"/>
          <w:szCs w:val="18"/>
        </w:rPr>
      </w:pPr>
    </w:p>
    <w:p w:rsidR="0030036C" w:rsidRDefault="0030036C">
      <w:pPr>
        <w:rPr>
          <w:rFonts w:ascii="Times New Roman" w:hAnsi="Times New Roman" w:cs="Times New Roman"/>
          <w:sz w:val="18"/>
          <w:szCs w:val="18"/>
        </w:rPr>
      </w:pPr>
      <w:r>
        <w:rPr>
          <w:rFonts w:ascii="Times New Roman" w:hAnsi="Times New Roman" w:cs="Times New Roman"/>
          <w:sz w:val="18"/>
          <w:szCs w:val="18"/>
        </w:rPr>
        <w:br w:type="page"/>
      </w:r>
    </w:p>
    <w:p w:rsidR="0030036C" w:rsidRPr="0030036C" w:rsidRDefault="0030036C" w:rsidP="0042133C">
      <w:pPr>
        <w:spacing w:line="360" w:lineRule="auto"/>
        <w:rPr>
          <w:rFonts w:ascii="Times New Roman" w:hAnsi="Times New Roman" w:cs="Times New Roman"/>
          <w:sz w:val="24"/>
          <w:szCs w:val="18"/>
        </w:rPr>
      </w:pPr>
      <w:r w:rsidRPr="0030036C">
        <w:rPr>
          <w:rFonts w:ascii="Times New Roman" w:hAnsi="Times New Roman" w:cs="Times New Roman"/>
          <w:sz w:val="24"/>
          <w:szCs w:val="18"/>
        </w:rPr>
        <w:lastRenderedPageBreak/>
        <w:t>References:</w:t>
      </w:r>
    </w:p>
    <w:p w:rsidR="00DF4F8B" w:rsidRPr="00DF4F8B" w:rsidRDefault="006A7E5E" w:rsidP="00DF4F8B">
      <w:pPr>
        <w:widowControl w:val="0"/>
        <w:autoSpaceDE w:val="0"/>
        <w:autoSpaceDN w:val="0"/>
        <w:adjustRightInd w:val="0"/>
        <w:spacing w:line="360" w:lineRule="auto"/>
        <w:ind w:left="480" w:hanging="480"/>
        <w:rPr>
          <w:rFonts w:ascii="Times New Roman" w:hAnsi="Times New Roman" w:cs="Times New Roman"/>
          <w:noProof/>
          <w:sz w:val="18"/>
        </w:rPr>
      </w:pPr>
      <w:r>
        <w:rPr>
          <w:rFonts w:ascii="Times New Roman" w:hAnsi="Times New Roman" w:cs="Times New Roman"/>
          <w:sz w:val="18"/>
          <w:szCs w:val="18"/>
        </w:rPr>
        <w:fldChar w:fldCharType="begin" w:fldLock="1"/>
      </w:r>
      <w:r>
        <w:rPr>
          <w:rFonts w:ascii="Times New Roman" w:hAnsi="Times New Roman" w:cs="Times New Roman"/>
          <w:sz w:val="18"/>
          <w:szCs w:val="18"/>
        </w:rPr>
        <w:instrText xml:space="preserve">ADDIN Mendeley Bibliography CSL_BIBLIOGRAPHY </w:instrText>
      </w:r>
      <w:r>
        <w:rPr>
          <w:rFonts w:ascii="Times New Roman" w:hAnsi="Times New Roman" w:cs="Times New Roman"/>
          <w:sz w:val="18"/>
          <w:szCs w:val="18"/>
        </w:rPr>
        <w:fldChar w:fldCharType="separate"/>
      </w:r>
      <w:r w:rsidR="00DF4F8B" w:rsidRPr="00DF4F8B">
        <w:rPr>
          <w:rFonts w:ascii="Times New Roman" w:hAnsi="Times New Roman" w:cs="Times New Roman"/>
          <w:noProof/>
          <w:sz w:val="18"/>
        </w:rPr>
        <w:t xml:space="preserve">Bedada, S. K., and Neerati, P. (2018). Evaluation of the effect of quercetin treatment on CYP2C9 enzyme activity of diclofenac in healthy human volunteers. </w:t>
      </w:r>
      <w:r w:rsidR="00DF4F8B" w:rsidRPr="00DF4F8B">
        <w:rPr>
          <w:rFonts w:ascii="Times New Roman" w:hAnsi="Times New Roman" w:cs="Times New Roman"/>
          <w:i/>
          <w:iCs/>
          <w:noProof/>
          <w:sz w:val="18"/>
        </w:rPr>
        <w:t>Phytother. Res.</w:t>
      </w:r>
      <w:r w:rsidR="00DF4F8B" w:rsidRPr="00DF4F8B">
        <w:rPr>
          <w:rFonts w:ascii="Times New Roman" w:hAnsi="Times New Roman" w:cs="Times New Roman"/>
          <w:noProof/>
          <w:sz w:val="18"/>
        </w:rPr>
        <w:t xml:space="preserve"> 32, 305–311. doi:10.1002/ptr.5978.</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Behdad, N., Kojuri, J., Azarpira, N., Masoomi, A., and Namazi, S. (2017). Association of ABCB1 (C3435T) and ABCC1 (G2012T) polymorphisms with clinical response to atorvastatin in Iranian patients with primary hyperlipidemia. </w:t>
      </w:r>
      <w:r w:rsidRPr="00DF4F8B">
        <w:rPr>
          <w:rFonts w:ascii="Times New Roman" w:hAnsi="Times New Roman" w:cs="Times New Roman"/>
          <w:i/>
          <w:iCs/>
          <w:noProof/>
          <w:sz w:val="18"/>
        </w:rPr>
        <w:t>Iran. Biomed. J.</w:t>
      </w:r>
      <w:r w:rsidRPr="00DF4F8B">
        <w:rPr>
          <w:rFonts w:ascii="Times New Roman" w:hAnsi="Times New Roman" w:cs="Times New Roman"/>
          <w:noProof/>
          <w:sz w:val="18"/>
        </w:rPr>
        <w:t xml:space="preserve"> 21, 120–125. doi:10.18869/acadpub.ibj.21.2.120.</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Birnbaum, Y., Nanhwan, M. K., Ling, S., Perez-Polo, J. R., Ye, Y., and Bajaj, M. (2014). PTEN upregulation may explain the development of insulin resistance and type 2 diabetes with high dose statins. </w:t>
      </w:r>
      <w:r w:rsidRPr="00DF4F8B">
        <w:rPr>
          <w:rFonts w:ascii="Times New Roman" w:hAnsi="Times New Roman" w:cs="Times New Roman"/>
          <w:i/>
          <w:iCs/>
          <w:noProof/>
          <w:sz w:val="18"/>
        </w:rPr>
        <w:t>Cardiovasc. drugs Ther.</w:t>
      </w:r>
      <w:r w:rsidRPr="00DF4F8B">
        <w:rPr>
          <w:rFonts w:ascii="Times New Roman" w:hAnsi="Times New Roman" w:cs="Times New Roman"/>
          <w:noProof/>
          <w:sz w:val="18"/>
        </w:rPr>
        <w:t xml:space="preserve"> 28, 447–457. doi:10.1007/s10557-014-6546-5.</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Biswas, U. K., and Kumar, A. (2012). Study on the changes of carbonic anhydrase activity in insulin resistance and the effect of methylglyoxal. </w:t>
      </w:r>
      <w:r w:rsidRPr="00DF4F8B">
        <w:rPr>
          <w:rFonts w:ascii="Times New Roman" w:hAnsi="Times New Roman" w:cs="Times New Roman"/>
          <w:i/>
          <w:iCs/>
          <w:noProof/>
          <w:sz w:val="18"/>
        </w:rPr>
        <w:t>J. Pak. Med. Assoc.</w:t>
      </w:r>
      <w:r w:rsidRPr="00DF4F8B">
        <w:rPr>
          <w:rFonts w:ascii="Times New Roman" w:hAnsi="Times New Roman" w:cs="Times New Roman"/>
          <w:noProof/>
          <w:sz w:val="18"/>
        </w:rPr>
        <w:t xml:space="preserve"> 62, 417–421.</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Burdon, K. P., Rudock, M. E., Lehtinen, A. B., Langefeld, C. D., Bowden, D. W., Register, T. C., et al. (2010). Human lipoxygenase pathway gene variation and association with markers of subclinical atherosclerosis in the diabetes heart study. </w:t>
      </w:r>
      <w:r w:rsidRPr="00DF4F8B">
        <w:rPr>
          <w:rFonts w:ascii="Times New Roman" w:hAnsi="Times New Roman" w:cs="Times New Roman"/>
          <w:i/>
          <w:iCs/>
          <w:noProof/>
          <w:sz w:val="18"/>
        </w:rPr>
        <w:t>Mediators Inflamm.</w:t>
      </w:r>
      <w:r w:rsidRPr="00DF4F8B">
        <w:rPr>
          <w:rFonts w:ascii="Times New Roman" w:hAnsi="Times New Roman" w:cs="Times New Roman"/>
          <w:noProof/>
          <w:sz w:val="18"/>
        </w:rPr>
        <w:t xml:space="preserve"> 2010.</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Chander, K., Vaibhav, K., Ejaz Ahmed, M., Javed, H., Tabassum, R., Khan, A., et al. (2014). Quercetin mitigates lead acetate-induced behavioral and histological alterations  via suppression of oxidative stress, Hsp-70, Bak and upregulation of Bcl-2. </w:t>
      </w:r>
      <w:r w:rsidRPr="00DF4F8B">
        <w:rPr>
          <w:rFonts w:ascii="Times New Roman" w:hAnsi="Times New Roman" w:cs="Times New Roman"/>
          <w:i/>
          <w:iCs/>
          <w:noProof/>
          <w:sz w:val="18"/>
        </w:rPr>
        <w:t>Food Chem. Toxicol.</w:t>
      </w:r>
      <w:r w:rsidRPr="00DF4F8B">
        <w:rPr>
          <w:rFonts w:ascii="Times New Roman" w:hAnsi="Times New Roman" w:cs="Times New Roman"/>
          <w:noProof/>
          <w:sz w:val="18"/>
        </w:rPr>
        <w:t xml:space="preserve"> 68, 297–306. doi:10.1016/j.fct.2014.02.012.</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Chen, Z., Huang, C., Ma, T., Jiang, L., Tang, L., Shi, T., et al. (2018). Reversal effect of quercetin on multidrug resistance via FZD7/beta-catenin pathway in hepatocellular carcinoma cells. </w:t>
      </w:r>
      <w:r w:rsidRPr="00DF4F8B">
        <w:rPr>
          <w:rFonts w:ascii="Times New Roman" w:hAnsi="Times New Roman" w:cs="Times New Roman"/>
          <w:i/>
          <w:iCs/>
          <w:noProof/>
          <w:sz w:val="18"/>
        </w:rPr>
        <w:t>Phytomedicine</w:t>
      </w:r>
      <w:r w:rsidRPr="00DF4F8B">
        <w:rPr>
          <w:rFonts w:ascii="Times New Roman" w:hAnsi="Times New Roman" w:cs="Times New Roman"/>
          <w:noProof/>
          <w:sz w:val="18"/>
        </w:rPr>
        <w:t xml:space="preserve"> 43, 37–45. doi:10.1016/j.phymed.2018.03.040.</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Cheyssac, C., Lecoeur, C., Dechaume, A., Bibi, A., Charpentier, G., Balkau, B., et al. (2006). Analysis of common PTPN1 gene variants in type 2 diabetes, obesity and associated phenotypes in the French population. </w:t>
      </w:r>
      <w:r w:rsidRPr="00DF4F8B">
        <w:rPr>
          <w:rFonts w:ascii="Times New Roman" w:hAnsi="Times New Roman" w:cs="Times New Roman"/>
          <w:i/>
          <w:iCs/>
          <w:noProof/>
          <w:sz w:val="18"/>
        </w:rPr>
        <w:t>BMC Med. Genet.</w:t>
      </w:r>
      <w:r w:rsidRPr="00DF4F8B">
        <w:rPr>
          <w:rFonts w:ascii="Times New Roman" w:hAnsi="Times New Roman" w:cs="Times New Roman"/>
          <w:noProof/>
          <w:sz w:val="18"/>
        </w:rPr>
        <w:t xml:space="preserve"> 7, 44. doi:10.1186/1471-2350-7-44.</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Hamilton, D. L., Findlay, J. A., Montagut, G., Meakin, P. J., Bestow, D., Jalicy, S. M., et al. (2014). Altered amyloid precursor protein processing regulates glucose uptake and oxidation in cultured rodent myotubes. </w:t>
      </w:r>
      <w:r w:rsidRPr="00DF4F8B">
        <w:rPr>
          <w:rFonts w:ascii="Times New Roman" w:hAnsi="Times New Roman" w:cs="Times New Roman"/>
          <w:i/>
          <w:iCs/>
          <w:noProof/>
          <w:sz w:val="18"/>
        </w:rPr>
        <w:t>Diabetologia</w:t>
      </w:r>
      <w:r w:rsidRPr="00DF4F8B">
        <w:rPr>
          <w:rFonts w:ascii="Times New Roman" w:hAnsi="Times New Roman" w:cs="Times New Roman"/>
          <w:noProof/>
          <w:sz w:val="18"/>
        </w:rPr>
        <w:t xml:space="preserve"> 57, 1684–1692. doi:10.1007/s00125-014-3269-x.</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Kang, N. J., Lee, K. W., Shin, B. J., Jung, S. K., Hwang, M. K., Bode, A. M., et al. (2009). Caffeic acid, a phenolic phytochemical in coffee, directly inhibits Fyn kinase activity and UVB-induced COX-2 expression. </w:t>
      </w:r>
      <w:r w:rsidRPr="00DF4F8B">
        <w:rPr>
          <w:rFonts w:ascii="Times New Roman" w:hAnsi="Times New Roman" w:cs="Times New Roman"/>
          <w:i/>
          <w:iCs/>
          <w:noProof/>
          <w:sz w:val="18"/>
        </w:rPr>
        <w:t>Carcinogenesis</w:t>
      </w:r>
      <w:r w:rsidRPr="00DF4F8B">
        <w:rPr>
          <w:rFonts w:ascii="Times New Roman" w:hAnsi="Times New Roman" w:cs="Times New Roman"/>
          <w:noProof/>
          <w:sz w:val="18"/>
        </w:rPr>
        <w:t xml:space="preserve"> 30, 321–330. doi:10.1093/carcin/bgn282.</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Kizawa, K., Fujimori, T., and Kawai, T. (2017). Arachidonate 12-Lipoxygenase Inhibitors Promote S100A3 Citrullination in Cultured SW480 Cells and Isolated Hair Follicles. </w:t>
      </w:r>
      <w:r w:rsidRPr="00DF4F8B">
        <w:rPr>
          <w:rFonts w:ascii="Times New Roman" w:hAnsi="Times New Roman" w:cs="Times New Roman"/>
          <w:i/>
          <w:iCs/>
          <w:noProof/>
          <w:sz w:val="18"/>
        </w:rPr>
        <w:t xml:space="preserve">Biol. Pharm. </w:t>
      </w:r>
      <w:r w:rsidRPr="00DF4F8B">
        <w:rPr>
          <w:rFonts w:ascii="Times New Roman" w:hAnsi="Times New Roman" w:cs="Times New Roman"/>
          <w:i/>
          <w:iCs/>
          <w:noProof/>
          <w:sz w:val="18"/>
        </w:rPr>
        <w:lastRenderedPageBreak/>
        <w:t>Bull.</w:t>
      </w:r>
      <w:r w:rsidRPr="00DF4F8B">
        <w:rPr>
          <w:rFonts w:ascii="Times New Roman" w:hAnsi="Times New Roman" w:cs="Times New Roman"/>
          <w:noProof/>
          <w:sz w:val="18"/>
        </w:rPr>
        <w:t xml:space="preserve"> 40, 516–523. doi:10.1248/bpb.b16-00954.</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Klen, J., Dolzan, V., and Janez, A. (2014). CYP2C9, KCNJ11 and ABCC8 polymorphisms and the response to sulphonylurea treatment in type 2 diabetes patients. </w:t>
      </w:r>
      <w:r w:rsidRPr="00DF4F8B">
        <w:rPr>
          <w:rFonts w:ascii="Times New Roman" w:hAnsi="Times New Roman" w:cs="Times New Roman"/>
          <w:i/>
          <w:iCs/>
          <w:noProof/>
          <w:sz w:val="18"/>
        </w:rPr>
        <w:t>Eur. J. Clin. Pharmacol.</w:t>
      </w:r>
      <w:r w:rsidRPr="00DF4F8B">
        <w:rPr>
          <w:rFonts w:ascii="Times New Roman" w:hAnsi="Times New Roman" w:cs="Times New Roman"/>
          <w:noProof/>
          <w:sz w:val="18"/>
        </w:rPr>
        <w:t xml:space="preserve"> 70, 421–428. doi:10.1007/s00228-014-1641-x.</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Luiz da Silva, E., Tsushida, T., and Terao, J. (1998). Inhibition of mammalian 15-lipoxygenase-dependent lipid peroxidation in low-density lipoprotein by quercetin and quercetin monoglucosides. </w:t>
      </w:r>
      <w:r w:rsidRPr="00DF4F8B">
        <w:rPr>
          <w:rFonts w:ascii="Times New Roman" w:hAnsi="Times New Roman" w:cs="Times New Roman"/>
          <w:i/>
          <w:iCs/>
          <w:noProof/>
          <w:sz w:val="18"/>
        </w:rPr>
        <w:t>Arch. Biochem. Biophys.</w:t>
      </w:r>
      <w:r w:rsidRPr="00DF4F8B">
        <w:rPr>
          <w:rFonts w:ascii="Times New Roman" w:hAnsi="Times New Roman" w:cs="Times New Roman"/>
          <w:noProof/>
          <w:sz w:val="18"/>
        </w:rPr>
        <w:t xml:space="preserve"> 349, 313–320.</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Lv, Z., Hu, M., Ren, X., Fan, M., Zhen, J., Chen, L., et al. (2016). Fyn Mediates High Glucose-Induced Actin Cytoskeleton Reorganization of Podocytes  via Promoting ROCK Activation In Vitro. </w:t>
      </w:r>
      <w:r w:rsidRPr="00DF4F8B">
        <w:rPr>
          <w:rFonts w:ascii="Times New Roman" w:hAnsi="Times New Roman" w:cs="Times New Roman"/>
          <w:i/>
          <w:iCs/>
          <w:noProof/>
          <w:sz w:val="18"/>
        </w:rPr>
        <w:t>J. Diabetes Res.</w:t>
      </w:r>
      <w:r w:rsidRPr="00DF4F8B">
        <w:rPr>
          <w:rFonts w:ascii="Times New Roman" w:hAnsi="Times New Roman" w:cs="Times New Roman"/>
          <w:noProof/>
          <w:sz w:val="18"/>
        </w:rPr>
        <w:t xml:space="preserve"> 2016, 5671803. doi:10.1155/2016/5671803.</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Martin-Aragon, S., Jimenez-Aliaga, K. L., Benedi, J., and Bermejo-Bescos, P. (2016). Neurohormetic responses of quercetin and rutin in a cell line over-expressing the amyloid precursor protein (APPswe cells). </w:t>
      </w:r>
      <w:r w:rsidRPr="00DF4F8B">
        <w:rPr>
          <w:rFonts w:ascii="Times New Roman" w:hAnsi="Times New Roman" w:cs="Times New Roman"/>
          <w:i/>
          <w:iCs/>
          <w:noProof/>
          <w:sz w:val="18"/>
        </w:rPr>
        <w:t>Phytomedicine</w:t>
      </w:r>
      <w:r w:rsidRPr="00DF4F8B">
        <w:rPr>
          <w:rFonts w:ascii="Times New Roman" w:hAnsi="Times New Roman" w:cs="Times New Roman"/>
          <w:noProof/>
          <w:sz w:val="18"/>
        </w:rPr>
        <w:t xml:space="preserve"> 23, 1285–1294. doi:10.1016/j.phymed.2016.07.007.</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Ramachandran, V., and Saravanan, R. (2015). Glucose uptake through translocation and activation of GLUT4 in PI3K/Akt signaling pathway by asiatic acid in diabetic rats. </w:t>
      </w:r>
      <w:r w:rsidRPr="00DF4F8B">
        <w:rPr>
          <w:rFonts w:ascii="Times New Roman" w:hAnsi="Times New Roman" w:cs="Times New Roman"/>
          <w:i/>
          <w:iCs/>
          <w:noProof/>
          <w:sz w:val="18"/>
        </w:rPr>
        <w:t>Hum. Exp. Toxicol.</w:t>
      </w:r>
      <w:r w:rsidRPr="00DF4F8B">
        <w:rPr>
          <w:rFonts w:ascii="Times New Roman" w:hAnsi="Times New Roman" w:cs="Times New Roman"/>
          <w:noProof/>
          <w:sz w:val="18"/>
        </w:rPr>
        <w:t xml:space="preserve"> 34, 884–893. doi:10.1177/0960327114561663.</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Settin, A., El-Baz, R., Ismaeel, A., Tolba, W., and Allah, W. A. (2015). Association of ACE and MTHFR genetic polymorphisms with type 2 diabetes mellitus: Susceptibility and complications. </w:t>
      </w:r>
      <w:r w:rsidRPr="00DF4F8B">
        <w:rPr>
          <w:rFonts w:ascii="Times New Roman" w:hAnsi="Times New Roman" w:cs="Times New Roman"/>
          <w:i/>
          <w:iCs/>
          <w:noProof/>
          <w:sz w:val="18"/>
        </w:rPr>
        <w:t>J. Renin. Angiotensin. Aldosterone. Syst.</w:t>
      </w:r>
      <w:r w:rsidRPr="00DF4F8B">
        <w:rPr>
          <w:rFonts w:ascii="Times New Roman" w:hAnsi="Times New Roman" w:cs="Times New Roman"/>
          <w:noProof/>
          <w:sz w:val="18"/>
        </w:rPr>
        <w:t xml:space="preserve"> 16, 838–843. doi:10.1177/1470320313516172.</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Tomita, T. (2016). Apoptosis in pancreatic beta-islet cells in Type 2 diabetes. </w:t>
      </w:r>
      <w:r w:rsidRPr="00DF4F8B">
        <w:rPr>
          <w:rFonts w:ascii="Times New Roman" w:hAnsi="Times New Roman" w:cs="Times New Roman"/>
          <w:i/>
          <w:iCs/>
          <w:noProof/>
          <w:sz w:val="18"/>
        </w:rPr>
        <w:t>Bosn. J. basic Med. Sci.</w:t>
      </w:r>
      <w:r w:rsidRPr="00DF4F8B">
        <w:rPr>
          <w:rFonts w:ascii="Times New Roman" w:hAnsi="Times New Roman" w:cs="Times New Roman"/>
          <w:noProof/>
          <w:sz w:val="18"/>
        </w:rPr>
        <w:t xml:space="preserve"> 16, 162–179. doi:10.17305/bjbms.2016.919.</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Xu, J., Yin, L., Xu, Y., Li, Y., Zalzala, M., Cheng, G., et al. (2014). Hepatic carboxylesterase 1 is induced by glucose and regulates postprandial glucose levels. </w:t>
      </w:r>
      <w:r w:rsidRPr="00DF4F8B">
        <w:rPr>
          <w:rFonts w:ascii="Times New Roman" w:hAnsi="Times New Roman" w:cs="Times New Roman"/>
          <w:i/>
          <w:iCs/>
          <w:noProof/>
          <w:sz w:val="18"/>
        </w:rPr>
        <w:t>PLoS One</w:t>
      </w:r>
      <w:r w:rsidRPr="00DF4F8B">
        <w:rPr>
          <w:rFonts w:ascii="Times New Roman" w:hAnsi="Times New Roman" w:cs="Times New Roman"/>
          <w:noProof/>
          <w:sz w:val="18"/>
        </w:rPr>
        <w:t xml:space="preserve"> 9, e109663. doi:10.1371/journal.pone.0109663.</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Yoon, C.-H., Chung, S.-J., Lee, S.-W., Park, Y.-B., Lee, S.-K., and Park, M.-C. (2013). Gallic acid, a natural polyphenolic acid, induces apoptosis and inhibits proinflammatory gene expressions in rheumatoid arthritis fibroblast-like synoviocytes. </w:t>
      </w:r>
      <w:r w:rsidRPr="00DF4F8B">
        <w:rPr>
          <w:rFonts w:ascii="Times New Roman" w:hAnsi="Times New Roman" w:cs="Times New Roman"/>
          <w:i/>
          <w:iCs/>
          <w:noProof/>
          <w:sz w:val="18"/>
        </w:rPr>
        <w:t>Joint. Bone. Spine</w:t>
      </w:r>
      <w:r w:rsidRPr="00DF4F8B">
        <w:rPr>
          <w:rFonts w:ascii="Times New Roman" w:hAnsi="Times New Roman" w:cs="Times New Roman"/>
          <w:noProof/>
          <w:sz w:val="18"/>
        </w:rPr>
        <w:t xml:space="preserve"> 80, 274–279. doi:10.1016/j.jbspin.2012.08.010.</w:t>
      </w:r>
    </w:p>
    <w:p w:rsidR="00DF4F8B" w:rsidRPr="00DF4F8B" w:rsidRDefault="00DF4F8B" w:rsidP="00DF4F8B">
      <w:pPr>
        <w:widowControl w:val="0"/>
        <w:autoSpaceDE w:val="0"/>
        <w:autoSpaceDN w:val="0"/>
        <w:adjustRightInd w:val="0"/>
        <w:spacing w:line="360" w:lineRule="auto"/>
        <w:ind w:left="480" w:hanging="480"/>
        <w:rPr>
          <w:rFonts w:ascii="Times New Roman" w:hAnsi="Times New Roman" w:cs="Times New Roman"/>
          <w:noProof/>
          <w:sz w:val="18"/>
        </w:rPr>
      </w:pPr>
      <w:r w:rsidRPr="00DF4F8B">
        <w:rPr>
          <w:rFonts w:ascii="Times New Roman" w:hAnsi="Times New Roman" w:cs="Times New Roman"/>
          <w:noProof/>
          <w:sz w:val="18"/>
        </w:rPr>
        <w:t xml:space="preserve">Zhao, J., O’Donnell, V. B., Balzar, S., Croix, C. M. S., Trudeau, J. B., and Wenzel, S. E. (2011). 15-Lipoxygenase 1 interacts with phosphatidylethanolamine-binding protein to regulate MAPK signaling in human airway epithelial cells. </w:t>
      </w:r>
      <w:r w:rsidRPr="00DF4F8B">
        <w:rPr>
          <w:rFonts w:ascii="Times New Roman" w:hAnsi="Times New Roman" w:cs="Times New Roman"/>
          <w:i/>
          <w:iCs/>
          <w:noProof/>
          <w:sz w:val="18"/>
        </w:rPr>
        <w:t>Proc. Natl. Acad. Sci.</w:t>
      </w:r>
      <w:r w:rsidRPr="00DF4F8B">
        <w:rPr>
          <w:rFonts w:ascii="Times New Roman" w:hAnsi="Times New Roman" w:cs="Times New Roman"/>
          <w:noProof/>
          <w:sz w:val="18"/>
        </w:rPr>
        <w:t xml:space="preserve"> 108, 14246–14251.</w:t>
      </w:r>
    </w:p>
    <w:p w:rsidR="0030036C" w:rsidRPr="0030036C" w:rsidRDefault="006A7E5E" w:rsidP="00DF4F8B">
      <w:pPr>
        <w:widowControl w:val="0"/>
        <w:autoSpaceDE w:val="0"/>
        <w:autoSpaceDN w:val="0"/>
        <w:adjustRightInd w:val="0"/>
        <w:spacing w:line="360" w:lineRule="auto"/>
        <w:ind w:left="480" w:hanging="480"/>
        <w:rPr>
          <w:rFonts w:ascii="Times New Roman" w:hAnsi="Times New Roman" w:cs="Times New Roman"/>
          <w:sz w:val="18"/>
          <w:szCs w:val="18"/>
        </w:rPr>
      </w:pPr>
      <w:r>
        <w:rPr>
          <w:rFonts w:ascii="Times New Roman" w:hAnsi="Times New Roman" w:cs="Times New Roman"/>
          <w:sz w:val="18"/>
          <w:szCs w:val="18"/>
        </w:rPr>
        <w:fldChar w:fldCharType="end"/>
      </w:r>
    </w:p>
    <w:sectPr w:rsidR="0030036C" w:rsidRPr="0030036C" w:rsidSect="004361CE">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680" w:rsidRDefault="00E71680" w:rsidP="004361CE">
      <w:pPr>
        <w:spacing w:after="0" w:line="240" w:lineRule="auto"/>
      </w:pPr>
      <w:r>
        <w:separator/>
      </w:r>
    </w:p>
  </w:endnote>
  <w:endnote w:type="continuationSeparator" w:id="0">
    <w:p w:rsidR="00E71680" w:rsidRDefault="00E71680" w:rsidP="0043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680" w:rsidRDefault="00E71680" w:rsidP="004361CE">
      <w:pPr>
        <w:spacing w:after="0" w:line="240" w:lineRule="auto"/>
      </w:pPr>
      <w:r>
        <w:separator/>
      </w:r>
    </w:p>
  </w:footnote>
  <w:footnote w:type="continuationSeparator" w:id="0">
    <w:p w:rsidR="00E71680" w:rsidRDefault="00E71680" w:rsidP="004361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zNzGxNLYwNjI0NDRQ0lEKTi0uzszPAykwrAUAcfKjgCwAAAA="/>
  </w:docVars>
  <w:rsids>
    <w:rsidRoot w:val="009241A9"/>
    <w:rsid w:val="00260BDB"/>
    <w:rsid w:val="0030036C"/>
    <w:rsid w:val="0042133C"/>
    <w:rsid w:val="004361CE"/>
    <w:rsid w:val="00566543"/>
    <w:rsid w:val="00587EF1"/>
    <w:rsid w:val="005D2013"/>
    <w:rsid w:val="00677621"/>
    <w:rsid w:val="006A7E5E"/>
    <w:rsid w:val="006C4C1A"/>
    <w:rsid w:val="006F5ECF"/>
    <w:rsid w:val="00713AED"/>
    <w:rsid w:val="007B09CF"/>
    <w:rsid w:val="007C09EB"/>
    <w:rsid w:val="007E6054"/>
    <w:rsid w:val="008639BF"/>
    <w:rsid w:val="00872025"/>
    <w:rsid w:val="009241A9"/>
    <w:rsid w:val="00977943"/>
    <w:rsid w:val="00AE1EF3"/>
    <w:rsid w:val="00B432BB"/>
    <w:rsid w:val="00B57238"/>
    <w:rsid w:val="00BD4F9A"/>
    <w:rsid w:val="00C22F88"/>
    <w:rsid w:val="00C63780"/>
    <w:rsid w:val="00D31FCF"/>
    <w:rsid w:val="00DF4F8B"/>
    <w:rsid w:val="00E71680"/>
    <w:rsid w:val="00F1085D"/>
    <w:rsid w:val="00F54990"/>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016A4"/>
  <w15:chartTrackingRefBased/>
  <w15:docId w15:val="{3A6096CA-D523-4D17-A598-B4B8F390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1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1CE"/>
  </w:style>
  <w:style w:type="paragraph" w:styleId="Footer">
    <w:name w:val="footer"/>
    <w:basedOn w:val="Normal"/>
    <w:link w:val="FooterChar"/>
    <w:uiPriority w:val="99"/>
    <w:unhideWhenUsed/>
    <w:rsid w:val="004361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1CE"/>
  </w:style>
  <w:style w:type="paragraph" w:styleId="Caption">
    <w:name w:val="caption"/>
    <w:basedOn w:val="Normal"/>
    <w:next w:val="Normal"/>
    <w:uiPriority w:val="35"/>
    <w:unhideWhenUsed/>
    <w:qFormat/>
    <w:rsid w:val="004361CE"/>
    <w:pPr>
      <w:spacing w:after="200" w:line="240" w:lineRule="auto"/>
    </w:pPr>
    <w:rPr>
      <w:i/>
      <w:iCs/>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81747-7D64-5746-BE67-DE928BB9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10862</Words>
  <Characters>61915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Lixiang Zhai</dc:creator>
  <cp:keywords/>
  <dc:description/>
  <cp:lastModifiedBy>Zhai, Lixiang</cp:lastModifiedBy>
  <cp:revision>19</cp:revision>
  <dcterms:created xsi:type="dcterms:W3CDTF">2017-12-25T11:21:00Z</dcterms:created>
  <dcterms:modified xsi:type="dcterms:W3CDTF">2018-06-19T07:25:00Z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6ef21a75-52d0-33a5-ae2e-93e566eba449</vt:lpwstr>
  </property>
  <property fmtid="{D5CDD505-2E9C-101B-9397-08002B2CF9AE}" pid="4" name="Mendeley Citation Style_1">
    <vt:lpwstr>http://www.zotero.org/styles/frontiers-in-pharmacology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http://www.zotero.org/styles/frontiers-in-pharmacology</vt:lpwstr>
  </property>
  <property fmtid="{D5CDD505-2E9C-101B-9397-08002B2CF9AE}" pid="16" name="Mendeley Recent Style Name 5_1">
    <vt:lpwstr>Frontiers in Pharmacology</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http://www.zotero.org/styles/planta-medica</vt:lpwstr>
  </property>
  <property fmtid="{D5CDD505-2E9C-101B-9397-08002B2CF9AE}" pid="24" name="Mendeley Recent Style Name 9_1">
    <vt:lpwstr>Planta Medica</vt:lpwstr>
  </property>
</Properties>
</file>