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AA" w:rsidRDefault="00B735AA" w:rsidP="00B735AA">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Appendix A.</w:t>
      </w:r>
    </w:p>
    <w:p w:rsidR="00B735AA" w:rsidRDefault="00B735AA" w:rsidP="00B735AA">
      <w:pPr>
        <w:spacing w:after="240"/>
        <w:rPr>
          <w:rFonts w:ascii="Times New Roman" w:eastAsia="Times New Roman" w:hAnsi="Times New Roman" w:cs="Times New Roman"/>
          <w:color w:val="000000"/>
        </w:rPr>
      </w:pPr>
      <w:r>
        <w:rPr>
          <w:rFonts w:ascii="Times New Roman" w:eastAsia="Times New Roman" w:hAnsi="Times New Roman" w:cs="Times New Roman"/>
          <w:i/>
          <w:color w:val="000000"/>
        </w:rPr>
        <w:t>Table of measures</w:t>
      </w:r>
    </w:p>
    <w:tbl>
      <w:tblPr>
        <w:tblStyle w:val="TableGrid"/>
        <w:tblW w:w="10890" w:type="dxa"/>
        <w:tblInd w:w="-612" w:type="dxa"/>
        <w:tblLayout w:type="fixed"/>
        <w:tblLook w:val="04A0" w:firstRow="1" w:lastRow="0" w:firstColumn="1" w:lastColumn="0" w:noHBand="0" w:noVBand="1"/>
      </w:tblPr>
      <w:tblGrid>
        <w:gridCol w:w="1710"/>
        <w:gridCol w:w="4500"/>
        <w:gridCol w:w="2250"/>
        <w:gridCol w:w="2430"/>
      </w:tblGrid>
      <w:tr w:rsidR="00B735AA" w:rsidRPr="00F05059" w:rsidTr="00957A9C">
        <w:tc>
          <w:tcPr>
            <w:tcW w:w="1710" w:type="dxa"/>
            <w:tcBorders>
              <w:top w:val="single" w:sz="4" w:space="0" w:color="auto"/>
              <w:left w:val="nil"/>
              <w:bottom w:val="single" w:sz="4" w:space="0" w:color="auto"/>
              <w:right w:val="nil"/>
            </w:tcBorders>
          </w:tcPr>
          <w:p w:rsidR="00B735AA" w:rsidRDefault="00B735AA" w:rsidP="00957A9C">
            <w:pPr>
              <w:rPr>
                <w:rFonts w:ascii="Times New Roman" w:hAnsi="Times New Roman" w:cs="Times New Roman"/>
                <w:b/>
              </w:rPr>
            </w:pPr>
            <w:r>
              <w:rPr>
                <w:rFonts w:ascii="Times New Roman" w:hAnsi="Times New Roman" w:cs="Times New Roman"/>
                <w:b/>
              </w:rPr>
              <w:t>Construct/</w:t>
            </w:r>
          </w:p>
          <w:p w:rsidR="00B735AA" w:rsidRPr="00E73BD9" w:rsidRDefault="00B735AA" w:rsidP="00957A9C">
            <w:pPr>
              <w:rPr>
                <w:rFonts w:ascii="Times New Roman" w:hAnsi="Times New Roman" w:cs="Times New Roman"/>
                <w:b/>
              </w:rPr>
            </w:pPr>
            <w:r w:rsidRPr="00E73BD9">
              <w:rPr>
                <w:rFonts w:ascii="Times New Roman" w:hAnsi="Times New Roman" w:cs="Times New Roman"/>
                <w:b/>
              </w:rPr>
              <w:t>Measure</w:t>
            </w:r>
          </w:p>
        </w:tc>
        <w:tc>
          <w:tcPr>
            <w:tcW w:w="4500" w:type="dxa"/>
            <w:tcBorders>
              <w:top w:val="single" w:sz="4" w:space="0" w:color="auto"/>
              <w:left w:val="nil"/>
              <w:bottom w:val="single" w:sz="4" w:space="0" w:color="auto"/>
              <w:right w:val="nil"/>
            </w:tcBorders>
          </w:tcPr>
          <w:p w:rsidR="00B735AA" w:rsidRPr="00F05059" w:rsidRDefault="00B735AA" w:rsidP="00957A9C">
            <w:pPr>
              <w:ind w:left="306" w:hanging="360"/>
              <w:rPr>
                <w:rFonts w:ascii="Times New Roman" w:hAnsi="Times New Roman" w:cs="Times New Roman"/>
                <w:b/>
              </w:rPr>
            </w:pPr>
            <w:r w:rsidRPr="00F05059">
              <w:rPr>
                <w:rFonts w:ascii="Times New Roman" w:hAnsi="Times New Roman" w:cs="Times New Roman"/>
                <w:b/>
              </w:rPr>
              <w:t>Description</w:t>
            </w:r>
          </w:p>
        </w:tc>
        <w:tc>
          <w:tcPr>
            <w:tcW w:w="2250" w:type="dxa"/>
            <w:tcBorders>
              <w:top w:val="single" w:sz="4" w:space="0" w:color="auto"/>
              <w:left w:val="nil"/>
              <w:right w:val="nil"/>
            </w:tcBorders>
          </w:tcPr>
          <w:p w:rsidR="00B735AA" w:rsidRPr="00F05059" w:rsidRDefault="00B735AA" w:rsidP="00957A9C">
            <w:pPr>
              <w:ind w:left="-6" w:hanging="48"/>
              <w:rPr>
                <w:rFonts w:ascii="Times New Roman" w:hAnsi="Times New Roman" w:cs="Times New Roman"/>
                <w:b/>
              </w:rPr>
            </w:pPr>
            <w:r>
              <w:rPr>
                <w:rFonts w:ascii="Times New Roman" w:hAnsi="Times New Roman" w:cs="Times New Roman"/>
                <w:b/>
              </w:rPr>
              <w:t># Items / Scale</w:t>
            </w:r>
          </w:p>
        </w:tc>
        <w:tc>
          <w:tcPr>
            <w:tcW w:w="2430" w:type="dxa"/>
            <w:tcBorders>
              <w:top w:val="single" w:sz="4" w:space="0" w:color="auto"/>
              <w:left w:val="nil"/>
              <w:bottom w:val="single" w:sz="4" w:space="0" w:color="auto"/>
              <w:right w:val="nil"/>
            </w:tcBorders>
          </w:tcPr>
          <w:p w:rsidR="00B735AA" w:rsidRPr="00F05059" w:rsidRDefault="00B735AA" w:rsidP="00957A9C">
            <w:pPr>
              <w:ind w:left="306" w:hanging="360"/>
              <w:rPr>
                <w:rFonts w:ascii="Times New Roman" w:hAnsi="Times New Roman" w:cs="Times New Roman"/>
                <w:b/>
              </w:rPr>
            </w:pPr>
            <w:r>
              <w:rPr>
                <w:rFonts w:ascii="Times New Roman" w:hAnsi="Times New Roman" w:cs="Times New Roman"/>
                <w:b/>
              </w:rPr>
              <w:t>Psychometrics</w:t>
            </w:r>
          </w:p>
        </w:tc>
      </w:tr>
      <w:tr w:rsidR="00B735AA" w:rsidRPr="00F05059" w:rsidTr="00957A9C">
        <w:tc>
          <w:tcPr>
            <w:tcW w:w="1710" w:type="dxa"/>
            <w:tcBorders>
              <w:left w:val="nil"/>
              <w:right w:val="nil"/>
            </w:tcBorders>
          </w:tcPr>
          <w:p w:rsidR="00B735AA" w:rsidRDefault="00B735AA" w:rsidP="00957A9C">
            <w:pPr>
              <w:rPr>
                <w:rFonts w:ascii="Times New Roman" w:hAnsi="Times New Roman" w:cs="Times New Roman"/>
              </w:rPr>
            </w:pPr>
            <w:r>
              <w:rPr>
                <w:rFonts w:ascii="Times New Roman" w:hAnsi="Times New Roman" w:cs="Times New Roman"/>
              </w:rPr>
              <w:t xml:space="preserve">Implementation Climate </w:t>
            </w:r>
          </w:p>
          <w:p w:rsidR="00B735AA" w:rsidRDefault="00B735AA" w:rsidP="00957A9C">
            <w:pPr>
              <w:rPr>
                <w:rFonts w:ascii="Times New Roman" w:hAnsi="Times New Roman" w:cs="Times New Roman"/>
              </w:rPr>
            </w:pPr>
          </w:p>
          <w:p w:rsidR="00B735AA" w:rsidRPr="00413386" w:rsidRDefault="00B735AA" w:rsidP="00957A9C">
            <w:pPr>
              <w:rPr>
                <w:rFonts w:ascii="Times New Roman" w:hAnsi="Times New Roman" w:cs="Times New Roman"/>
                <w:i/>
              </w:rPr>
            </w:pPr>
            <w:r w:rsidRPr="00413386">
              <w:rPr>
                <w:rFonts w:ascii="Times New Roman" w:hAnsi="Times New Roman" w:cs="Times New Roman"/>
                <w:i/>
              </w:rPr>
              <w:t>Evidence-Based Organizational Checklist</w:t>
            </w:r>
          </w:p>
        </w:tc>
        <w:tc>
          <w:tcPr>
            <w:tcW w:w="4500" w:type="dxa"/>
            <w:tcBorders>
              <w:left w:val="nil"/>
              <w:right w:val="nil"/>
            </w:tcBorders>
          </w:tcPr>
          <w:p w:rsidR="00B735AA" w:rsidRPr="00F05059" w:rsidRDefault="00B735AA" w:rsidP="00B735AA">
            <w:pPr>
              <w:pStyle w:val="ListParagraph"/>
              <w:numPr>
                <w:ilvl w:val="0"/>
                <w:numId w:val="1"/>
              </w:numPr>
              <w:ind w:left="306"/>
              <w:rPr>
                <w:rFonts w:ascii="Times New Roman" w:hAnsi="Times New Roman" w:cs="Times New Roman"/>
              </w:rPr>
            </w:pPr>
            <w:r w:rsidRPr="00F05059">
              <w:rPr>
                <w:rFonts w:ascii="Times New Roman" w:hAnsi="Times New Roman" w:cs="Times New Roman"/>
              </w:rPr>
              <w:t xml:space="preserve">Measures the degree to which organizations expect, support, and reward EBT. </w:t>
            </w:r>
            <w:r>
              <w:rPr>
                <w:rFonts w:ascii="Times New Roman" w:hAnsi="Times New Roman" w:cs="Times New Roman"/>
              </w:rPr>
              <w:t>I</w:t>
            </w:r>
            <w:r w:rsidRPr="00F05059">
              <w:rPr>
                <w:rFonts w:ascii="Times New Roman" w:hAnsi="Times New Roman" w:cs="Times New Roman"/>
              </w:rPr>
              <w:t xml:space="preserve">ndividual participants’ average scale scores are aggregated </w:t>
            </w:r>
            <w:r>
              <w:rPr>
                <w:rFonts w:ascii="Times New Roman" w:hAnsi="Times New Roman" w:cs="Times New Roman"/>
              </w:rPr>
              <w:t xml:space="preserve">for all participants within a single organization </w:t>
            </w:r>
            <w:r w:rsidRPr="00F05059">
              <w:rPr>
                <w:rFonts w:ascii="Times New Roman" w:hAnsi="Times New Roman" w:cs="Times New Roman"/>
              </w:rPr>
              <w:t>to create an average score for the organization.</w:t>
            </w:r>
          </w:p>
          <w:p w:rsidR="00B735AA" w:rsidRPr="00E73BD9"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Supervisors and clinicians completed at baseline</w:t>
            </w:r>
          </w:p>
          <w:p w:rsidR="00B735AA" w:rsidRPr="00A72E68" w:rsidRDefault="00B735AA" w:rsidP="00B735AA">
            <w:pPr>
              <w:pStyle w:val="ListParagraph"/>
              <w:numPr>
                <w:ilvl w:val="0"/>
                <w:numId w:val="1"/>
              </w:numPr>
              <w:ind w:left="306"/>
              <w:rPr>
                <w:rFonts w:ascii="Times New Roman" w:hAnsi="Times New Roman" w:cs="Times New Roman"/>
              </w:rPr>
            </w:pPr>
            <w:r w:rsidRPr="00F05059">
              <w:rPr>
                <w:rFonts w:ascii="Times New Roman" w:hAnsi="Times New Roman" w:cs="Times New Roman"/>
              </w:rPr>
              <w:t xml:space="preserve">Example items: “Executive leadership (e.g., administrators, directors) explicitly and repeatedly express support for </w:t>
            </w:r>
            <w:r>
              <w:rPr>
                <w:rFonts w:ascii="Times New Roman" w:hAnsi="Times New Roman" w:cs="Times New Roman"/>
              </w:rPr>
              <w:t>and promote use of EBT</w:t>
            </w:r>
            <w:r w:rsidRPr="00F05059">
              <w:rPr>
                <w:rFonts w:ascii="Times New Roman" w:hAnsi="Times New Roman" w:cs="Times New Roman"/>
              </w:rPr>
              <w:t>”</w:t>
            </w:r>
            <w:r>
              <w:rPr>
                <w:rFonts w:ascii="Times New Roman" w:hAnsi="Times New Roman" w:cs="Times New Roman"/>
              </w:rPr>
              <w:t>;</w:t>
            </w:r>
            <w:r w:rsidRPr="00F05059">
              <w:rPr>
                <w:rFonts w:ascii="Times New Roman" w:hAnsi="Times New Roman" w:cs="Times New Roman"/>
              </w:rPr>
              <w:t xml:space="preserve"> “Clinicians are provided with EBT training opportunities and ready access to EBT materials (manuals, handouts, equipment).”</w:t>
            </w:r>
          </w:p>
        </w:tc>
        <w:tc>
          <w:tcPr>
            <w:tcW w:w="225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7 items</w:t>
            </w:r>
          </w:p>
          <w:p w:rsidR="00B735AA" w:rsidRDefault="00B735AA" w:rsidP="00B735AA">
            <w:pPr>
              <w:pStyle w:val="ListParagraph"/>
              <w:numPr>
                <w:ilvl w:val="0"/>
                <w:numId w:val="1"/>
              </w:numPr>
              <w:ind w:left="306"/>
              <w:rPr>
                <w:rFonts w:ascii="Times New Roman" w:hAnsi="Times New Roman" w:cs="Times New Roman"/>
              </w:rPr>
            </w:pPr>
            <w:r w:rsidRPr="00F05059">
              <w:rPr>
                <w:rFonts w:ascii="Times New Roman" w:hAnsi="Times New Roman" w:cs="Times New Roman"/>
              </w:rPr>
              <w:t xml:space="preserve">Scale: </w:t>
            </w:r>
          </w:p>
          <w:p w:rsidR="00B735AA" w:rsidRDefault="00B735AA" w:rsidP="00957A9C">
            <w:pPr>
              <w:pStyle w:val="ListParagraph"/>
              <w:ind w:left="306"/>
              <w:rPr>
                <w:rFonts w:ascii="Times New Roman" w:hAnsi="Times New Roman" w:cs="Times New Roman"/>
              </w:rPr>
            </w:pPr>
            <w:r w:rsidRPr="00F05059">
              <w:rPr>
                <w:rFonts w:ascii="Times New Roman" w:hAnsi="Times New Roman" w:cs="Times New Roman"/>
              </w:rPr>
              <w:t xml:space="preserve">1 = Never; </w:t>
            </w:r>
          </w:p>
          <w:p w:rsidR="00B735AA" w:rsidRDefault="00B735AA" w:rsidP="00957A9C">
            <w:pPr>
              <w:pStyle w:val="ListParagraph"/>
              <w:ind w:left="306"/>
              <w:rPr>
                <w:rFonts w:ascii="Times New Roman" w:hAnsi="Times New Roman" w:cs="Times New Roman"/>
              </w:rPr>
            </w:pPr>
            <w:r w:rsidRPr="00F05059">
              <w:rPr>
                <w:rFonts w:ascii="Times New Roman" w:hAnsi="Times New Roman" w:cs="Times New Roman"/>
              </w:rPr>
              <w:t xml:space="preserve">2 = Occasionally; </w:t>
            </w:r>
          </w:p>
          <w:p w:rsidR="00B735AA" w:rsidRDefault="00B735AA" w:rsidP="00957A9C">
            <w:pPr>
              <w:pStyle w:val="ListParagraph"/>
              <w:ind w:left="306"/>
              <w:rPr>
                <w:rFonts w:ascii="Times New Roman" w:hAnsi="Times New Roman" w:cs="Times New Roman"/>
              </w:rPr>
            </w:pPr>
            <w:r w:rsidRPr="00F05059">
              <w:rPr>
                <w:rFonts w:ascii="Times New Roman" w:hAnsi="Times New Roman" w:cs="Times New Roman"/>
              </w:rPr>
              <w:t xml:space="preserve">3 = Most of the time; </w:t>
            </w:r>
          </w:p>
          <w:p w:rsidR="00B735AA" w:rsidRPr="00F05059" w:rsidRDefault="00B735AA" w:rsidP="00957A9C">
            <w:pPr>
              <w:pStyle w:val="ListParagraph"/>
              <w:ind w:left="306"/>
              <w:rPr>
                <w:rFonts w:ascii="Times New Roman" w:hAnsi="Times New Roman" w:cs="Times New Roman"/>
              </w:rPr>
            </w:pPr>
            <w:r w:rsidRPr="00F05059">
              <w:rPr>
                <w:rFonts w:ascii="Times New Roman" w:hAnsi="Times New Roman" w:cs="Times New Roman"/>
              </w:rPr>
              <w:t>4=Ongoing/</w:t>
            </w:r>
            <w:r>
              <w:rPr>
                <w:rFonts w:ascii="Times New Roman" w:hAnsi="Times New Roman" w:cs="Times New Roman"/>
              </w:rPr>
              <w:t xml:space="preserve"> </w:t>
            </w:r>
            <w:r w:rsidRPr="00F05059">
              <w:rPr>
                <w:rFonts w:ascii="Times New Roman" w:hAnsi="Times New Roman" w:cs="Times New Roman"/>
              </w:rPr>
              <w:t>Routine</w:t>
            </w:r>
          </w:p>
        </w:tc>
        <w:tc>
          <w:tcPr>
            <w:tcW w:w="2430" w:type="dxa"/>
            <w:tcBorders>
              <w:left w:val="nil"/>
              <w:right w:val="nil"/>
            </w:tcBorders>
          </w:tcPr>
          <w:p w:rsidR="00B735AA" w:rsidRPr="009A3E5E"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Internal reliability Cronbach’s </w:t>
            </w:r>
          </w:p>
          <w:p w:rsidR="00B735AA" w:rsidRPr="00413386" w:rsidRDefault="00B735AA" w:rsidP="00957A9C">
            <w:pPr>
              <w:pStyle w:val="ListParagraph"/>
              <w:ind w:left="306"/>
              <w:rPr>
                <w:rFonts w:ascii="Times New Roman" w:hAnsi="Times New Roman" w:cs="Times New Roman"/>
              </w:rPr>
            </w:pPr>
            <w:r>
              <w:rPr>
                <w:rFonts w:ascii="Times New Roman" w:hAnsi="Times New Roman" w:cs="Times New Roman"/>
              </w:rPr>
              <w:t>α = 0.86</w:t>
            </w:r>
          </w:p>
          <w:p w:rsidR="00B735AA" w:rsidRPr="00F05059"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Construct validity ICC(1,1) = 0.41</w:t>
            </w:r>
          </w:p>
        </w:tc>
      </w:tr>
      <w:tr w:rsidR="00B735AA" w:rsidRPr="00F05059" w:rsidTr="00957A9C">
        <w:tc>
          <w:tcPr>
            <w:tcW w:w="1710" w:type="dxa"/>
            <w:tcBorders>
              <w:left w:val="nil"/>
              <w:right w:val="nil"/>
            </w:tcBorders>
          </w:tcPr>
          <w:p w:rsidR="00B735AA" w:rsidRPr="00F05059" w:rsidRDefault="00B735AA" w:rsidP="00957A9C">
            <w:pPr>
              <w:rPr>
                <w:rFonts w:ascii="Times New Roman" w:hAnsi="Times New Roman" w:cs="Times New Roman"/>
              </w:rPr>
            </w:pPr>
            <w:r>
              <w:rPr>
                <w:rFonts w:ascii="Times New Roman" w:hAnsi="Times New Roman" w:cs="Times New Roman"/>
              </w:rPr>
              <w:t>Participant Characteristics</w:t>
            </w:r>
          </w:p>
        </w:tc>
        <w:tc>
          <w:tcPr>
            <w:tcW w:w="450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sidRPr="00B8199D">
              <w:rPr>
                <w:rFonts w:ascii="Times New Roman" w:hAnsi="Times New Roman" w:cs="Times New Roman"/>
              </w:rPr>
              <w:t xml:space="preserve">Collected information on a variety of demographic and descriptive information including age, sex, ethnicity, race, number of years they had conducted therapy, and whether they felt they mainly used EBTs in their work. </w:t>
            </w:r>
          </w:p>
          <w:p w:rsidR="00B735AA" w:rsidRPr="00842853" w:rsidRDefault="00B735AA" w:rsidP="00B735AA">
            <w:pPr>
              <w:pStyle w:val="ListParagraph"/>
              <w:numPr>
                <w:ilvl w:val="0"/>
                <w:numId w:val="1"/>
              </w:numPr>
              <w:ind w:left="306"/>
              <w:rPr>
                <w:rFonts w:ascii="Times New Roman" w:hAnsi="Times New Roman" w:cs="Times New Roman"/>
              </w:rPr>
            </w:pPr>
            <w:r w:rsidRPr="00842853">
              <w:rPr>
                <w:rFonts w:ascii="Times New Roman" w:hAnsi="Times New Roman" w:cs="Times New Roman"/>
              </w:rPr>
              <w:t xml:space="preserve">Participants indicated the total number of different types of training experiences they had with TF-CBT out of 12 possible options (e.g., “completed a 2-day in-person training,” “read the 2006 TF-CBT book”); experiences were summed. </w:t>
            </w:r>
          </w:p>
          <w:p w:rsidR="00B735AA" w:rsidRDefault="00B735AA" w:rsidP="00B735AA">
            <w:pPr>
              <w:pStyle w:val="ListParagraph"/>
              <w:numPr>
                <w:ilvl w:val="0"/>
                <w:numId w:val="1"/>
              </w:numPr>
              <w:ind w:left="306"/>
              <w:rPr>
                <w:rFonts w:ascii="Times New Roman" w:hAnsi="Times New Roman" w:cs="Times New Roman"/>
              </w:rPr>
            </w:pPr>
            <w:r w:rsidRPr="00B8199D">
              <w:rPr>
                <w:rFonts w:ascii="Times New Roman" w:hAnsi="Times New Roman" w:cs="Times New Roman"/>
              </w:rPr>
              <w:t xml:space="preserve">Participants endorsed their primary theoretical orientation from a list of 10 possible options. </w:t>
            </w:r>
          </w:p>
          <w:p w:rsidR="00B735AA" w:rsidRPr="00B8199D" w:rsidRDefault="00B735AA" w:rsidP="00B735AA">
            <w:pPr>
              <w:pStyle w:val="ListParagraph"/>
              <w:numPr>
                <w:ilvl w:val="0"/>
                <w:numId w:val="1"/>
              </w:numPr>
              <w:ind w:left="306"/>
              <w:rPr>
                <w:rFonts w:ascii="Times New Roman" w:hAnsi="Times New Roman" w:cs="Times New Roman"/>
              </w:rPr>
            </w:pPr>
            <w:r w:rsidRPr="00B8199D">
              <w:rPr>
                <w:rFonts w:ascii="Times New Roman" w:hAnsi="Times New Roman" w:cs="Times New Roman"/>
              </w:rPr>
              <w:t xml:space="preserve">Supervisors provided an estimate of the percentage of time they spent providing supervision, whether they still actively performed clinical work, and chose the TF-CBT element that they felt was most difficult to supervise, which we transformed into a variable indicating </w:t>
            </w:r>
            <w:r w:rsidRPr="00B8199D">
              <w:rPr>
                <w:rFonts w:ascii="Times New Roman" w:hAnsi="Times New Roman" w:cs="Times New Roman"/>
              </w:rPr>
              <w:lastRenderedPageBreak/>
              <w:t>whether or not they chose exposure as the most difficult element to supervise.</w:t>
            </w:r>
          </w:p>
        </w:tc>
        <w:tc>
          <w:tcPr>
            <w:tcW w:w="2250" w:type="dxa"/>
            <w:tcBorders>
              <w:left w:val="nil"/>
              <w:right w:val="nil"/>
            </w:tcBorders>
          </w:tcPr>
          <w:p w:rsidR="00B735AA" w:rsidRPr="00413386" w:rsidRDefault="00B735AA" w:rsidP="00957A9C">
            <w:pPr>
              <w:rPr>
                <w:rFonts w:ascii="Times New Roman" w:hAnsi="Times New Roman" w:cs="Times New Roman"/>
              </w:rPr>
            </w:pPr>
          </w:p>
        </w:tc>
        <w:tc>
          <w:tcPr>
            <w:tcW w:w="2430" w:type="dxa"/>
            <w:tcBorders>
              <w:left w:val="nil"/>
              <w:right w:val="nil"/>
            </w:tcBorders>
          </w:tcPr>
          <w:p w:rsidR="00B735AA" w:rsidRPr="00413386" w:rsidRDefault="00B735AA" w:rsidP="00957A9C">
            <w:pPr>
              <w:rPr>
                <w:rFonts w:ascii="Times New Roman" w:hAnsi="Times New Roman" w:cs="Times New Roman"/>
              </w:rPr>
            </w:pPr>
          </w:p>
        </w:tc>
      </w:tr>
      <w:tr w:rsidR="00B735AA" w:rsidRPr="00F05059" w:rsidTr="00957A9C">
        <w:tc>
          <w:tcPr>
            <w:tcW w:w="1710" w:type="dxa"/>
            <w:tcBorders>
              <w:left w:val="nil"/>
              <w:right w:val="nil"/>
            </w:tcBorders>
          </w:tcPr>
          <w:p w:rsidR="00B735AA" w:rsidRDefault="00B735AA" w:rsidP="00957A9C">
            <w:pPr>
              <w:rPr>
                <w:rFonts w:ascii="Times New Roman" w:hAnsi="Times New Roman" w:cs="Times New Roman"/>
              </w:rPr>
            </w:pPr>
            <w:r>
              <w:rPr>
                <w:rFonts w:ascii="Times New Roman" w:hAnsi="Times New Roman" w:cs="Times New Roman"/>
              </w:rPr>
              <w:lastRenderedPageBreak/>
              <w:t>TF-CBT Self-efficacy</w:t>
            </w:r>
          </w:p>
          <w:p w:rsidR="00B735AA" w:rsidRDefault="00B735AA" w:rsidP="00957A9C">
            <w:pPr>
              <w:rPr>
                <w:rFonts w:ascii="Times New Roman" w:hAnsi="Times New Roman" w:cs="Times New Roman"/>
              </w:rPr>
            </w:pPr>
          </w:p>
          <w:p w:rsidR="00B735AA" w:rsidRPr="004C04E4" w:rsidRDefault="00B735AA" w:rsidP="00957A9C">
            <w:pPr>
              <w:rPr>
                <w:rFonts w:ascii="Times New Roman" w:hAnsi="Times New Roman" w:cs="Times New Roman"/>
                <w:i/>
              </w:rPr>
            </w:pPr>
            <w:r>
              <w:rPr>
                <w:rFonts w:ascii="Times New Roman" w:hAnsi="Times New Roman" w:cs="Times New Roman"/>
                <w:i/>
              </w:rPr>
              <w:t>TF-CBT Perceived Ability Scale</w:t>
            </w:r>
          </w:p>
        </w:tc>
        <w:tc>
          <w:tcPr>
            <w:tcW w:w="4500" w:type="dxa"/>
            <w:tcBorders>
              <w:left w:val="nil"/>
              <w:bottom w:val="single" w:sz="4" w:space="0" w:color="auto"/>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Measured self-reported ability to conduct TF-CBT</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Supervisors and clinicians completed at baseline</w:t>
            </w:r>
          </w:p>
          <w:p w:rsidR="00B735AA" w:rsidRPr="00AB1AFC"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Example items: “Please rate how competent you feel as a clinician… “Completing trauma narratives with children”, and “Analyzing complex clinical situations from a TF-CBT perspective.”</w:t>
            </w:r>
          </w:p>
        </w:tc>
        <w:tc>
          <w:tcPr>
            <w:tcW w:w="225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11 items</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Scale: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1 = not at all;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2 = a little bit;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3 = somewhat;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4 = very much;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5 =</w:t>
            </w:r>
            <w:r w:rsidRPr="009351BA">
              <w:rPr>
                <w:rFonts w:ascii="Times New Roman" w:hAnsi="Times New Roman" w:cs="Times New Roman"/>
              </w:rPr>
              <w:t xml:space="preserve"> exceptionally</w:t>
            </w:r>
          </w:p>
          <w:p w:rsidR="00B735AA" w:rsidRPr="00AB1AFC" w:rsidRDefault="00B735AA" w:rsidP="00957A9C">
            <w:pPr>
              <w:rPr>
                <w:rFonts w:ascii="Times New Roman" w:hAnsi="Times New Roman" w:cs="Times New Roman"/>
              </w:rPr>
            </w:pPr>
          </w:p>
        </w:tc>
        <w:tc>
          <w:tcPr>
            <w:tcW w:w="243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Internal reliability: Cronbach’s </w:t>
            </w:r>
          </w:p>
          <w:p w:rsidR="00B735AA" w:rsidRDefault="00B735AA" w:rsidP="00957A9C">
            <w:pPr>
              <w:pStyle w:val="ListParagraph"/>
              <w:ind w:left="306"/>
              <w:rPr>
                <w:rFonts w:ascii="Times New Roman" w:hAnsi="Times New Roman" w:cs="Times New Roman"/>
              </w:rPr>
            </w:pPr>
            <w:r w:rsidRPr="007F3BC2">
              <w:rPr>
                <w:rFonts w:ascii="Times New Roman" w:hAnsi="Times New Roman" w:cs="Times New Roman"/>
              </w:rPr>
              <w:t>α</w:t>
            </w:r>
            <w:r>
              <w:rPr>
                <w:rFonts w:ascii="Times New Roman" w:hAnsi="Times New Roman" w:cs="Times New Roman"/>
              </w:rPr>
              <w:t xml:space="preserve"> = .92</w:t>
            </w:r>
            <w:r w:rsidRPr="007F3BC2">
              <w:rPr>
                <w:rFonts w:ascii="Times New Roman" w:hAnsi="Times New Roman" w:cs="Times New Roman"/>
              </w:rPr>
              <w:t xml:space="preserve"> </w:t>
            </w:r>
          </w:p>
          <w:p w:rsidR="00B735AA" w:rsidRPr="007F3BC2"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E</w:t>
            </w:r>
            <w:r w:rsidRPr="007F3BC2">
              <w:rPr>
                <w:rFonts w:ascii="Times New Roman" w:hAnsi="Times New Roman" w:cs="Times New Roman"/>
              </w:rPr>
              <w:t>xploratory factor analysis using maximum likelihood extraction in the current sample justified retaining a single factor accounting for 56% of the variance</w:t>
            </w:r>
          </w:p>
        </w:tc>
      </w:tr>
      <w:tr w:rsidR="00B735AA" w:rsidRPr="00F05059" w:rsidTr="00957A9C">
        <w:tc>
          <w:tcPr>
            <w:tcW w:w="1710" w:type="dxa"/>
            <w:tcBorders>
              <w:left w:val="nil"/>
              <w:right w:val="nil"/>
            </w:tcBorders>
          </w:tcPr>
          <w:p w:rsidR="00B735AA" w:rsidRDefault="00B735AA" w:rsidP="00957A9C">
            <w:pPr>
              <w:rPr>
                <w:rFonts w:ascii="Times New Roman" w:hAnsi="Times New Roman" w:cs="Times New Roman"/>
              </w:rPr>
            </w:pPr>
            <w:r>
              <w:rPr>
                <w:rFonts w:ascii="Times New Roman" w:hAnsi="Times New Roman" w:cs="Times New Roman"/>
              </w:rPr>
              <w:t>Declarative knowledge and skill with TF-CBT and exposure</w:t>
            </w:r>
          </w:p>
          <w:p w:rsidR="00B735AA" w:rsidRDefault="00B735AA" w:rsidP="00957A9C">
            <w:pPr>
              <w:rPr>
                <w:rFonts w:ascii="Times New Roman" w:hAnsi="Times New Roman" w:cs="Times New Roman"/>
              </w:rPr>
            </w:pPr>
          </w:p>
          <w:p w:rsidR="00B735AA" w:rsidRPr="00D46EBB" w:rsidRDefault="00B735AA" w:rsidP="00957A9C">
            <w:pPr>
              <w:rPr>
                <w:rFonts w:ascii="Times New Roman" w:hAnsi="Times New Roman" w:cs="Times New Roman"/>
                <w:i/>
              </w:rPr>
            </w:pPr>
            <w:r>
              <w:rPr>
                <w:rFonts w:ascii="Times New Roman" w:hAnsi="Times New Roman" w:cs="Times New Roman"/>
                <w:i/>
              </w:rPr>
              <w:t>Skill in Implementing Components: Trauma and PTSD Scale</w:t>
            </w:r>
          </w:p>
        </w:tc>
        <w:tc>
          <w:tcPr>
            <w:tcW w:w="450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Measured declarative knowledge and skill with</w:t>
            </w:r>
            <w:r w:rsidRPr="009351BA">
              <w:rPr>
                <w:rFonts w:ascii="Times New Roman" w:hAnsi="Times New Roman" w:cs="Times New Roman"/>
              </w:rPr>
              <w:t xml:space="preserve"> TF-CBT</w:t>
            </w:r>
            <w:r>
              <w:rPr>
                <w:rFonts w:ascii="Times New Roman" w:hAnsi="Times New Roman" w:cs="Times New Roman"/>
              </w:rPr>
              <w:t>,</w:t>
            </w:r>
            <w:r w:rsidRPr="009351BA">
              <w:rPr>
                <w:rFonts w:ascii="Times New Roman" w:hAnsi="Times New Roman" w:cs="Times New Roman"/>
              </w:rPr>
              <w:t xml:space="preserve"> </w:t>
            </w:r>
            <w:r>
              <w:rPr>
                <w:rFonts w:ascii="Times New Roman" w:hAnsi="Times New Roman" w:cs="Times New Roman"/>
              </w:rPr>
              <w:t xml:space="preserve">adapted from two previous measures </w:t>
            </w:r>
            <w:r w:rsidRPr="009351BA">
              <w:rPr>
                <w:rFonts w:ascii="Times New Roman" w:hAnsi="Times New Roman" w:cs="Times New Roman"/>
              </w:rPr>
              <w:t xml:space="preserve">(Child Abuse Research </w:t>
            </w:r>
            <w:r>
              <w:rPr>
                <w:rFonts w:ascii="Times New Roman" w:hAnsi="Times New Roman" w:cs="Times New Roman"/>
              </w:rPr>
              <w:t xml:space="preserve">Education </w:t>
            </w:r>
            <w:r w:rsidRPr="009351BA">
              <w:rPr>
                <w:rFonts w:ascii="Times New Roman" w:hAnsi="Times New Roman" w:cs="Times New Roman"/>
              </w:rPr>
              <w:t>and Service Institute, Rowan University</w:t>
            </w:r>
            <w:r>
              <w:rPr>
                <w:rFonts w:ascii="Times New Roman" w:hAnsi="Times New Roman" w:cs="Times New Roman"/>
              </w:rPr>
              <w:t>,</w:t>
            </w:r>
            <w:r w:rsidRPr="009351BA">
              <w:rPr>
                <w:rFonts w:ascii="Times New Roman" w:hAnsi="Times New Roman" w:cs="Times New Roman"/>
              </w:rPr>
              <w:t xml:space="preserve"> 2013</w:t>
            </w:r>
            <w:r>
              <w:rPr>
                <w:rFonts w:ascii="Times New Roman" w:hAnsi="Times New Roman" w:cs="Times New Roman"/>
              </w:rPr>
              <w:t xml:space="preserve">, unpublished measure; </w:t>
            </w:r>
            <w:r w:rsidRPr="009351BA">
              <w:rPr>
                <w:rFonts w:ascii="Times New Roman" w:hAnsi="Times New Roman" w:cs="Times New Roman"/>
              </w:rPr>
              <w:t>National Crime Victims Research and Treatment Center, MUSC, 2010</w:t>
            </w:r>
            <w:r>
              <w:rPr>
                <w:rFonts w:ascii="Times New Roman" w:hAnsi="Times New Roman" w:cs="Times New Roman"/>
              </w:rPr>
              <w:t>, unpublished measure</w:t>
            </w:r>
            <w:r w:rsidRPr="009351BA">
              <w:rPr>
                <w:rFonts w:ascii="Times New Roman" w:hAnsi="Times New Roman" w:cs="Times New Roman"/>
              </w:rPr>
              <w:t>)</w:t>
            </w:r>
            <w:r>
              <w:rPr>
                <w:rFonts w:ascii="Times New Roman" w:hAnsi="Times New Roman" w:cs="Times New Roman"/>
              </w:rPr>
              <w:t>.</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Supervisors and clinicians completed at baseline</w:t>
            </w:r>
          </w:p>
          <w:p w:rsidR="00B735AA" w:rsidRPr="007F3BC2"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Example items: “</w:t>
            </w:r>
            <w:r w:rsidRPr="00CA63B7">
              <w:rPr>
                <w:rFonts w:ascii="Times New Roman" w:hAnsi="Times New Roman" w:cs="Times New Roman"/>
              </w:rPr>
              <w:t>Please choose the response that best describes your understanding and skill in implementing</w:t>
            </w:r>
            <w:r>
              <w:rPr>
                <w:rFonts w:ascii="Times New Roman" w:hAnsi="Times New Roman" w:cs="Times New Roman"/>
              </w:rPr>
              <w:t xml:space="preserve">… “Psychoeducation (e.g., </w:t>
            </w:r>
            <w:r w:rsidRPr="006F27EF">
              <w:rPr>
                <w:rFonts w:ascii="Times New Roman" w:hAnsi="Times New Roman" w:cs="Times New Roman"/>
              </w:rPr>
              <w:t>directive education about normal reactions to trauma</w:t>
            </w:r>
            <w:r>
              <w:rPr>
                <w:rFonts w:ascii="Times New Roman" w:hAnsi="Times New Roman" w:cs="Times New Roman"/>
              </w:rPr>
              <w:t xml:space="preserve">)”; “In Vivo Exposure </w:t>
            </w:r>
            <w:r w:rsidRPr="007F3BC2">
              <w:rPr>
                <w:rFonts w:ascii="Times New Roman" w:hAnsi="Times New Roman" w:cs="Times New Roman"/>
              </w:rPr>
              <w:t>(desensitization to resolve avoidant behaviors/triggers in the environment)</w:t>
            </w:r>
            <w:r>
              <w:rPr>
                <w:rFonts w:ascii="Times New Roman" w:hAnsi="Times New Roman" w:cs="Times New Roman"/>
              </w:rPr>
              <w:t>”</w:t>
            </w:r>
          </w:p>
        </w:tc>
        <w:tc>
          <w:tcPr>
            <w:tcW w:w="225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11 items</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Scale: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0 = N/A (I do not use);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1 = Minimal;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2 = Minimal to moderate;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3 = Moderate;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 xml:space="preserve">4 = Moderate to advanced; </w:t>
            </w:r>
          </w:p>
          <w:p w:rsidR="00B735AA" w:rsidRPr="007F3BC2" w:rsidRDefault="00B735AA" w:rsidP="00957A9C">
            <w:pPr>
              <w:pStyle w:val="ListParagraph"/>
              <w:ind w:left="306"/>
              <w:rPr>
                <w:rFonts w:ascii="Times New Roman" w:hAnsi="Times New Roman" w:cs="Times New Roman"/>
              </w:rPr>
            </w:pPr>
            <w:r>
              <w:rPr>
                <w:rFonts w:ascii="Times New Roman" w:hAnsi="Times New Roman" w:cs="Times New Roman"/>
              </w:rPr>
              <w:t>5 = Advanced</w:t>
            </w:r>
          </w:p>
        </w:tc>
        <w:tc>
          <w:tcPr>
            <w:tcW w:w="243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Internal reliability: Cronbach’s </w:t>
            </w:r>
          </w:p>
          <w:p w:rsidR="00B735AA" w:rsidRDefault="00B735AA" w:rsidP="00957A9C">
            <w:pPr>
              <w:pStyle w:val="ListParagraph"/>
              <w:ind w:left="306"/>
              <w:rPr>
                <w:rFonts w:ascii="Times New Roman" w:hAnsi="Times New Roman" w:cs="Times New Roman"/>
              </w:rPr>
            </w:pPr>
            <w:r>
              <w:rPr>
                <w:rFonts w:ascii="Times New Roman" w:hAnsi="Times New Roman" w:cs="Times New Roman"/>
              </w:rPr>
              <w:t>α = .91</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Exploratory factor analysis from earlier version of scale identified the 11 items retained for the current scale as one factor</w:t>
            </w:r>
          </w:p>
        </w:tc>
      </w:tr>
      <w:tr w:rsidR="00B735AA" w:rsidRPr="00F05059" w:rsidTr="00957A9C">
        <w:tc>
          <w:tcPr>
            <w:tcW w:w="1710" w:type="dxa"/>
            <w:tcBorders>
              <w:left w:val="nil"/>
              <w:right w:val="nil"/>
            </w:tcBorders>
          </w:tcPr>
          <w:p w:rsidR="00B735AA" w:rsidRDefault="00B735AA" w:rsidP="00957A9C">
            <w:pPr>
              <w:rPr>
                <w:rFonts w:ascii="Times New Roman" w:hAnsi="Times New Roman" w:cs="Times New Roman"/>
              </w:rPr>
            </w:pPr>
            <w:r>
              <w:rPr>
                <w:rFonts w:ascii="Times New Roman" w:hAnsi="Times New Roman" w:cs="Times New Roman"/>
              </w:rPr>
              <w:t>TF-CBT Knowledge</w:t>
            </w:r>
          </w:p>
          <w:p w:rsidR="00B735AA" w:rsidRDefault="00B735AA" w:rsidP="00957A9C">
            <w:pPr>
              <w:rPr>
                <w:rFonts w:ascii="Times New Roman" w:hAnsi="Times New Roman" w:cs="Times New Roman"/>
              </w:rPr>
            </w:pPr>
          </w:p>
          <w:p w:rsidR="00B735AA" w:rsidRPr="00F51472" w:rsidRDefault="00B735AA" w:rsidP="00957A9C">
            <w:pPr>
              <w:rPr>
                <w:rFonts w:ascii="Times New Roman" w:hAnsi="Times New Roman" w:cs="Times New Roman"/>
                <w:i/>
              </w:rPr>
            </w:pPr>
            <w:r>
              <w:rPr>
                <w:rFonts w:ascii="Times New Roman" w:hAnsi="Times New Roman" w:cs="Times New Roman"/>
                <w:i/>
              </w:rPr>
              <w:t>STEPS TF-CBT Knowledge Scale</w:t>
            </w:r>
          </w:p>
        </w:tc>
        <w:tc>
          <w:tcPr>
            <w:tcW w:w="4500" w:type="dxa"/>
            <w:tcBorders>
              <w:left w:val="nil"/>
              <w:bottom w:val="single" w:sz="4" w:space="0" w:color="auto"/>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Measures knowledge of TF-CBT using a multiple choice and true/false test questions combining items from</w:t>
            </w:r>
            <w:r w:rsidRPr="009351BA">
              <w:rPr>
                <w:rFonts w:ascii="Times New Roman" w:hAnsi="Times New Roman" w:cs="Times New Roman"/>
              </w:rPr>
              <w:t xml:space="preserve"> </w:t>
            </w:r>
            <w:r>
              <w:rPr>
                <w:rFonts w:ascii="Times New Roman" w:hAnsi="Times New Roman" w:cs="Times New Roman"/>
              </w:rPr>
              <w:t xml:space="preserve">the </w:t>
            </w:r>
            <w:r w:rsidRPr="009351BA">
              <w:rPr>
                <w:rFonts w:ascii="Times New Roman" w:hAnsi="Times New Roman" w:cs="Times New Roman"/>
              </w:rPr>
              <w:t>Denver Post Health Survey</w:t>
            </w:r>
            <w:r>
              <w:rPr>
                <w:rFonts w:ascii="Times New Roman" w:hAnsi="Times New Roman" w:cs="Times New Roman"/>
              </w:rPr>
              <w:t xml:space="preserve"> (Fitzgerald, 2010, unpublished measure, 2010) </w:t>
            </w:r>
            <w:r w:rsidRPr="009351BA">
              <w:rPr>
                <w:rFonts w:ascii="Times New Roman" w:hAnsi="Times New Roman" w:cs="Times New Roman"/>
              </w:rPr>
              <w:t xml:space="preserve">with items added by our team, </w:t>
            </w:r>
            <w:r>
              <w:rPr>
                <w:rFonts w:ascii="Times New Roman" w:hAnsi="Times New Roman" w:cs="Times New Roman"/>
              </w:rPr>
              <w:t>and including content</w:t>
            </w:r>
            <w:r w:rsidRPr="009351BA">
              <w:rPr>
                <w:rFonts w:ascii="Times New Roman" w:hAnsi="Times New Roman" w:cs="Times New Roman"/>
              </w:rPr>
              <w:t xml:space="preserve"> similar to th</w:t>
            </w:r>
            <w:r>
              <w:rPr>
                <w:rFonts w:ascii="Times New Roman" w:hAnsi="Times New Roman" w:cs="Times New Roman"/>
              </w:rPr>
              <w:t>e knowledge test used for</w:t>
            </w:r>
            <w:r w:rsidRPr="009351BA">
              <w:rPr>
                <w:rFonts w:ascii="Times New Roman" w:hAnsi="Times New Roman" w:cs="Times New Roman"/>
              </w:rPr>
              <w:t xml:space="preserve"> the </w:t>
            </w:r>
            <w:r>
              <w:rPr>
                <w:rFonts w:ascii="Times New Roman" w:hAnsi="Times New Roman" w:cs="Times New Roman"/>
              </w:rPr>
              <w:t xml:space="preserve">clinician </w:t>
            </w:r>
            <w:r w:rsidRPr="009351BA">
              <w:rPr>
                <w:rFonts w:ascii="Times New Roman" w:hAnsi="Times New Roman" w:cs="Times New Roman"/>
              </w:rPr>
              <w:t>TF-CBT certification program (</w:t>
            </w:r>
            <w:hyperlink r:id="rId7" w:history="1">
              <w:r w:rsidRPr="00B8199D">
                <w:t>https://tfcbt.org</w:t>
              </w:r>
            </w:hyperlink>
            <w:r w:rsidRPr="00414A00">
              <w:rPr>
                <w:rFonts w:ascii="Times New Roman" w:hAnsi="Times New Roman" w:cs="Times New Roman"/>
              </w:rPr>
              <w:t>).</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Supervisors and clinicians completed at baseline</w:t>
            </w:r>
          </w:p>
          <w:p w:rsidR="00B735AA" w:rsidRPr="007F3BC2"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Example items: “When teaching cognitive coping, wait to challenge </w:t>
            </w:r>
            <w:r>
              <w:rPr>
                <w:rFonts w:ascii="Times New Roman" w:hAnsi="Times New Roman" w:cs="Times New Roman"/>
              </w:rPr>
              <w:lastRenderedPageBreak/>
              <w:t>distorted/unhelpful cognitions related to trauma.”; “In in vivo exposure, clinicians should do all of the following except…”</w:t>
            </w:r>
            <w:r w:rsidRPr="007F3BC2">
              <w:rPr>
                <w:rFonts w:ascii="Times New Roman" w:hAnsi="Times New Roman" w:cs="Times New Roman"/>
              </w:rPr>
              <w:t xml:space="preserve"> </w:t>
            </w:r>
          </w:p>
        </w:tc>
        <w:tc>
          <w:tcPr>
            <w:tcW w:w="2250" w:type="dxa"/>
            <w:tcBorders>
              <w:left w:val="nil"/>
              <w:right w:val="nil"/>
            </w:tcBorders>
          </w:tcPr>
          <w:p w:rsidR="00B735AA" w:rsidRDefault="00B735AA" w:rsidP="00B735AA">
            <w:pPr>
              <w:pStyle w:val="ListParagraph"/>
              <w:numPr>
                <w:ilvl w:val="0"/>
                <w:numId w:val="1"/>
              </w:numPr>
              <w:ind w:left="345"/>
              <w:rPr>
                <w:rFonts w:ascii="Times New Roman" w:hAnsi="Times New Roman" w:cs="Times New Roman"/>
              </w:rPr>
            </w:pPr>
            <w:r>
              <w:rPr>
                <w:rFonts w:ascii="Times New Roman" w:hAnsi="Times New Roman" w:cs="Times New Roman"/>
              </w:rPr>
              <w:lastRenderedPageBreak/>
              <w:t>13 items</w:t>
            </w:r>
          </w:p>
          <w:p w:rsidR="00B735AA" w:rsidRPr="007F3BC2" w:rsidRDefault="00B735AA" w:rsidP="00B735AA">
            <w:pPr>
              <w:pStyle w:val="ListParagraph"/>
              <w:numPr>
                <w:ilvl w:val="0"/>
                <w:numId w:val="1"/>
              </w:numPr>
              <w:ind w:left="345"/>
              <w:rPr>
                <w:rFonts w:ascii="Times New Roman" w:hAnsi="Times New Roman" w:cs="Times New Roman"/>
              </w:rPr>
            </w:pPr>
            <w:r>
              <w:rPr>
                <w:rFonts w:ascii="Times New Roman" w:hAnsi="Times New Roman" w:cs="Times New Roman"/>
              </w:rPr>
              <w:t>Scale: 8 questions are true/false, 5 questions are multiple choice</w:t>
            </w:r>
          </w:p>
        </w:tc>
        <w:tc>
          <w:tcPr>
            <w:tcW w:w="243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sidRPr="00610F91">
              <w:rPr>
                <w:rFonts w:ascii="Times New Roman" w:hAnsi="Times New Roman" w:cs="Times New Roman"/>
              </w:rPr>
              <w:t xml:space="preserve">Average item difficulty was 0.70 (range 0.31–0.93), meaning an average of 70% of respondents answered correctly. </w:t>
            </w:r>
          </w:p>
          <w:p w:rsidR="00B735AA" w:rsidRPr="00610F91" w:rsidRDefault="00B735AA" w:rsidP="00B735AA">
            <w:pPr>
              <w:pStyle w:val="ListParagraph"/>
              <w:numPr>
                <w:ilvl w:val="0"/>
                <w:numId w:val="1"/>
              </w:numPr>
              <w:ind w:left="306"/>
              <w:rPr>
                <w:rFonts w:ascii="Times New Roman" w:hAnsi="Times New Roman" w:cs="Times New Roman"/>
              </w:rPr>
            </w:pPr>
            <w:r w:rsidRPr="00610F91">
              <w:rPr>
                <w:rFonts w:ascii="Times New Roman" w:hAnsi="Times New Roman" w:cs="Times New Roman"/>
              </w:rPr>
              <w:t xml:space="preserve">Average item discrimination was 0.28 (range 0.14–0.37), demonstrating a good relation </w:t>
            </w:r>
            <w:r w:rsidRPr="00610F91">
              <w:rPr>
                <w:rFonts w:ascii="Times New Roman" w:hAnsi="Times New Roman" w:cs="Times New Roman"/>
              </w:rPr>
              <w:lastRenderedPageBreak/>
              <w:t>between the probability of answering each item correctly and the respondents’ t</w:t>
            </w:r>
            <w:r>
              <w:rPr>
                <w:rFonts w:ascii="Times New Roman" w:hAnsi="Times New Roman" w:cs="Times New Roman"/>
              </w:rPr>
              <w:t xml:space="preserve">otal score </w:t>
            </w:r>
            <w:r>
              <w:rPr>
                <w:rFonts w:ascii="Times New Roman" w:hAnsi="Times New Roman" w:cs="Times New Roman"/>
              </w:rPr>
              <w:fldChar w:fldCharType="begin" w:fldLock="1"/>
            </w:r>
            <w:r>
              <w:rPr>
                <w:rFonts w:ascii="Times New Roman" w:hAnsi="Times New Roman" w:cs="Times New Roman"/>
              </w:rPr>
              <w:instrText>ADDIN CSL_CITATION {"citationItems":[{"id":"ITEM-1","itemData":{"DOI":"10.1007/s10488-017-0796-z","ISSN":"0894-587X, 1573-3289","abstract":"Supervisors are an underutilized resource for supporting evidence-based treatments (EBTs) in community mental health. Little is known about how EBT-trained supervisors use supervision time. Primary aims were to describe supervision (e.g., modality, frequency), examine functions of individual supervision, and examine factors associated with time allocation to supervision functions. Results from 56 supervisors and 207 clinicians from 25 organizations indicate high prevalence of individual supervision, often alongside group and informal supervision. Individual supervision serves a wide range of functions, with substantial variation at the supervisor-level. Implementation climate was the strongest predictor of time allocation to clinical and EBT-relevant functions.","author":[{"dropping-particle":"","family":"Dorsey","given":"S.","non-dropping-particle":"","parse-names":false,"suffix":""},{"dropping-particle":"","family":"Pullmann","given":"Michael D","non-dropping-particle":"","parse-names":false,"suffix":""},{"dropping-particle":"","family":"Kerns","given":"Suzanne E U","non-dropping-particle":"","parse-names":false,"suffix":""},{"dropping-particle":"","family":"Jungbluth","given":"Nathaniel","non-dropping-particle":"","parse-names":false,"suffix":""},{"dropping-particle":"","family":"Meza","given":"Rosemary","non-dropping-particle":"","parse-names":false,"suffix":""},{"dropping-particle":"","family":"Thompson","given":"Kelly","non-dropping-particle":"","parse-names":false,"suffix":""},{"dropping-particle":"","family":"Berliner","given":"Lucy","non-dropping-particle":"","parse-names":false,"suffix":""}],"container-title":"Administration and Policy in Mental Health and Mental Health Services Research","id":"ITEM-1","issue":"6","issued":{"date-parts":[["2017","3"]]},"page":"838-852","title":"The juggling act of supervision in community mental health: Implications for supporting evidence-based teatment","title-short":"The {Juggling} {Act} of {Supervision} in {Communit","type":"article-journal","volume":"44"},"uris":["http://www.mendeley.com/documents/?uuid=328bd2a4-ec49-4ad6-8eb6-d35ceddeeb7a"]}],"mendeley":{"formattedCitation":"(Dorsey, Pullmann, et al., 2017)","plainTextFormattedCitation":"(Dorsey, Pullmann, et al., 2017)","previouslyFormattedCitation":"(Dorsey, Pullmann, et al., 2017)"},"properties":{"noteIndex":0},"schema":"https://github.com/citation-style-language/schema/raw/master/csl-citation.json"}</w:instrText>
            </w:r>
            <w:r>
              <w:rPr>
                <w:rFonts w:ascii="Times New Roman" w:hAnsi="Times New Roman" w:cs="Times New Roman"/>
              </w:rPr>
              <w:fldChar w:fldCharType="separate"/>
            </w:r>
            <w:r w:rsidRPr="00612987">
              <w:rPr>
                <w:rFonts w:ascii="Times New Roman" w:hAnsi="Times New Roman" w:cs="Times New Roman"/>
                <w:noProof/>
              </w:rPr>
              <w:t>(Dorsey, Pullmann, et al., 2017)</w:t>
            </w:r>
            <w:r>
              <w:rPr>
                <w:rFonts w:ascii="Times New Roman" w:hAnsi="Times New Roman" w:cs="Times New Roman"/>
              </w:rPr>
              <w:fldChar w:fldCharType="end"/>
            </w:r>
            <w:r>
              <w:rPr>
                <w:rFonts w:ascii="Times New Roman" w:hAnsi="Times New Roman" w:cs="Times New Roman"/>
              </w:rPr>
              <w:t>.</w:t>
            </w:r>
            <w:r w:rsidRPr="00610F91">
              <w:rPr>
                <w:rFonts w:ascii="Times New Roman" w:hAnsi="Times New Roman" w:cs="Times New Roman"/>
              </w:rPr>
              <w:t xml:space="preserve"> </w:t>
            </w:r>
          </w:p>
          <w:p w:rsidR="00B735AA" w:rsidRDefault="00B735AA" w:rsidP="00B735AA">
            <w:pPr>
              <w:pStyle w:val="ListParagraph"/>
              <w:numPr>
                <w:ilvl w:val="0"/>
                <w:numId w:val="1"/>
              </w:numPr>
              <w:ind w:left="306"/>
              <w:rPr>
                <w:rFonts w:ascii="Times New Roman" w:hAnsi="Times New Roman" w:cs="Times New Roman"/>
              </w:rPr>
            </w:pPr>
            <w:r w:rsidRPr="00610F91">
              <w:rPr>
                <w:rFonts w:ascii="Times New Roman" w:hAnsi="Times New Roman" w:cs="Times New Roman"/>
              </w:rPr>
              <w:t>Convergent validity: TF-CBT knowledge was positively associated with the extensiveness of TF-CBT training reported by clinicians (r = .42, p &lt;. 001) and the related, but distinct construct of TF-CBT efficacy (r = .27</w:t>
            </w:r>
            <w:r>
              <w:rPr>
                <w:rFonts w:ascii="Times New Roman" w:hAnsi="Times New Roman" w:cs="Times New Roman"/>
              </w:rPr>
              <w:t xml:space="preserve">, p &lt;. 001; </w:t>
            </w:r>
            <w:r>
              <w:rPr>
                <w:rFonts w:ascii="Times New Roman" w:hAnsi="Times New Roman" w:cs="Times New Roman"/>
              </w:rPr>
              <w:fldChar w:fldCharType="begin" w:fldLock="1"/>
            </w:r>
            <w:r>
              <w:rPr>
                <w:rFonts w:ascii="Times New Roman" w:hAnsi="Times New Roman" w:cs="Times New Roman"/>
              </w:rPr>
              <w:instrText>ADDIN CSL_CITATION {"citationItems":[{"id":"ITEM-1","itemData":{"DOI":"10.1007/s10488-017-0796-z","ISSN":"0894-587X, 1573-3289","abstract":"Supervisors are an underutilized resource for supporting evidence-based treatments (EBTs) in community mental health. Little is known about how EBT-trained supervisors use supervision time. Primary aims were to describe supervision (e.g., modality, frequency), examine functions of individual supervision, and examine factors associated with time allocation to supervision functions. Results from 56 supervisors and 207 clinicians from 25 organizations indicate high prevalence of individual supervision, often alongside group and informal supervision. Individual supervision serves a wide range of functions, with substantial variation at the supervisor-level. Implementation climate was the strongest predictor of time allocation to clinical and EBT-relevant functions.","author":[{"dropping-particle":"","family":"Dorsey","given":"S.","non-dropping-particle":"","parse-names":false,"suffix":""},{"dropping-particle":"","family":"Pullmann","given":"Michael D","non-dropping-particle":"","parse-names":false,"suffix":""},{"dropping-particle":"","family":"Kerns","given":"Suzanne E U","non-dropping-particle":"","parse-names":false,"suffix":""},{"dropping-particle":"","family":"Jungbluth","given":"Nathaniel","non-dropping-particle":"","parse-names":false,"suffix":""},{"dropping-particle":"","family":"Meza","given":"Rosemary","non-dropping-particle":"","parse-names":false,"suffix":""},{"dropping-particle":"","family":"Thompson","given":"Kelly","non-dropping-particle":"","parse-names":false,"suffix":""},{"dropping-particle":"","family":"Berliner","given":"Lucy","non-dropping-particle":"","parse-names":false,"suffix":""}],"container-title":"Administration and Policy in Mental Health and Mental Health Services Research","id":"ITEM-1","issue":"6","issued":{"date-parts":[["2017","3"]]},"page":"838-852","title":"The juggling act of supervision in community mental health: Implications for supporting evidence-based teatment","title-short":"The {Juggling} {Act} of {Supervision} in {Communit","type":"article-journal","volume":"44"},"uris":["http://www.mendeley.com/documents/?uuid=328bd2a4-ec49-4ad6-8eb6-d35ceddeeb7a"]}],"mendeley":{"formattedCitation":"(Dorsey, Pullmann, et al., 2017)","plainTextFormattedCitation":"(Dorsey, Pullmann, et al., 2017)","previouslyFormattedCitation":"(Dorsey, Pullmann, et al., 2017)"},"properties":{"noteIndex":0},"schema":"https://github.com/citation-style-language/schema/raw/master/csl-citation.json"}</w:instrText>
            </w:r>
            <w:r>
              <w:rPr>
                <w:rFonts w:ascii="Times New Roman" w:hAnsi="Times New Roman" w:cs="Times New Roman"/>
              </w:rPr>
              <w:fldChar w:fldCharType="separate"/>
            </w:r>
            <w:r w:rsidRPr="00612987">
              <w:rPr>
                <w:rFonts w:ascii="Times New Roman" w:hAnsi="Times New Roman" w:cs="Times New Roman"/>
                <w:noProof/>
              </w:rPr>
              <w:t>(Dorsey, Pullmann, et al., 2017)</w:t>
            </w:r>
            <w:r>
              <w:rPr>
                <w:rFonts w:ascii="Times New Roman" w:hAnsi="Times New Roman" w:cs="Times New Roman"/>
              </w:rPr>
              <w:fldChar w:fldCharType="end"/>
            </w:r>
            <w:r w:rsidRPr="00610F91">
              <w:rPr>
                <w:rFonts w:ascii="Times New Roman" w:hAnsi="Times New Roman" w:cs="Times New Roman"/>
              </w:rPr>
              <w:t>.</w:t>
            </w:r>
          </w:p>
        </w:tc>
      </w:tr>
      <w:tr w:rsidR="00B735AA" w:rsidRPr="00F05059" w:rsidTr="00957A9C">
        <w:tc>
          <w:tcPr>
            <w:tcW w:w="1710" w:type="dxa"/>
            <w:tcBorders>
              <w:left w:val="nil"/>
              <w:right w:val="nil"/>
            </w:tcBorders>
          </w:tcPr>
          <w:p w:rsidR="00B735AA" w:rsidRDefault="00B735AA" w:rsidP="00957A9C">
            <w:pPr>
              <w:rPr>
                <w:rFonts w:ascii="Times New Roman" w:hAnsi="Times New Roman" w:cs="Times New Roman"/>
              </w:rPr>
            </w:pPr>
            <w:r>
              <w:rPr>
                <w:rFonts w:ascii="Times New Roman" w:hAnsi="Times New Roman" w:cs="Times New Roman"/>
              </w:rPr>
              <w:lastRenderedPageBreak/>
              <w:t>EBT Attitudes</w:t>
            </w:r>
          </w:p>
          <w:p w:rsidR="00B735AA" w:rsidRDefault="00B735AA" w:rsidP="00957A9C">
            <w:pPr>
              <w:rPr>
                <w:rFonts w:ascii="Times New Roman" w:hAnsi="Times New Roman" w:cs="Times New Roman"/>
              </w:rPr>
            </w:pPr>
          </w:p>
          <w:p w:rsidR="00B735AA" w:rsidRPr="00285C1A" w:rsidRDefault="00B735AA" w:rsidP="00957A9C">
            <w:pPr>
              <w:rPr>
                <w:rFonts w:ascii="Times New Roman" w:hAnsi="Times New Roman" w:cs="Times New Roman"/>
                <w:i/>
              </w:rPr>
            </w:pPr>
            <w:r>
              <w:rPr>
                <w:rFonts w:ascii="Times New Roman" w:hAnsi="Times New Roman" w:cs="Times New Roman"/>
                <w:i/>
              </w:rPr>
              <w:t>Modified Practice Attitude Scale (MPAS)</w:t>
            </w:r>
          </w:p>
        </w:tc>
        <w:tc>
          <w:tcPr>
            <w:tcW w:w="4500" w:type="dxa"/>
            <w:tcBorders>
              <w:left w:val="nil"/>
              <w:bottom w:val="single" w:sz="4" w:space="0" w:color="auto"/>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Measured attitudes </w:t>
            </w:r>
            <w:r w:rsidRPr="00285C1A">
              <w:rPr>
                <w:rFonts w:ascii="Times New Roman" w:hAnsi="Times New Roman" w:cs="Times New Roman"/>
              </w:rPr>
              <w:t>toward EBTs (Borntrager, Chorpita, Higa-McMillan, &amp; Weisz, 2009).</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Supervisors and clinicians completed at baseline</w:t>
            </w:r>
          </w:p>
          <w:p w:rsidR="00B735AA" w:rsidRPr="006A04C1"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Example items: </w:t>
            </w:r>
            <w:r w:rsidRPr="006B453E">
              <w:rPr>
                <w:rFonts w:ascii="Times New Roman" w:hAnsi="Times New Roman" w:cs="Times New Roman"/>
              </w:rPr>
              <w:t>“Clinical</w:t>
            </w:r>
            <w:r>
              <w:rPr>
                <w:rFonts w:ascii="Times New Roman" w:hAnsi="Times New Roman" w:cs="Times New Roman"/>
              </w:rPr>
              <w:t xml:space="preserve"> </w:t>
            </w:r>
            <w:r w:rsidRPr="009D157E">
              <w:rPr>
                <w:rFonts w:ascii="Times New Roman" w:hAnsi="Times New Roman" w:cs="Times New Roman"/>
              </w:rPr>
              <w:t>experience and judgment are more important than using</w:t>
            </w:r>
            <w:r>
              <w:rPr>
                <w:rFonts w:ascii="Times New Roman" w:hAnsi="Times New Roman" w:cs="Times New Roman"/>
              </w:rPr>
              <w:t xml:space="preserve"> </w:t>
            </w:r>
            <w:r w:rsidRPr="006B453E">
              <w:rPr>
                <w:rFonts w:ascii="Times New Roman" w:hAnsi="Times New Roman" w:cs="Times New Roman"/>
              </w:rPr>
              <w:t>evidence-based treatments</w:t>
            </w:r>
            <w:r>
              <w:rPr>
                <w:rFonts w:ascii="Times New Roman" w:hAnsi="Times New Roman" w:cs="Times New Roman"/>
              </w:rPr>
              <w:t>,</w:t>
            </w:r>
            <w:r w:rsidRPr="006B453E">
              <w:rPr>
                <w:rFonts w:ascii="Times New Roman" w:hAnsi="Times New Roman" w:cs="Times New Roman"/>
              </w:rPr>
              <w:t>”</w:t>
            </w:r>
            <w:r>
              <w:rPr>
                <w:rFonts w:ascii="Times New Roman" w:hAnsi="Times New Roman" w:cs="Times New Roman"/>
              </w:rPr>
              <w:t>; “Evidence-based treatments do not allow me to tailor my therapy to each client (reverse scored)”</w:t>
            </w:r>
          </w:p>
        </w:tc>
        <w:tc>
          <w:tcPr>
            <w:tcW w:w="2250" w:type="dxa"/>
            <w:tcBorders>
              <w:left w:val="nil"/>
              <w:right w:val="nil"/>
            </w:tcBorders>
          </w:tcPr>
          <w:p w:rsidR="00B735AA" w:rsidRDefault="00B735AA" w:rsidP="00B735AA">
            <w:pPr>
              <w:pStyle w:val="ListParagraph"/>
              <w:numPr>
                <w:ilvl w:val="0"/>
                <w:numId w:val="1"/>
              </w:numPr>
              <w:ind w:left="345"/>
              <w:rPr>
                <w:rFonts w:ascii="Times New Roman" w:hAnsi="Times New Roman" w:cs="Times New Roman"/>
              </w:rPr>
            </w:pPr>
            <w:r>
              <w:rPr>
                <w:rFonts w:ascii="Times New Roman" w:hAnsi="Times New Roman" w:cs="Times New Roman"/>
              </w:rPr>
              <w:t>5 items</w:t>
            </w:r>
          </w:p>
          <w:p w:rsidR="00B735AA" w:rsidRDefault="00B735AA" w:rsidP="00B735AA">
            <w:pPr>
              <w:pStyle w:val="ListParagraph"/>
              <w:numPr>
                <w:ilvl w:val="0"/>
                <w:numId w:val="1"/>
              </w:numPr>
              <w:ind w:left="345"/>
              <w:rPr>
                <w:rFonts w:ascii="Times New Roman" w:hAnsi="Times New Roman" w:cs="Times New Roman"/>
              </w:rPr>
            </w:pPr>
            <w:r>
              <w:rPr>
                <w:rFonts w:ascii="Times New Roman" w:hAnsi="Times New Roman" w:cs="Times New Roman"/>
              </w:rPr>
              <w:t xml:space="preserve">Scale: </w:t>
            </w:r>
          </w:p>
          <w:p w:rsidR="00B735AA" w:rsidRDefault="00B735AA" w:rsidP="00957A9C">
            <w:pPr>
              <w:pStyle w:val="ListParagraph"/>
              <w:ind w:left="345"/>
              <w:rPr>
                <w:rFonts w:ascii="Times New Roman" w:hAnsi="Times New Roman" w:cs="Times New Roman"/>
              </w:rPr>
            </w:pPr>
            <w:r>
              <w:rPr>
                <w:rFonts w:ascii="Times New Roman" w:hAnsi="Times New Roman" w:cs="Times New Roman"/>
              </w:rPr>
              <w:t xml:space="preserve">1 = Not at all; </w:t>
            </w:r>
          </w:p>
          <w:p w:rsidR="00B735AA" w:rsidRDefault="00B735AA" w:rsidP="00957A9C">
            <w:pPr>
              <w:pStyle w:val="ListParagraph"/>
              <w:ind w:left="345"/>
              <w:rPr>
                <w:rFonts w:ascii="Times New Roman" w:hAnsi="Times New Roman" w:cs="Times New Roman"/>
              </w:rPr>
            </w:pPr>
            <w:r>
              <w:rPr>
                <w:rFonts w:ascii="Times New Roman" w:hAnsi="Times New Roman" w:cs="Times New Roman"/>
              </w:rPr>
              <w:t xml:space="preserve">2 = To a slight extent; </w:t>
            </w:r>
          </w:p>
          <w:p w:rsidR="00B735AA" w:rsidRDefault="00B735AA" w:rsidP="00957A9C">
            <w:pPr>
              <w:pStyle w:val="ListParagraph"/>
              <w:ind w:left="345"/>
              <w:rPr>
                <w:rFonts w:ascii="Times New Roman" w:hAnsi="Times New Roman" w:cs="Times New Roman"/>
              </w:rPr>
            </w:pPr>
            <w:r>
              <w:rPr>
                <w:rFonts w:ascii="Times New Roman" w:hAnsi="Times New Roman" w:cs="Times New Roman"/>
              </w:rPr>
              <w:t xml:space="preserve">3 = To a moderate extent; </w:t>
            </w:r>
          </w:p>
          <w:p w:rsidR="00B735AA" w:rsidRDefault="00B735AA" w:rsidP="00957A9C">
            <w:pPr>
              <w:pStyle w:val="ListParagraph"/>
              <w:ind w:left="345"/>
              <w:rPr>
                <w:rFonts w:ascii="Times New Roman" w:hAnsi="Times New Roman" w:cs="Times New Roman"/>
              </w:rPr>
            </w:pPr>
            <w:r>
              <w:rPr>
                <w:rFonts w:ascii="Times New Roman" w:hAnsi="Times New Roman" w:cs="Times New Roman"/>
              </w:rPr>
              <w:t xml:space="preserve">4 = To a great extent; </w:t>
            </w:r>
          </w:p>
          <w:p w:rsidR="00B735AA" w:rsidRPr="007F3BC2" w:rsidRDefault="00B735AA" w:rsidP="00957A9C">
            <w:pPr>
              <w:pStyle w:val="ListParagraph"/>
              <w:ind w:left="345"/>
              <w:rPr>
                <w:rFonts w:ascii="Times New Roman" w:hAnsi="Times New Roman" w:cs="Times New Roman"/>
              </w:rPr>
            </w:pPr>
            <w:r>
              <w:rPr>
                <w:rFonts w:ascii="Times New Roman" w:hAnsi="Times New Roman" w:cs="Times New Roman"/>
              </w:rPr>
              <w:t>5 = To a very great extent</w:t>
            </w:r>
          </w:p>
        </w:tc>
        <w:tc>
          <w:tcPr>
            <w:tcW w:w="2430" w:type="dxa"/>
            <w:tcBorders>
              <w:left w:val="nil"/>
              <w:bottom w:val="single" w:sz="4" w:space="0" w:color="auto"/>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Internal consistency Cronbach’s </w:t>
            </w:r>
          </w:p>
          <w:p w:rsidR="00B735AA" w:rsidRDefault="00B735AA" w:rsidP="00957A9C">
            <w:pPr>
              <w:pStyle w:val="ListParagraph"/>
              <w:ind w:left="306"/>
              <w:rPr>
                <w:rFonts w:ascii="Times New Roman" w:hAnsi="Times New Roman" w:cs="Times New Roman"/>
              </w:rPr>
            </w:pPr>
            <w:r w:rsidRPr="006A04C1">
              <w:rPr>
                <w:rFonts w:ascii="Times New Roman" w:hAnsi="Times New Roman" w:cs="Times New Roman"/>
              </w:rPr>
              <w:t>α</w:t>
            </w:r>
            <w:r>
              <w:rPr>
                <w:rFonts w:ascii="Times New Roman" w:hAnsi="Times New Roman" w:cs="Times New Roman"/>
              </w:rPr>
              <w:t xml:space="preserve"> = 0.78</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Convergent validity with another measure of attitudes towards EBTs is moderate (</w:t>
            </w:r>
            <w:r w:rsidRPr="006A04C1">
              <w:rPr>
                <w:rFonts w:ascii="Times New Roman" w:hAnsi="Times New Roman" w:cs="Times New Roman"/>
                <w:i/>
              </w:rPr>
              <w:t>r</w:t>
            </w:r>
            <w:r>
              <w:rPr>
                <w:rFonts w:ascii="Times New Roman" w:hAnsi="Times New Roman" w:cs="Times New Roman"/>
              </w:rPr>
              <w:t xml:space="preserve"> = .36; </w:t>
            </w:r>
            <w:r w:rsidRPr="00285C1A">
              <w:rPr>
                <w:rFonts w:ascii="Times New Roman" w:hAnsi="Times New Roman" w:cs="Times New Roman"/>
              </w:rPr>
              <w:t>Borntrager, Chorpita, Higa-McMillan, &amp; Weisz, 2009</w:t>
            </w:r>
            <w:r>
              <w:rPr>
                <w:rFonts w:ascii="Times New Roman" w:hAnsi="Times New Roman" w:cs="Times New Roman"/>
              </w:rPr>
              <w:t>)</w:t>
            </w:r>
          </w:p>
        </w:tc>
      </w:tr>
      <w:tr w:rsidR="00B735AA" w:rsidRPr="00F05059" w:rsidTr="00957A9C">
        <w:tc>
          <w:tcPr>
            <w:tcW w:w="1710" w:type="dxa"/>
            <w:tcBorders>
              <w:left w:val="nil"/>
              <w:right w:val="nil"/>
            </w:tcBorders>
          </w:tcPr>
          <w:p w:rsidR="00B735AA" w:rsidRDefault="00B735AA" w:rsidP="00957A9C">
            <w:pPr>
              <w:rPr>
                <w:rFonts w:ascii="Times New Roman" w:hAnsi="Times New Roman" w:cs="Times New Roman"/>
              </w:rPr>
            </w:pPr>
            <w:r>
              <w:rPr>
                <w:rFonts w:ascii="Times New Roman" w:hAnsi="Times New Roman" w:cs="Times New Roman"/>
              </w:rPr>
              <w:t>Supervision session time</w:t>
            </w:r>
          </w:p>
          <w:p w:rsidR="00B735AA" w:rsidRPr="00F51472" w:rsidRDefault="00B735AA" w:rsidP="00957A9C">
            <w:pPr>
              <w:rPr>
                <w:rFonts w:ascii="Times New Roman" w:hAnsi="Times New Roman" w:cs="Times New Roman"/>
                <w:i/>
              </w:rPr>
            </w:pPr>
          </w:p>
        </w:tc>
        <w:tc>
          <w:tcPr>
            <w:tcW w:w="450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Length of time of supervision sessions recordings</w:t>
            </w:r>
          </w:p>
          <w:p w:rsidR="00B735AA" w:rsidRPr="008E0507"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Average minutes per case was calculated by dividing the total length of recording time by the number of cases discussed</w:t>
            </w:r>
          </w:p>
        </w:tc>
        <w:tc>
          <w:tcPr>
            <w:tcW w:w="2250" w:type="dxa"/>
            <w:tcBorders>
              <w:left w:val="nil"/>
              <w:right w:val="nil"/>
            </w:tcBorders>
          </w:tcPr>
          <w:p w:rsidR="00B735AA" w:rsidRDefault="00B735AA" w:rsidP="00957A9C">
            <w:pPr>
              <w:pStyle w:val="ListParagraph"/>
              <w:rPr>
                <w:rFonts w:ascii="Times New Roman" w:hAnsi="Times New Roman" w:cs="Times New Roman"/>
              </w:rPr>
            </w:pPr>
          </w:p>
        </w:tc>
        <w:tc>
          <w:tcPr>
            <w:tcW w:w="2430" w:type="dxa"/>
            <w:tcBorders>
              <w:left w:val="nil"/>
              <w:right w:val="nil"/>
            </w:tcBorders>
          </w:tcPr>
          <w:p w:rsidR="00B735AA" w:rsidRPr="006A04C1" w:rsidRDefault="00B735AA" w:rsidP="00957A9C">
            <w:pPr>
              <w:rPr>
                <w:rFonts w:ascii="Times New Roman" w:hAnsi="Times New Roman" w:cs="Times New Roman"/>
              </w:rPr>
            </w:pPr>
          </w:p>
        </w:tc>
      </w:tr>
      <w:tr w:rsidR="00B735AA" w:rsidRPr="00F05059" w:rsidTr="00957A9C">
        <w:tc>
          <w:tcPr>
            <w:tcW w:w="1710" w:type="dxa"/>
            <w:tcBorders>
              <w:left w:val="nil"/>
              <w:right w:val="nil"/>
            </w:tcBorders>
          </w:tcPr>
          <w:p w:rsidR="00B735AA" w:rsidRDefault="00B735AA" w:rsidP="00957A9C">
            <w:pPr>
              <w:rPr>
                <w:rFonts w:ascii="Times New Roman" w:hAnsi="Times New Roman" w:cs="Times New Roman"/>
              </w:rPr>
            </w:pPr>
            <w:r>
              <w:rPr>
                <w:rFonts w:ascii="Times New Roman" w:hAnsi="Times New Roman" w:cs="Times New Roman"/>
              </w:rPr>
              <w:t>Supervision content</w:t>
            </w:r>
          </w:p>
          <w:p w:rsidR="00B735AA" w:rsidRDefault="00B735AA" w:rsidP="00957A9C">
            <w:pPr>
              <w:rPr>
                <w:rFonts w:ascii="Times New Roman" w:hAnsi="Times New Roman" w:cs="Times New Roman"/>
              </w:rPr>
            </w:pPr>
          </w:p>
          <w:p w:rsidR="00B735AA" w:rsidRPr="00F51472" w:rsidRDefault="00B735AA" w:rsidP="00957A9C">
            <w:pPr>
              <w:rPr>
                <w:rFonts w:ascii="Times New Roman" w:hAnsi="Times New Roman" w:cs="Times New Roman"/>
                <w:i/>
              </w:rPr>
            </w:pPr>
            <w:r>
              <w:rPr>
                <w:rFonts w:ascii="Times New Roman" w:hAnsi="Times New Roman" w:cs="Times New Roman"/>
                <w:i/>
              </w:rPr>
              <w:lastRenderedPageBreak/>
              <w:t>Supervision Process Observational Coding System (SPOCS)</w:t>
            </w:r>
          </w:p>
        </w:tc>
        <w:tc>
          <w:tcPr>
            <w:tcW w:w="4500" w:type="dxa"/>
            <w:tcBorders>
              <w:left w:val="nil"/>
              <w:right w:val="nil"/>
            </w:tcBorders>
          </w:tcPr>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lastRenderedPageBreak/>
              <w:t>Measured the intensity of supervision across multiple supervision content areas. A</w:t>
            </w:r>
            <w:r w:rsidRPr="00DC5830">
              <w:rPr>
                <w:rFonts w:ascii="Times New Roman" w:hAnsi="Times New Roman" w:cs="Times New Roman"/>
              </w:rPr>
              <w:t xml:space="preserve">dapted from the Therapeutic </w:t>
            </w:r>
            <w:r w:rsidRPr="00DC5830">
              <w:rPr>
                <w:rFonts w:ascii="Times New Roman" w:hAnsi="Times New Roman" w:cs="Times New Roman"/>
              </w:rPr>
              <w:lastRenderedPageBreak/>
              <w:t>Process Observational Coding System for Child Psychotherapy—Strategies scale (TPOCS-S; McLeod, 2001; McLeod &amp; Weisz, 2010). The TPOCS-S categorizes psychotherapy treatment intervention elements using direct observation. Similarly, the SPOCS categorizes supervision elements, applying Garland et al.’s (2010) adaptation of the TPOCS-S by stratifying codes into content and technique domains. For the current study, we focused only on the content domain.</w:t>
            </w:r>
          </w:p>
          <w:p w:rsidR="00B735AA"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Supervision content was measured by 16 content areas: six practice elements common in many CBT-based interventions (assessment, psychoeducation, coping skills, exposure, cognitive processing, and behavior management); four items specific to TF-CBT and/or trauma treatment (e.g., trauma history, trauma-related safety); three general EBT techniques infrequently included in usual care (client homework, client role-play, and clinician modeling in session); two items frequently mentioned challenges in community settings (engagement and parent-level challenges); and one item to capture case management/other topics. </w:t>
            </w:r>
          </w:p>
          <w:p w:rsidR="00B735AA" w:rsidRPr="0029303C" w:rsidRDefault="00B735AA" w:rsidP="00B735AA">
            <w:pPr>
              <w:pStyle w:val="ListParagraph"/>
              <w:numPr>
                <w:ilvl w:val="0"/>
                <w:numId w:val="1"/>
              </w:numPr>
              <w:ind w:left="306"/>
              <w:rPr>
                <w:rFonts w:ascii="Times New Roman" w:hAnsi="Times New Roman" w:cs="Times New Roman"/>
              </w:rPr>
            </w:pPr>
            <w:r>
              <w:rPr>
                <w:rFonts w:ascii="Times New Roman" w:hAnsi="Times New Roman" w:cs="Times New Roman"/>
              </w:rPr>
              <w:t xml:space="preserve">Three content areas were used in the current study: exposure, assessment, and “other topics” that were not TF-CBT specific, such as crisis/case management and small talk. </w:t>
            </w:r>
          </w:p>
          <w:p w:rsidR="00B735AA" w:rsidRDefault="00B735AA" w:rsidP="00B735AA">
            <w:pPr>
              <w:pStyle w:val="ListParagraph"/>
              <w:numPr>
                <w:ilvl w:val="0"/>
                <w:numId w:val="1"/>
              </w:numPr>
              <w:ind w:left="306"/>
              <w:rPr>
                <w:rFonts w:ascii="Times New Roman" w:hAnsi="Times New Roman" w:cs="Times New Roman"/>
              </w:rPr>
            </w:pPr>
            <w:r w:rsidRPr="00B8199D">
              <w:rPr>
                <w:rFonts w:ascii="Times New Roman" w:hAnsi="Times New Roman" w:cs="Times New Roman"/>
              </w:rPr>
              <w:t>Exposure</w:t>
            </w:r>
            <w:r>
              <w:rPr>
                <w:rFonts w:ascii="Times New Roman" w:hAnsi="Times New Roman" w:cs="Times New Roman"/>
              </w:rPr>
              <w:t xml:space="preserve">: </w:t>
            </w:r>
            <w:r w:rsidRPr="00776213">
              <w:rPr>
                <w:rFonts w:ascii="Times New Roman" w:hAnsi="Times New Roman" w:cs="Times New Roman"/>
              </w:rPr>
              <w:t xml:space="preserve">the therapist and/or supervisor discuss and plan for TN, In Vivo, and/or gradual exposure with the child (e.g., integrating trauma-focused content into PRAC). Discussion may include reviewing how to deliver these components (e.g., identifying trauma triggers; engaging ways to do the TN; how to help a caregiver support a child in using relaxation when triggered), how </w:t>
            </w:r>
            <w:r w:rsidRPr="00776213">
              <w:rPr>
                <w:rFonts w:ascii="Times New Roman" w:hAnsi="Times New Roman" w:cs="Times New Roman"/>
              </w:rPr>
              <w:lastRenderedPageBreak/>
              <w:t>the child responded to these components when delivered, and more general planning issues related to these components (e.g., documentation of the TN, what to do with it after treatment; how to incorporate GE into PRAC).</w:t>
            </w:r>
          </w:p>
          <w:p w:rsidR="00B735AA" w:rsidRDefault="00B735AA" w:rsidP="00B735AA">
            <w:pPr>
              <w:pStyle w:val="ListParagraph"/>
              <w:numPr>
                <w:ilvl w:val="0"/>
                <w:numId w:val="1"/>
              </w:numPr>
              <w:rPr>
                <w:rFonts w:ascii="Times New Roman" w:hAnsi="Times New Roman" w:cs="Times New Roman"/>
              </w:rPr>
            </w:pPr>
            <w:r>
              <w:rPr>
                <w:rFonts w:ascii="Times New Roman" w:hAnsi="Times New Roman" w:cs="Times New Roman"/>
              </w:rPr>
              <w:t xml:space="preserve">Low intensity example: “You should start the trauma narrative.” </w:t>
            </w:r>
          </w:p>
          <w:p w:rsidR="00B735AA" w:rsidRDefault="00B735AA" w:rsidP="00B735AA">
            <w:pPr>
              <w:pStyle w:val="ListParagraph"/>
              <w:numPr>
                <w:ilvl w:val="0"/>
                <w:numId w:val="1"/>
              </w:numPr>
              <w:rPr>
                <w:rFonts w:ascii="Times New Roman" w:hAnsi="Times New Roman" w:cs="Times New Roman"/>
              </w:rPr>
            </w:pPr>
            <w:r w:rsidRPr="009376C0">
              <w:rPr>
                <w:rFonts w:ascii="Times New Roman" w:hAnsi="Times New Roman" w:cs="Times New Roman"/>
              </w:rPr>
              <w:t>High intensity would involve planning for the trauma narrative, how to avoid obstacles, practicing what to say, discussing how to involve the parent in the trauma narrative.</w:t>
            </w:r>
          </w:p>
          <w:p w:rsidR="00B735AA" w:rsidRDefault="00B735AA" w:rsidP="00B735AA">
            <w:pPr>
              <w:pStyle w:val="ListParagraph"/>
              <w:numPr>
                <w:ilvl w:val="0"/>
                <w:numId w:val="1"/>
              </w:numPr>
              <w:ind w:left="306"/>
              <w:rPr>
                <w:rFonts w:ascii="Times New Roman" w:hAnsi="Times New Roman" w:cs="Times New Roman"/>
              </w:rPr>
            </w:pPr>
            <w:r w:rsidRPr="00B8199D">
              <w:rPr>
                <w:rFonts w:ascii="Times New Roman" w:hAnsi="Times New Roman" w:cs="Times New Roman"/>
              </w:rPr>
              <w:t>Assessment</w:t>
            </w:r>
            <w:r>
              <w:rPr>
                <w:rFonts w:ascii="Times New Roman" w:hAnsi="Times New Roman" w:cs="Times New Roman"/>
              </w:rPr>
              <w:t xml:space="preserve">: </w:t>
            </w:r>
            <w:r w:rsidRPr="00776213">
              <w:rPr>
                <w:rFonts w:ascii="Times New Roman" w:hAnsi="Times New Roman" w:cs="Times New Roman"/>
              </w:rPr>
              <w:t>the supervisor and/or clinician discuss information about the child’s psychiatric symptoms or behavior problems from standardized, formal assessment measures</w:t>
            </w:r>
            <w:r>
              <w:rPr>
                <w:rFonts w:ascii="Times New Roman" w:hAnsi="Times New Roman" w:cs="Times New Roman"/>
              </w:rPr>
              <w:t>,</w:t>
            </w:r>
            <w:r w:rsidRPr="00776213">
              <w:rPr>
                <w:rFonts w:ascii="Times New Roman" w:hAnsi="Times New Roman" w:cs="Times New Roman"/>
              </w:rPr>
              <w:t xml:space="preserve"> or functional analysis (FA).  This may include plans to administer standardized measures, clear planning to do FA, or feedback given to the client/caregiver from assessment or FA results and client/caregiver response. When coding </w:t>
            </w:r>
            <w:r>
              <w:rPr>
                <w:rFonts w:ascii="Times New Roman" w:hAnsi="Times New Roman" w:cs="Times New Roman"/>
              </w:rPr>
              <w:t>assessment because of</w:t>
            </w:r>
            <w:r w:rsidRPr="00776213">
              <w:rPr>
                <w:rFonts w:ascii="Times New Roman" w:hAnsi="Times New Roman" w:cs="Times New Roman"/>
              </w:rPr>
              <w:t xml:space="preserve"> FA, the coder has to be sure that the clinician did, or will do FA (cannot make assumptions). </w:t>
            </w:r>
            <w:r>
              <w:rPr>
                <w:rFonts w:ascii="Times New Roman" w:hAnsi="Times New Roman" w:cs="Times New Roman"/>
              </w:rPr>
              <w:t xml:space="preserve">Assessment </w:t>
            </w:r>
            <w:r w:rsidRPr="00776213">
              <w:rPr>
                <w:rFonts w:ascii="Times New Roman" w:hAnsi="Times New Roman" w:cs="Times New Roman"/>
              </w:rPr>
              <w:t xml:space="preserve">also includes discussing assessment results and/or their meaning, and how results might inform treatment direction or speak to client progress through treatment (scores now compared to scores at the beginning of treatment/earlier in treatment). </w:t>
            </w:r>
            <w:r>
              <w:rPr>
                <w:rFonts w:ascii="Times New Roman" w:hAnsi="Times New Roman" w:cs="Times New Roman"/>
              </w:rPr>
              <w:t xml:space="preserve">Assessment </w:t>
            </w:r>
            <w:r w:rsidRPr="00776213">
              <w:rPr>
                <w:rFonts w:ascii="Times New Roman" w:hAnsi="Times New Roman" w:cs="Times New Roman"/>
              </w:rPr>
              <w:t>may also include measures assessing the caregiver’s functioning (depression, PTSD).</w:t>
            </w:r>
          </w:p>
          <w:p w:rsidR="00B735AA" w:rsidRPr="00963BAF" w:rsidRDefault="00B735AA" w:rsidP="00B735AA">
            <w:pPr>
              <w:pStyle w:val="ListParagraph"/>
              <w:numPr>
                <w:ilvl w:val="0"/>
                <w:numId w:val="1"/>
              </w:numPr>
              <w:ind w:left="306"/>
              <w:rPr>
                <w:rFonts w:ascii="Times New Roman" w:hAnsi="Times New Roman" w:cs="Times New Roman"/>
              </w:rPr>
            </w:pPr>
            <w:r w:rsidRPr="00B8199D">
              <w:rPr>
                <w:rFonts w:ascii="Times New Roman" w:hAnsi="Times New Roman" w:cs="Times New Roman"/>
              </w:rPr>
              <w:t>Other topics</w:t>
            </w:r>
            <w:r>
              <w:rPr>
                <w:rFonts w:ascii="Times New Roman" w:hAnsi="Times New Roman" w:cs="Times New Roman"/>
              </w:rPr>
              <w:t xml:space="preserve">: </w:t>
            </w:r>
            <w:r w:rsidRPr="00776213">
              <w:rPr>
                <w:rFonts w:ascii="Times New Roman" w:hAnsi="Times New Roman" w:cs="Times New Roman"/>
              </w:rPr>
              <w:t xml:space="preserve">This content item focuses on supervisor/therapist discussions that </w:t>
            </w:r>
            <w:r>
              <w:rPr>
                <w:rFonts w:ascii="Times New Roman" w:hAnsi="Times New Roman" w:cs="Times New Roman"/>
              </w:rPr>
              <w:t>do not</w:t>
            </w:r>
            <w:r w:rsidRPr="00776213">
              <w:rPr>
                <w:rFonts w:ascii="Times New Roman" w:hAnsi="Times New Roman" w:cs="Times New Roman"/>
              </w:rPr>
              <w:t xml:space="preserve"> reflect the other </w:t>
            </w:r>
            <w:r>
              <w:rPr>
                <w:rFonts w:ascii="Times New Roman" w:hAnsi="Times New Roman" w:cs="Times New Roman"/>
              </w:rPr>
              <w:t xml:space="preserve">TF-CBT </w:t>
            </w:r>
            <w:r w:rsidRPr="00776213">
              <w:rPr>
                <w:rFonts w:ascii="Times New Roman" w:hAnsi="Times New Roman" w:cs="Times New Roman"/>
              </w:rPr>
              <w:t xml:space="preserve">content items. </w:t>
            </w:r>
            <w:r>
              <w:rPr>
                <w:rFonts w:ascii="Times New Roman" w:hAnsi="Times New Roman" w:cs="Times New Roman"/>
              </w:rPr>
              <w:t>M</w:t>
            </w:r>
            <w:r w:rsidRPr="00776213">
              <w:rPr>
                <w:rFonts w:ascii="Times New Roman" w:hAnsi="Times New Roman" w:cs="Times New Roman"/>
              </w:rPr>
              <w:t xml:space="preserve">ay include discussions of issues unrelated to the child’s traumatic experiences and/or not directly related to TF-CBT components. In order to rate this item as occurring, there needs to be a non-TF-CBT focused discussion </w:t>
            </w:r>
            <w:r w:rsidRPr="00776213">
              <w:rPr>
                <w:rFonts w:ascii="Times New Roman" w:hAnsi="Times New Roman" w:cs="Times New Roman"/>
              </w:rPr>
              <w:lastRenderedPageBreak/>
              <w:t xml:space="preserve">between the supervisor/therapist. Although the range of topics covered under </w:t>
            </w:r>
            <w:r>
              <w:rPr>
                <w:rFonts w:ascii="Times New Roman" w:hAnsi="Times New Roman" w:cs="Times New Roman"/>
              </w:rPr>
              <w:t>this topic vary</w:t>
            </w:r>
            <w:r w:rsidRPr="00776213">
              <w:rPr>
                <w:rFonts w:ascii="Times New Roman" w:hAnsi="Times New Roman" w:cs="Times New Roman"/>
              </w:rPr>
              <w:t xml:space="preserve"> from handling</w:t>
            </w:r>
            <w:bookmarkStart w:id="0" w:name="_GoBack"/>
            <w:bookmarkEnd w:id="0"/>
            <w:r w:rsidRPr="00776213">
              <w:rPr>
                <w:rFonts w:ascii="Times New Roman" w:hAnsi="Times New Roman" w:cs="Times New Roman"/>
              </w:rPr>
              <w:t xml:space="preserve"> child suicidal ideation and case management to other, more “off-topic” discussion, this content item attempts to capture any content that is not one of the </w:t>
            </w:r>
            <w:r>
              <w:rPr>
                <w:rFonts w:ascii="Times New Roman" w:hAnsi="Times New Roman" w:cs="Times New Roman"/>
              </w:rPr>
              <w:t>TF-CBT</w:t>
            </w:r>
            <w:r w:rsidRPr="00776213">
              <w:rPr>
                <w:rFonts w:ascii="Times New Roman" w:hAnsi="Times New Roman" w:cs="Times New Roman"/>
              </w:rPr>
              <w:t xml:space="preserve"> components or therapist technique content items. </w:t>
            </w:r>
          </w:p>
        </w:tc>
        <w:tc>
          <w:tcPr>
            <w:tcW w:w="2250" w:type="dxa"/>
            <w:tcBorders>
              <w:left w:val="nil"/>
              <w:right w:val="nil"/>
            </w:tcBorders>
          </w:tcPr>
          <w:p w:rsidR="00B735AA" w:rsidRPr="009575D6" w:rsidRDefault="00B735AA" w:rsidP="00B735AA">
            <w:pPr>
              <w:pStyle w:val="ListParagraph"/>
              <w:numPr>
                <w:ilvl w:val="0"/>
                <w:numId w:val="1"/>
              </w:numPr>
              <w:ind w:left="345"/>
              <w:rPr>
                <w:rFonts w:ascii="Times New Roman" w:hAnsi="Times New Roman" w:cs="Times New Roman"/>
              </w:rPr>
            </w:pPr>
            <w:r>
              <w:rPr>
                <w:rFonts w:ascii="Times New Roman" w:hAnsi="Times New Roman" w:cs="Times New Roman"/>
              </w:rPr>
              <w:lastRenderedPageBreak/>
              <w:t>T</w:t>
            </w:r>
            <w:r w:rsidRPr="009575D6">
              <w:rPr>
                <w:rFonts w:ascii="Times New Roman" w:hAnsi="Times New Roman" w:cs="Times New Roman"/>
              </w:rPr>
              <w:t xml:space="preserve">rained coders rated occurrence </w:t>
            </w:r>
            <w:r>
              <w:rPr>
                <w:rFonts w:ascii="Times New Roman" w:hAnsi="Times New Roman" w:cs="Times New Roman"/>
              </w:rPr>
              <w:t xml:space="preserve">of content areas </w:t>
            </w:r>
            <w:r w:rsidRPr="009575D6">
              <w:rPr>
                <w:rFonts w:ascii="Times New Roman" w:hAnsi="Times New Roman" w:cs="Times New Roman"/>
              </w:rPr>
              <w:lastRenderedPageBreak/>
              <w:t>in 5-min</w:t>
            </w:r>
            <w:r>
              <w:rPr>
                <w:rFonts w:ascii="Times New Roman" w:hAnsi="Times New Roman" w:cs="Times New Roman"/>
              </w:rPr>
              <w:t>ute</w:t>
            </w:r>
            <w:r w:rsidRPr="009575D6">
              <w:rPr>
                <w:rFonts w:ascii="Times New Roman" w:hAnsi="Times New Roman" w:cs="Times New Roman"/>
              </w:rPr>
              <w:t xml:space="preserve"> intervals (low, medium, or high),</w:t>
            </w:r>
            <w:r>
              <w:rPr>
                <w:rFonts w:ascii="Times New Roman" w:hAnsi="Times New Roman" w:cs="Times New Roman"/>
              </w:rPr>
              <w:t xml:space="preserve"> and used these to determine </w:t>
            </w:r>
            <w:r w:rsidRPr="009575D6">
              <w:rPr>
                <w:rFonts w:ascii="Times New Roman" w:hAnsi="Times New Roman" w:cs="Times New Roman"/>
              </w:rPr>
              <w:t>intensity scores</w:t>
            </w:r>
            <w:r>
              <w:rPr>
                <w:rFonts w:ascii="Times New Roman" w:hAnsi="Times New Roman" w:cs="Times New Roman"/>
              </w:rPr>
              <w:t xml:space="preserve"> that provide overall dosage information about each content area (</w:t>
            </w:r>
            <w:r w:rsidRPr="00DC5830">
              <w:rPr>
                <w:rFonts w:ascii="Times New Roman" w:hAnsi="Times New Roman" w:cs="Times New Roman"/>
              </w:rPr>
              <w:t>McLeod &amp; Weisz, 2010</w:t>
            </w:r>
            <w:r>
              <w:rPr>
                <w:rFonts w:ascii="Times New Roman" w:hAnsi="Times New Roman" w:cs="Times New Roman"/>
              </w:rPr>
              <w:t>).</w:t>
            </w:r>
          </w:p>
          <w:p w:rsidR="00B735AA" w:rsidRPr="009045BF" w:rsidRDefault="00B735AA" w:rsidP="00B735AA">
            <w:pPr>
              <w:pStyle w:val="ListParagraph"/>
              <w:numPr>
                <w:ilvl w:val="0"/>
                <w:numId w:val="1"/>
              </w:numPr>
              <w:ind w:left="345"/>
              <w:rPr>
                <w:rFonts w:ascii="Times New Roman" w:hAnsi="Times New Roman" w:cs="Times New Roman"/>
              </w:rPr>
            </w:pPr>
            <w:r w:rsidRPr="009045BF">
              <w:rPr>
                <w:rFonts w:ascii="Times New Roman" w:hAnsi="Times New Roman" w:cs="Times New Roman"/>
              </w:rPr>
              <w:t xml:space="preserve">Scale: </w:t>
            </w:r>
          </w:p>
          <w:p w:rsidR="00B735AA" w:rsidRPr="009045BF" w:rsidRDefault="00B735AA" w:rsidP="00957A9C">
            <w:pPr>
              <w:pStyle w:val="ListParagraph"/>
              <w:ind w:left="345"/>
              <w:rPr>
                <w:rFonts w:ascii="Times New Roman" w:hAnsi="Times New Roman" w:cs="Times New Roman"/>
              </w:rPr>
            </w:pPr>
            <w:r w:rsidRPr="009045BF">
              <w:rPr>
                <w:rFonts w:ascii="Times New Roman" w:hAnsi="Times New Roman" w:cs="Times New Roman"/>
              </w:rPr>
              <w:t xml:space="preserve">0 = not at all present; </w:t>
            </w:r>
          </w:p>
          <w:p w:rsidR="00B735AA" w:rsidRPr="009045BF" w:rsidRDefault="00B735AA" w:rsidP="00957A9C">
            <w:pPr>
              <w:pStyle w:val="ListParagraph"/>
              <w:ind w:left="345"/>
              <w:rPr>
                <w:rFonts w:ascii="Times New Roman" w:hAnsi="Times New Roman" w:cs="Times New Roman"/>
              </w:rPr>
            </w:pPr>
            <w:r w:rsidRPr="009045BF">
              <w:rPr>
                <w:rFonts w:ascii="Times New Roman" w:hAnsi="Times New Roman" w:cs="Times New Roman"/>
              </w:rPr>
              <w:t>1-2 = low intensity/brief mention;</w:t>
            </w:r>
          </w:p>
          <w:p w:rsidR="00B735AA" w:rsidRPr="009045BF" w:rsidRDefault="00B735AA" w:rsidP="00957A9C">
            <w:pPr>
              <w:pStyle w:val="ListParagraph"/>
              <w:ind w:left="345"/>
              <w:rPr>
                <w:rFonts w:ascii="Times New Roman" w:hAnsi="Times New Roman" w:cs="Times New Roman"/>
              </w:rPr>
            </w:pPr>
            <w:r w:rsidRPr="009045BF">
              <w:rPr>
                <w:rFonts w:ascii="Times New Roman" w:hAnsi="Times New Roman" w:cs="Times New Roman"/>
              </w:rPr>
              <w:t>3-4 = medium intensity</w:t>
            </w:r>
            <w:r>
              <w:rPr>
                <w:rFonts w:ascii="Times New Roman" w:hAnsi="Times New Roman" w:cs="Times New Roman"/>
              </w:rPr>
              <w:t>/ acceptable coverage</w:t>
            </w:r>
            <w:r w:rsidRPr="009045BF">
              <w:rPr>
                <w:rFonts w:ascii="Times New Roman" w:hAnsi="Times New Roman" w:cs="Times New Roman"/>
              </w:rPr>
              <w:t xml:space="preserve">; </w:t>
            </w:r>
          </w:p>
          <w:p w:rsidR="00B735AA" w:rsidRDefault="00B735AA" w:rsidP="00957A9C">
            <w:pPr>
              <w:pStyle w:val="ListParagraph"/>
              <w:ind w:left="345"/>
              <w:rPr>
                <w:rFonts w:ascii="Times New Roman" w:hAnsi="Times New Roman" w:cs="Times New Roman"/>
              </w:rPr>
            </w:pPr>
            <w:r w:rsidRPr="009045BF">
              <w:rPr>
                <w:rFonts w:ascii="Times New Roman" w:hAnsi="Times New Roman" w:cs="Times New Roman"/>
              </w:rPr>
              <w:t>5-6 = high intensity/ thoroughly covered</w:t>
            </w:r>
            <w:r>
              <w:rPr>
                <w:rFonts w:ascii="Times New Roman" w:hAnsi="Times New Roman" w:cs="Times New Roman"/>
              </w:rPr>
              <w:t xml:space="preserve"> </w:t>
            </w:r>
          </w:p>
          <w:p w:rsidR="00B735AA" w:rsidRDefault="00B735AA" w:rsidP="00957A9C">
            <w:pPr>
              <w:pStyle w:val="ListParagraph"/>
              <w:rPr>
                <w:rFonts w:ascii="Times New Roman" w:hAnsi="Times New Roman" w:cs="Times New Roman"/>
              </w:rPr>
            </w:pPr>
          </w:p>
          <w:p w:rsidR="00B735AA" w:rsidRPr="009045BF" w:rsidRDefault="00B735AA" w:rsidP="00957A9C">
            <w:pPr>
              <w:rPr>
                <w:rFonts w:ascii="Times New Roman" w:hAnsi="Times New Roman" w:cs="Times New Roman"/>
              </w:rPr>
            </w:pPr>
          </w:p>
        </w:tc>
        <w:tc>
          <w:tcPr>
            <w:tcW w:w="2430" w:type="dxa"/>
            <w:tcBorders>
              <w:left w:val="nil"/>
              <w:right w:val="nil"/>
            </w:tcBorders>
          </w:tcPr>
          <w:p w:rsidR="00B735AA" w:rsidRDefault="00B735AA" w:rsidP="00957A9C">
            <w:pPr>
              <w:rPr>
                <w:rFonts w:ascii="Times New Roman" w:hAnsi="Times New Roman" w:cs="Times New Roman"/>
              </w:rPr>
            </w:pPr>
            <w:r w:rsidRPr="008E796C">
              <w:rPr>
                <w:rFonts w:ascii="Times New Roman" w:hAnsi="Times New Roman" w:cs="Times New Roman"/>
              </w:rPr>
              <w:lastRenderedPageBreak/>
              <w:t>Interrater reliability ICC</w:t>
            </w:r>
            <w:r w:rsidRPr="008E796C">
              <w:rPr>
                <w:rFonts w:ascii="Times New Roman" w:hAnsi="Times New Roman" w:cs="Times New Roman"/>
                <w:vertAlign w:val="subscript"/>
              </w:rPr>
              <w:t>(2,6)</w:t>
            </w:r>
          </w:p>
          <w:p w:rsidR="00B735AA" w:rsidRDefault="00B735AA" w:rsidP="00B735AA">
            <w:pPr>
              <w:pStyle w:val="ListParagraph"/>
              <w:numPr>
                <w:ilvl w:val="0"/>
                <w:numId w:val="1"/>
              </w:numPr>
              <w:ind w:left="342"/>
              <w:rPr>
                <w:rFonts w:ascii="Times New Roman" w:hAnsi="Times New Roman" w:cs="Times New Roman"/>
              </w:rPr>
            </w:pPr>
            <w:r>
              <w:rPr>
                <w:rFonts w:ascii="Times New Roman" w:hAnsi="Times New Roman" w:cs="Times New Roman"/>
              </w:rPr>
              <w:t>Overall = .87</w:t>
            </w:r>
          </w:p>
          <w:p w:rsidR="00B735AA" w:rsidRDefault="00B735AA" w:rsidP="00B735AA">
            <w:pPr>
              <w:pStyle w:val="ListParagraph"/>
              <w:numPr>
                <w:ilvl w:val="0"/>
                <w:numId w:val="1"/>
              </w:numPr>
              <w:ind w:left="342"/>
              <w:rPr>
                <w:rFonts w:ascii="Times New Roman" w:hAnsi="Times New Roman" w:cs="Times New Roman"/>
              </w:rPr>
            </w:pPr>
            <w:r>
              <w:rPr>
                <w:rFonts w:ascii="Times New Roman" w:hAnsi="Times New Roman" w:cs="Times New Roman"/>
              </w:rPr>
              <w:lastRenderedPageBreak/>
              <w:t>Exposure = .92</w:t>
            </w:r>
          </w:p>
          <w:p w:rsidR="00B735AA" w:rsidRDefault="00B735AA" w:rsidP="00B735AA">
            <w:pPr>
              <w:pStyle w:val="ListParagraph"/>
              <w:numPr>
                <w:ilvl w:val="0"/>
                <w:numId w:val="1"/>
              </w:numPr>
              <w:ind w:left="342"/>
              <w:rPr>
                <w:rFonts w:ascii="Times New Roman" w:hAnsi="Times New Roman" w:cs="Times New Roman"/>
              </w:rPr>
            </w:pPr>
            <w:r>
              <w:rPr>
                <w:rFonts w:ascii="Times New Roman" w:hAnsi="Times New Roman" w:cs="Times New Roman"/>
              </w:rPr>
              <w:t>Assessment = .76</w:t>
            </w:r>
          </w:p>
          <w:p w:rsidR="00B735AA" w:rsidRPr="008E796C" w:rsidRDefault="00B735AA" w:rsidP="00B735AA">
            <w:pPr>
              <w:pStyle w:val="ListParagraph"/>
              <w:numPr>
                <w:ilvl w:val="0"/>
                <w:numId w:val="1"/>
              </w:numPr>
              <w:ind w:left="342"/>
              <w:rPr>
                <w:rFonts w:ascii="Times New Roman" w:hAnsi="Times New Roman" w:cs="Times New Roman"/>
              </w:rPr>
            </w:pPr>
            <w:r>
              <w:rPr>
                <w:rFonts w:ascii="Times New Roman" w:hAnsi="Times New Roman" w:cs="Times New Roman"/>
              </w:rPr>
              <w:t>Other topics = .85</w:t>
            </w:r>
          </w:p>
        </w:tc>
      </w:tr>
    </w:tbl>
    <w:p w:rsidR="00B735AA" w:rsidRPr="00C219E6" w:rsidRDefault="00B735AA" w:rsidP="00B735AA">
      <w:pPr>
        <w:spacing w:after="240"/>
        <w:rPr>
          <w:rFonts w:ascii="Times New Roman" w:eastAsia="Times New Roman" w:hAnsi="Times New Roman" w:cs="Times New Roman"/>
          <w:color w:val="000000"/>
        </w:rPr>
      </w:pPr>
    </w:p>
    <w:p w:rsidR="0044219C" w:rsidRDefault="0044219C"/>
    <w:sectPr w:rsidR="0044219C" w:rsidSect="00B735AA">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E7" w:rsidRDefault="009863E7" w:rsidP="00B735AA">
      <w:r>
        <w:separator/>
      </w:r>
    </w:p>
  </w:endnote>
  <w:endnote w:type="continuationSeparator" w:id="0">
    <w:p w:rsidR="009863E7" w:rsidRDefault="009863E7" w:rsidP="00B7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E7" w:rsidRDefault="009863E7" w:rsidP="00B735AA">
      <w:r>
        <w:separator/>
      </w:r>
    </w:p>
  </w:footnote>
  <w:footnote w:type="continuationSeparator" w:id="0">
    <w:p w:rsidR="009863E7" w:rsidRDefault="009863E7" w:rsidP="00B7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95" w:rsidRDefault="009863E7" w:rsidP="00FB1E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2A95" w:rsidRDefault="009863E7" w:rsidP="00997C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95" w:rsidRPr="00C702CE" w:rsidRDefault="009863E7" w:rsidP="00FB1E12">
    <w:pPr>
      <w:pStyle w:val="Header"/>
      <w:framePr w:wrap="around" w:vAnchor="text" w:hAnchor="margin" w:xAlign="right" w:y="1"/>
      <w:rPr>
        <w:rStyle w:val="PageNumber"/>
        <w:rFonts w:ascii="Times New Roman" w:hAnsi="Times New Roman" w:cs="Times New Roman"/>
      </w:rPr>
    </w:pPr>
    <w:r w:rsidRPr="00C702CE">
      <w:rPr>
        <w:rStyle w:val="PageNumber"/>
        <w:rFonts w:ascii="Times New Roman" w:hAnsi="Times New Roman" w:cs="Times New Roman"/>
      </w:rPr>
      <w:fldChar w:fldCharType="begin"/>
    </w:r>
    <w:r w:rsidRPr="00C702CE">
      <w:rPr>
        <w:rStyle w:val="PageNumber"/>
        <w:rFonts w:ascii="Times New Roman" w:hAnsi="Times New Roman" w:cs="Times New Roman"/>
      </w:rPr>
      <w:instrText xml:space="preserve">PAGE  </w:instrText>
    </w:r>
    <w:r w:rsidRPr="00C702CE">
      <w:rPr>
        <w:rStyle w:val="PageNumber"/>
        <w:rFonts w:ascii="Times New Roman" w:hAnsi="Times New Roman" w:cs="Times New Roman"/>
      </w:rPr>
      <w:fldChar w:fldCharType="separate"/>
    </w:r>
    <w:r w:rsidR="00B735AA">
      <w:rPr>
        <w:rStyle w:val="PageNumber"/>
        <w:rFonts w:ascii="Times New Roman" w:hAnsi="Times New Roman" w:cs="Times New Roman"/>
        <w:noProof/>
      </w:rPr>
      <w:t>1</w:t>
    </w:r>
    <w:r w:rsidRPr="00C702CE">
      <w:rPr>
        <w:rStyle w:val="PageNumber"/>
        <w:rFonts w:ascii="Times New Roman" w:hAnsi="Times New Roman" w:cs="Times New Roman"/>
      </w:rPr>
      <w:fldChar w:fldCharType="end"/>
    </w:r>
  </w:p>
  <w:p w:rsidR="00A12A95" w:rsidRPr="00C702CE" w:rsidRDefault="009863E7" w:rsidP="00B735AA">
    <w:pPr>
      <w:pStyle w:val="Header"/>
      <w:ind w:right="36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96EA6"/>
    <w:multiLevelType w:val="hybridMultilevel"/>
    <w:tmpl w:val="9EB8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AA"/>
    <w:rsid w:val="0044219C"/>
    <w:rsid w:val="009863E7"/>
    <w:rsid w:val="00B7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086606-3BB9-4D97-943B-50D97B2B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A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5A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5AA"/>
    <w:pPr>
      <w:ind w:left="720"/>
      <w:contextualSpacing/>
    </w:pPr>
  </w:style>
  <w:style w:type="paragraph" w:styleId="Header">
    <w:name w:val="header"/>
    <w:basedOn w:val="Normal"/>
    <w:link w:val="HeaderChar"/>
    <w:uiPriority w:val="99"/>
    <w:unhideWhenUsed/>
    <w:rsid w:val="00B735AA"/>
    <w:pPr>
      <w:tabs>
        <w:tab w:val="center" w:pos="4320"/>
        <w:tab w:val="right" w:pos="8640"/>
      </w:tabs>
    </w:pPr>
  </w:style>
  <w:style w:type="character" w:customStyle="1" w:styleId="HeaderChar">
    <w:name w:val="Header Char"/>
    <w:basedOn w:val="DefaultParagraphFont"/>
    <w:link w:val="Header"/>
    <w:uiPriority w:val="99"/>
    <w:rsid w:val="00B735AA"/>
    <w:rPr>
      <w:rFonts w:eastAsiaTheme="minorEastAsia"/>
      <w:sz w:val="24"/>
      <w:szCs w:val="24"/>
    </w:rPr>
  </w:style>
  <w:style w:type="character" w:styleId="PageNumber">
    <w:name w:val="page number"/>
    <w:basedOn w:val="DefaultParagraphFont"/>
    <w:uiPriority w:val="99"/>
    <w:semiHidden/>
    <w:unhideWhenUsed/>
    <w:rsid w:val="00B735AA"/>
  </w:style>
  <w:style w:type="character" w:styleId="LineNumber">
    <w:name w:val="line number"/>
    <w:basedOn w:val="DefaultParagraphFont"/>
    <w:uiPriority w:val="99"/>
    <w:semiHidden/>
    <w:unhideWhenUsed/>
    <w:rsid w:val="00B735AA"/>
  </w:style>
  <w:style w:type="paragraph" w:styleId="Footer">
    <w:name w:val="footer"/>
    <w:basedOn w:val="Normal"/>
    <w:link w:val="FooterChar"/>
    <w:uiPriority w:val="99"/>
    <w:unhideWhenUsed/>
    <w:rsid w:val="00B735AA"/>
    <w:pPr>
      <w:tabs>
        <w:tab w:val="center" w:pos="4680"/>
        <w:tab w:val="right" w:pos="9360"/>
      </w:tabs>
    </w:pPr>
  </w:style>
  <w:style w:type="character" w:customStyle="1" w:styleId="FooterChar">
    <w:name w:val="Footer Char"/>
    <w:basedOn w:val="DefaultParagraphFont"/>
    <w:link w:val="Footer"/>
    <w:uiPriority w:val="99"/>
    <w:rsid w:val="00B735A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fcb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2265</Words>
  <Characters>12911</Characters>
  <Application>Microsoft Office Word</Application>
  <DocSecurity>0</DocSecurity>
  <Lines>107</Lines>
  <Paragraphs>30</Paragraphs>
  <ScaleCrop>false</ScaleCrop>
  <Company>PITSOLUTIONS PVT LTD</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Frontiers</cp:lastModifiedBy>
  <cp:revision>1</cp:revision>
  <dcterms:created xsi:type="dcterms:W3CDTF">2018-09-11T09:39:00Z</dcterms:created>
  <dcterms:modified xsi:type="dcterms:W3CDTF">2018-09-11T09:40:00Z</dcterms:modified>
</cp:coreProperties>
</file>