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1104D196" w14:textId="254CBD7C" w:rsidR="00817DD6" w:rsidRPr="001549D3" w:rsidRDefault="00107922" w:rsidP="0001436A">
      <w:pPr>
        <w:pStyle w:val="Title"/>
      </w:pPr>
      <w:r>
        <w:t>Solute fluxes through restored prairie and intensively managed critical zones in Nebraska and Iowa</w:t>
      </w:r>
    </w:p>
    <w:p w14:paraId="17690EE2" w14:textId="77777777" w:rsidR="0097018C" w:rsidRDefault="0097018C" w:rsidP="0097018C">
      <w:pPr>
        <w:pStyle w:val="AuthorList"/>
      </w:pPr>
      <w:r>
        <w:t>Ashlee Dere</w:t>
      </w:r>
      <w:r>
        <w:rPr>
          <w:vertAlign w:val="superscript"/>
        </w:rPr>
        <w:t>1*</w:t>
      </w:r>
      <w:r>
        <w:t>, Andrew Miller</w:t>
      </w:r>
      <w:r>
        <w:rPr>
          <w:vertAlign w:val="superscript"/>
        </w:rPr>
        <w:t>2</w:t>
      </w:r>
      <w:r>
        <w:t>, Amy Hemje</w:t>
      </w:r>
      <w:r>
        <w:rPr>
          <w:vertAlign w:val="superscript"/>
        </w:rPr>
        <w:t>2</w:t>
      </w:r>
      <w:r>
        <w:t>, Sara K. Parcher</w:t>
      </w:r>
      <w:r>
        <w:rPr>
          <w:vertAlign w:val="superscript"/>
        </w:rPr>
        <w:t>1</w:t>
      </w:r>
      <w:r>
        <w:t>, Courtney A. Capalli</w:t>
      </w:r>
      <w:r>
        <w:rPr>
          <w:vertAlign w:val="superscript"/>
        </w:rPr>
        <w:t>3</w:t>
      </w:r>
      <w:r>
        <w:t>, E. Arthur Bettis III</w:t>
      </w:r>
      <w:r>
        <w:rPr>
          <w:vertAlign w:val="superscript"/>
        </w:rPr>
        <w:t>3</w:t>
      </w:r>
    </w:p>
    <w:p w14:paraId="0C8DED4F" w14:textId="068FE539"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w:t>
      </w:r>
      <w:r w:rsidR="0097018C">
        <w:rPr>
          <w:rFonts w:cs="Times New Roman"/>
        </w:rPr>
        <w:t>adere@unomaha.edu</w:t>
      </w:r>
    </w:p>
    <w:p w14:paraId="605CBF55" w14:textId="77777777" w:rsidR="00FE6397" w:rsidRDefault="00654E8F" w:rsidP="00830DCE">
      <w:pPr>
        <w:pStyle w:val="Heading1"/>
      </w:pPr>
      <w:r w:rsidRPr="00994A3D">
        <w:t>Supplementary Figures and Tables</w:t>
      </w:r>
    </w:p>
    <w:p w14:paraId="7751F379" w14:textId="61251537" w:rsidR="00FE6397" w:rsidRPr="001549D3" w:rsidRDefault="00FE6397" w:rsidP="00FE6397">
      <w:pPr>
        <w:pStyle w:val="Heading2"/>
      </w:pPr>
      <w:r w:rsidRPr="0001436A">
        <w:t>Supplementary</w:t>
      </w:r>
      <w:r w:rsidRPr="001549D3">
        <w:t xml:space="preserve"> Figures</w:t>
      </w:r>
    </w:p>
    <w:p w14:paraId="32A3F393" w14:textId="77777777" w:rsidR="00FE6397" w:rsidRDefault="00FE6397" w:rsidP="00FE6397">
      <w:pPr>
        <w:keepNext/>
        <w:jc w:val="center"/>
        <w:rPr>
          <w:rFonts w:cs="Times New Roman"/>
          <w:b/>
          <w:szCs w:val="24"/>
        </w:rPr>
      </w:pPr>
      <w:r>
        <w:rPr>
          <w:rFonts w:cs="Times New Roman"/>
          <w:noProof/>
          <w:szCs w:val="24"/>
        </w:rPr>
        <w:drawing>
          <wp:inline distT="0" distB="0" distL="0" distR="0" wp14:anchorId="1878F0CA" wp14:editId="76627573">
            <wp:extent cx="6108439" cy="4572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439" cy="4572000"/>
                    </a:xfrm>
                    <a:prstGeom prst="rect">
                      <a:avLst/>
                    </a:prstGeom>
                    <a:noFill/>
                  </pic:spPr>
                </pic:pic>
              </a:graphicData>
            </a:graphic>
          </wp:inline>
        </w:drawing>
      </w:r>
    </w:p>
    <w:p w14:paraId="60DB4564" w14:textId="67C90DFC" w:rsidR="00F04D44" w:rsidRDefault="00FE6397" w:rsidP="003949FE">
      <w:pPr>
        <w:keepNext/>
        <w:rPr>
          <w:rFonts w:cs="Times New Roman"/>
          <w:b/>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Pr>
          <w:rFonts w:cs="Times New Roman"/>
          <w:szCs w:val="24"/>
        </w:rPr>
        <w:t>Soil pore</w:t>
      </w:r>
      <w:r w:rsidR="00202241">
        <w:rPr>
          <w:rFonts w:cs="Times New Roman"/>
          <w:szCs w:val="24"/>
        </w:rPr>
        <w:t xml:space="preserve"> </w:t>
      </w:r>
      <w:r>
        <w:rPr>
          <w:rFonts w:cs="Times New Roman"/>
          <w:szCs w:val="24"/>
        </w:rPr>
        <w:t xml:space="preserve">water average </w:t>
      </w:r>
      <w:r w:rsidR="00202241">
        <w:rPr>
          <w:rFonts w:cs="Times New Roman"/>
          <w:szCs w:val="24"/>
        </w:rPr>
        <w:t xml:space="preserve">cation fluxes </w:t>
      </w:r>
      <w:r>
        <w:rPr>
          <w:rFonts w:cs="Times New Roman"/>
          <w:szCs w:val="24"/>
        </w:rPr>
        <w:t>with depth in Nebraska (A, B) and Iowa (C, D) study sites. Error bars are standard deviations of the mean.</w:t>
      </w:r>
    </w:p>
    <w:p w14:paraId="09252580" w14:textId="77777777" w:rsidR="00ED6EF0" w:rsidRDefault="00ED6EF0" w:rsidP="0097018C">
      <w:pPr>
        <w:spacing w:after="0"/>
        <w:rPr>
          <w:rFonts w:cs="Times New Roman"/>
          <w:b/>
          <w:szCs w:val="24"/>
        </w:rPr>
      </w:pPr>
    </w:p>
    <w:p w14:paraId="59079EF1" w14:textId="77777777" w:rsidR="003949FE" w:rsidRDefault="003949FE" w:rsidP="00F04D44">
      <w:pPr>
        <w:pStyle w:val="Heading2"/>
        <w:sectPr w:rsidR="003949FE"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pPr>
    </w:p>
    <w:p w14:paraId="455E228C" w14:textId="77777777" w:rsidR="003949FE" w:rsidRDefault="00F04D44" w:rsidP="00784BA8">
      <w:pPr>
        <w:pStyle w:val="Heading2"/>
        <w:spacing w:after="0"/>
      </w:pPr>
      <w:r>
        <w:lastRenderedPageBreak/>
        <w:t>Supplementary Tables</w:t>
      </w:r>
    </w:p>
    <w:p w14:paraId="0B350C5F" w14:textId="1B7DD4EC" w:rsidR="00ED6EF0" w:rsidRPr="003949FE" w:rsidRDefault="00690061" w:rsidP="003949FE">
      <w:r w:rsidRPr="003949FE">
        <w:rPr>
          <w:b/>
        </w:rPr>
        <w:t>Supplementary Table 1</w:t>
      </w:r>
      <w:r w:rsidR="00ED6EF0" w:rsidRPr="003949FE">
        <w:rPr>
          <w:b/>
        </w:rPr>
        <w:t>.</w:t>
      </w:r>
      <w:r w:rsidR="00ED6EF0" w:rsidRPr="003949FE">
        <w:t xml:space="preserve"> Nebraska agriculture soil pore</w:t>
      </w:r>
      <w:r w:rsidR="00202241" w:rsidRPr="003949FE">
        <w:t xml:space="preserve"> </w:t>
      </w:r>
      <w:r w:rsidR="00ED6EF0" w:rsidRPr="003949FE">
        <w:t xml:space="preserve">water sampling </w:t>
      </w:r>
      <w:r w:rsidR="005374BE" w:rsidRPr="003949FE">
        <w:t xml:space="preserve">location, </w:t>
      </w:r>
      <w:r w:rsidR="00ED6EF0" w:rsidRPr="003949FE">
        <w:t xml:space="preserve">depths, dates, pH, electrical conductivity (EC) and concentrations. </w:t>
      </w:r>
      <w:r w:rsidR="009C4A21">
        <w:t>A dash indicates variable was not measured</w:t>
      </w:r>
      <w:r w:rsidR="009C4A21" w:rsidRPr="003949FE">
        <w:t xml:space="preserve"> and </w:t>
      </w:r>
      <w:r w:rsidR="009C4A21">
        <w:t xml:space="preserve">ND means that ion was never detected in sample. </w:t>
      </w:r>
      <w:r w:rsidR="00ED6EF0" w:rsidRPr="003949FE">
        <w:t>IGSN refers to International Geosample Number (</w:t>
      </w:r>
      <w:r w:rsidR="005374BE" w:rsidRPr="003949FE">
        <w:t>www.sesar.org</w:t>
      </w:r>
      <w:r w:rsidR="00ED6EF0" w:rsidRPr="003949FE">
        <w:t>).</w:t>
      </w:r>
    </w:p>
    <w:p w14:paraId="594ACF22" w14:textId="453996D2" w:rsidR="005374BE" w:rsidRDefault="002B15DA">
      <w:pPr>
        <w:spacing w:before="0" w:after="200" w:line="276" w:lineRule="auto"/>
        <w:rPr>
          <w:rFonts w:cs="Times New Roman"/>
          <w:b/>
          <w:szCs w:val="24"/>
        </w:rPr>
      </w:pPr>
      <w:r w:rsidRPr="002B15DA">
        <w:rPr>
          <w:noProof/>
        </w:rPr>
        <w:drawing>
          <wp:inline distT="0" distB="0" distL="0" distR="0" wp14:anchorId="002A814E" wp14:editId="1668E9F3">
            <wp:extent cx="8613140" cy="4829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3140" cy="4829899"/>
                    </a:xfrm>
                    <a:prstGeom prst="rect">
                      <a:avLst/>
                    </a:prstGeom>
                    <a:noFill/>
                    <a:ln>
                      <a:noFill/>
                    </a:ln>
                  </pic:spPr>
                </pic:pic>
              </a:graphicData>
            </a:graphic>
          </wp:inline>
        </w:drawing>
      </w:r>
      <w:r w:rsidR="005374BE">
        <w:rPr>
          <w:rFonts w:cs="Times New Roman"/>
          <w:b/>
          <w:szCs w:val="24"/>
        </w:rPr>
        <w:br w:type="page"/>
      </w:r>
    </w:p>
    <w:p w14:paraId="754ABABA" w14:textId="28BD555B" w:rsidR="005374BE" w:rsidRDefault="00690061" w:rsidP="005374BE">
      <w:pPr>
        <w:rPr>
          <w:rFonts w:cs="Times New Roman"/>
          <w:szCs w:val="24"/>
        </w:rPr>
      </w:pPr>
      <w:r>
        <w:rPr>
          <w:rFonts w:cs="Times New Roman"/>
          <w:b/>
          <w:szCs w:val="24"/>
        </w:rPr>
        <w:lastRenderedPageBreak/>
        <w:t>Supplementary Table 1</w:t>
      </w:r>
      <w:r w:rsidR="005374BE">
        <w:rPr>
          <w:rFonts w:cs="Times New Roman"/>
          <w:b/>
          <w:szCs w:val="24"/>
        </w:rPr>
        <w:t xml:space="preserve"> (cont.).</w:t>
      </w:r>
      <w:r w:rsidR="005374BE" w:rsidRPr="0097018C">
        <w:rPr>
          <w:rFonts w:cs="Times New Roman"/>
          <w:szCs w:val="24"/>
        </w:rPr>
        <w:t xml:space="preserve"> </w:t>
      </w:r>
      <w:r w:rsidR="005374BE">
        <w:rPr>
          <w:rFonts w:cs="Times New Roman"/>
          <w:szCs w:val="24"/>
        </w:rPr>
        <w:t>Nebraska agriculture s</w:t>
      </w:r>
      <w:r w:rsidR="005374BE" w:rsidRPr="0097018C">
        <w:rPr>
          <w:rFonts w:cs="Times New Roman"/>
          <w:szCs w:val="24"/>
        </w:rPr>
        <w:t>oil pore</w:t>
      </w:r>
      <w:r w:rsidR="00202241">
        <w:rPr>
          <w:rFonts w:cs="Times New Roman"/>
          <w:szCs w:val="24"/>
        </w:rPr>
        <w:t xml:space="preserve"> </w:t>
      </w:r>
      <w:r w:rsidR="005374BE" w:rsidRPr="0097018C">
        <w:rPr>
          <w:rFonts w:cs="Times New Roman"/>
          <w:szCs w:val="24"/>
        </w:rPr>
        <w:t>water</w:t>
      </w:r>
      <w:r w:rsidR="005374BE">
        <w:rPr>
          <w:rFonts w:cs="Times New Roman"/>
          <w:szCs w:val="24"/>
        </w:rPr>
        <w:t xml:space="preserve"> sampling location, depths, 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5374BE">
        <w:rPr>
          <w:rFonts w:cs="Times New Roman"/>
          <w:szCs w:val="24"/>
        </w:rPr>
        <w:t>IGSN refers to International Geosample Number (www.sesar.org).</w:t>
      </w:r>
    </w:p>
    <w:p w14:paraId="79F07BDA" w14:textId="4A24481B" w:rsidR="00EC5C13" w:rsidRDefault="00E43617">
      <w:pPr>
        <w:spacing w:before="0" w:after="200" w:line="276" w:lineRule="auto"/>
        <w:rPr>
          <w:rFonts w:cs="Times New Roman"/>
          <w:b/>
          <w:szCs w:val="24"/>
        </w:rPr>
      </w:pPr>
      <w:r w:rsidRPr="00E43617">
        <w:rPr>
          <w:noProof/>
        </w:rPr>
        <w:drawing>
          <wp:inline distT="0" distB="0" distL="0" distR="0" wp14:anchorId="293FF6B5" wp14:editId="7E8778AC">
            <wp:extent cx="8613140" cy="34816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13140" cy="3481631"/>
                    </a:xfrm>
                    <a:prstGeom prst="rect">
                      <a:avLst/>
                    </a:prstGeom>
                    <a:noFill/>
                    <a:ln>
                      <a:noFill/>
                    </a:ln>
                  </pic:spPr>
                </pic:pic>
              </a:graphicData>
            </a:graphic>
          </wp:inline>
        </w:drawing>
      </w:r>
    </w:p>
    <w:p w14:paraId="5681880C" w14:textId="77777777" w:rsidR="00EC5C13" w:rsidRDefault="00EC5C13">
      <w:pPr>
        <w:spacing w:before="0" w:after="200" w:line="276" w:lineRule="auto"/>
        <w:rPr>
          <w:rFonts w:cs="Times New Roman"/>
          <w:b/>
          <w:szCs w:val="24"/>
        </w:rPr>
      </w:pPr>
      <w:r>
        <w:rPr>
          <w:rFonts w:cs="Times New Roman"/>
          <w:b/>
          <w:szCs w:val="24"/>
        </w:rPr>
        <w:br w:type="page"/>
      </w:r>
    </w:p>
    <w:p w14:paraId="3783DB7F" w14:textId="717996B4" w:rsidR="00EC5C13" w:rsidRDefault="00690061" w:rsidP="00EC5C13">
      <w:pPr>
        <w:spacing w:after="0"/>
        <w:rPr>
          <w:rFonts w:cs="Times New Roman"/>
          <w:szCs w:val="24"/>
        </w:rPr>
      </w:pPr>
      <w:r>
        <w:rPr>
          <w:rFonts w:cs="Times New Roman"/>
          <w:b/>
          <w:szCs w:val="24"/>
        </w:rPr>
        <w:lastRenderedPageBreak/>
        <w:t>Supplementary Table 2</w:t>
      </w:r>
      <w:r w:rsidR="00EC5C13" w:rsidRPr="009019CD">
        <w:rPr>
          <w:rFonts w:cs="Times New Roman"/>
          <w:b/>
          <w:szCs w:val="24"/>
        </w:rPr>
        <w:t>.</w:t>
      </w:r>
      <w:r w:rsidR="00EC5C13" w:rsidRPr="0097018C">
        <w:rPr>
          <w:rFonts w:cs="Times New Roman"/>
          <w:szCs w:val="24"/>
        </w:rPr>
        <w:t xml:space="preserve"> </w:t>
      </w:r>
      <w:r w:rsidR="00EC5C13">
        <w:rPr>
          <w:rFonts w:cs="Times New Roman"/>
          <w:szCs w:val="24"/>
        </w:rPr>
        <w:t>Nebraska restored prairie s</w:t>
      </w:r>
      <w:r w:rsidR="00EC5C13" w:rsidRPr="0097018C">
        <w:rPr>
          <w:rFonts w:cs="Times New Roman"/>
          <w:szCs w:val="24"/>
        </w:rPr>
        <w:t>oil pore</w:t>
      </w:r>
      <w:r w:rsidR="00202241">
        <w:rPr>
          <w:rFonts w:cs="Times New Roman"/>
          <w:szCs w:val="24"/>
        </w:rPr>
        <w:t xml:space="preserve"> </w:t>
      </w:r>
      <w:r w:rsidR="00EC5C13" w:rsidRPr="0097018C">
        <w:rPr>
          <w:rFonts w:cs="Times New Roman"/>
          <w:szCs w:val="24"/>
        </w:rPr>
        <w:t>water</w:t>
      </w:r>
      <w:r w:rsidR="00202241">
        <w:rPr>
          <w:rFonts w:cs="Times New Roman"/>
          <w:szCs w:val="24"/>
        </w:rPr>
        <w:t xml:space="preserve"> sampling</w:t>
      </w:r>
      <w:r w:rsidR="00EC5C13">
        <w:rPr>
          <w:rFonts w:cs="Times New Roman"/>
          <w:szCs w:val="24"/>
        </w:rPr>
        <w:t xml:space="preserve"> depths, 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EC5C13">
        <w:rPr>
          <w:rFonts w:cs="Times New Roman"/>
          <w:szCs w:val="24"/>
        </w:rPr>
        <w:t xml:space="preserve">IGSN refers to International Geosample Number (www.sesar.org). </w:t>
      </w:r>
    </w:p>
    <w:p w14:paraId="58887326" w14:textId="06A98C3C" w:rsidR="00EC5C13" w:rsidRDefault="002B15DA" w:rsidP="00EC5C13">
      <w:pPr>
        <w:spacing w:after="0"/>
        <w:rPr>
          <w:rFonts w:cs="Times New Roman"/>
          <w:szCs w:val="24"/>
        </w:rPr>
      </w:pPr>
      <w:r w:rsidRPr="002B15DA">
        <w:rPr>
          <w:noProof/>
        </w:rPr>
        <w:drawing>
          <wp:inline distT="0" distB="0" distL="0" distR="0" wp14:anchorId="7D9B4F7E" wp14:editId="3356E91C">
            <wp:extent cx="8613140" cy="48298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3140" cy="4829899"/>
                    </a:xfrm>
                    <a:prstGeom prst="rect">
                      <a:avLst/>
                    </a:prstGeom>
                    <a:noFill/>
                    <a:ln>
                      <a:noFill/>
                    </a:ln>
                  </pic:spPr>
                </pic:pic>
              </a:graphicData>
            </a:graphic>
          </wp:inline>
        </w:drawing>
      </w:r>
    </w:p>
    <w:p w14:paraId="19A58681" w14:textId="77777777" w:rsidR="00EC5C13" w:rsidRDefault="00EC5C13">
      <w:pPr>
        <w:spacing w:before="0" w:after="200" w:line="276" w:lineRule="auto"/>
        <w:rPr>
          <w:rFonts w:cs="Times New Roman"/>
          <w:b/>
          <w:szCs w:val="24"/>
        </w:rPr>
      </w:pPr>
      <w:r>
        <w:rPr>
          <w:rFonts w:cs="Times New Roman"/>
          <w:b/>
          <w:szCs w:val="24"/>
        </w:rPr>
        <w:br w:type="page"/>
      </w:r>
    </w:p>
    <w:p w14:paraId="4C2875AB" w14:textId="7B3D53D9" w:rsidR="00EC5C13" w:rsidRDefault="00690061" w:rsidP="00EC5C13">
      <w:pPr>
        <w:rPr>
          <w:rFonts w:cs="Times New Roman"/>
          <w:szCs w:val="24"/>
        </w:rPr>
      </w:pPr>
      <w:r>
        <w:rPr>
          <w:rFonts w:cs="Times New Roman"/>
          <w:b/>
          <w:szCs w:val="24"/>
        </w:rPr>
        <w:lastRenderedPageBreak/>
        <w:t>Supplementary Table 2</w:t>
      </w:r>
      <w:r w:rsidR="00EC5C13">
        <w:rPr>
          <w:rFonts w:cs="Times New Roman"/>
          <w:b/>
          <w:szCs w:val="24"/>
        </w:rPr>
        <w:t xml:space="preserve"> (cont.)</w:t>
      </w:r>
      <w:r w:rsidR="00EC5C13" w:rsidRPr="009019CD">
        <w:rPr>
          <w:rFonts w:cs="Times New Roman"/>
          <w:b/>
          <w:szCs w:val="24"/>
        </w:rPr>
        <w:t>.</w:t>
      </w:r>
      <w:r w:rsidR="00EC5C13" w:rsidRPr="0097018C">
        <w:rPr>
          <w:rFonts w:cs="Times New Roman"/>
          <w:szCs w:val="24"/>
        </w:rPr>
        <w:t xml:space="preserve"> </w:t>
      </w:r>
      <w:r w:rsidR="00EC5C13">
        <w:rPr>
          <w:rFonts w:cs="Times New Roman"/>
          <w:szCs w:val="24"/>
        </w:rPr>
        <w:t>Nebraska restored prairie s</w:t>
      </w:r>
      <w:r w:rsidR="00EC5C13" w:rsidRPr="0097018C">
        <w:rPr>
          <w:rFonts w:cs="Times New Roman"/>
          <w:szCs w:val="24"/>
        </w:rPr>
        <w:t>oil pore</w:t>
      </w:r>
      <w:r w:rsidR="00202241">
        <w:rPr>
          <w:rFonts w:cs="Times New Roman"/>
          <w:szCs w:val="24"/>
        </w:rPr>
        <w:t xml:space="preserve"> </w:t>
      </w:r>
      <w:r w:rsidR="00EC5C13" w:rsidRPr="0097018C">
        <w:rPr>
          <w:rFonts w:cs="Times New Roman"/>
          <w:szCs w:val="24"/>
        </w:rPr>
        <w:t>water</w:t>
      </w:r>
      <w:r w:rsidR="00202241">
        <w:rPr>
          <w:rFonts w:cs="Times New Roman"/>
          <w:szCs w:val="24"/>
        </w:rPr>
        <w:t xml:space="preserve"> sampling</w:t>
      </w:r>
      <w:r w:rsidR="00EC5C13">
        <w:rPr>
          <w:rFonts w:cs="Times New Roman"/>
          <w:szCs w:val="24"/>
        </w:rPr>
        <w:t xml:space="preserve"> depths, 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EC5C13">
        <w:rPr>
          <w:rFonts w:cs="Times New Roman"/>
          <w:szCs w:val="24"/>
        </w:rPr>
        <w:t xml:space="preserve">IGSN refers to International Geosample Number (www.sesar.org).  </w:t>
      </w:r>
    </w:p>
    <w:p w14:paraId="67B2C842" w14:textId="5628BFF1" w:rsidR="00883272" w:rsidRDefault="00E43617" w:rsidP="00EC5C13">
      <w:pPr>
        <w:spacing w:before="0" w:after="200" w:line="276" w:lineRule="auto"/>
        <w:rPr>
          <w:rFonts w:cs="Times New Roman"/>
          <w:b/>
          <w:szCs w:val="24"/>
        </w:rPr>
      </w:pPr>
      <w:r w:rsidRPr="00E43617">
        <w:rPr>
          <w:noProof/>
        </w:rPr>
        <w:drawing>
          <wp:inline distT="0" distB="0" distL="0" distR="0" wp14:anchorId="41182FFA" wp14:editId="059EFFDC">
            <wp:extent cx="8613140" cy="392982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13140" cy="3929826"/>
                    </a:xfrm>
                    <a:prstGeom prst="rect">
                      <a:avLst/>
                    </a:prstGeom>
                    <a:noFill/>
                    <a:ln>
                      <a:noFill/>
                    </a:ln>
                  </pic:spPr>
                </pic:pic>
              </a:graphicData>
            </a:graphic>
          </wp:inline>
        </w:drawing>
      </w:r>
      <w:r w:rsidR="00883272">
        <w:rPr>
          <w:rFonts w:cs="Times New Roman"/>
          <w:b/>
          <w:szCs w:val="24"/>
        </w:rPr>
        <w:br w:type="page"/>
      </w:r>
    </w:p>
    <w:p w14:paraId="7179AEE4" w14:textId="1A520038" w:rsidR="00ED6EF0" w:rsidRDefault="00690061" w:rsidP="00883272">
      <w:pPr>
        <w:rPr>
          <w:rFonts w:cs="Times New Roman"/>
          <w:szCs w:val="24"/>
        </w:rPr>
      </w:pPr>
      <w:r>
        <w:rPr>
          <w:rFonts w:cs="Times New Roman"/>
          <w:b/>
          <w:szCs w:val="24"/>
        </w:rPr>
        <w:lastRenderedPageBreak/>
        <w:t>Supplementary Table 3</w:t>
      </w:r>
      <w:r w:rsidR="00ED6EF0" w:rsidRPr="009019CD">
        <w:rPr>
          <w:rFonts w:cs="Times New Roman"/>
          <w:b/>
          <w:szCs w:val="24"/>
        </w:rPr>
        <w:t>.</w:t>
      </w:r>
      <w:r w:rsidR="00ED6EF0" w:rsidRPr="0097018C">
        <w:rPr>
          <w:rFonts w:cs="Times New Roman"/>
          <w:szCs w:val="24"/>
        </w:rPr>
        <w:t xml:space="preserve"> </w:t>
      </w:r>
      <w:r w:rsidR="00ED6EF0">
        <w:rPr>
          <w:rFonts w:cs="Times New Roman"/>
          <w:szCs w:val="24"/>
        </w:rPr>
        <w:t>Iowa agriculture s</w:t>
      </w:r>
      <w:r w:rsidR="00ED6EF0" w:rsidRPr="0097018C">
        <w:rPr>
          <w:rFonts w:cs="Times New Roman"/>
          <w:szCs w:val="24"/>
        </w:rPr>
        <w:t>oil pore</w:t>
      </w:r>
      <w:r w:rsidR="00202241">
        <w:rPr>
          <w:rFonts w:cs="Times New Roman"/>
          <w:szCs w:val="24"/>
        </w:rPr>
        <w:t xml:space="preserve"> </w:t>
      </w:r>
      <w:r w:rsidR="00ED6EF0" w:rsidRPr="0097018C">
        <w:rPr>
          <w:rFonts w:cs="Times New Roman"/>
          <w:szCs w:val="24"/>
        </w:rPr>
        <w:t>water</w:t>
      </w:r>
      <w:r w:rsidR="00EC5C13">
        <w:rPr>
          <w:rFonts w:cs="Times New Roman"/>
          <w:szCs w:val="24"/>
        </w:rPr>
        <w:t xml:space="preserve"> sampling</w:t>
      </w:r>
      <w:r w:rsidR="005374BE">
        <w:rPr>
          <w:rFonts w:cs="Times New Roman"/>
          <w:szCs w:val="24"/>
        </w:rPr>
        <w:t xml:space="preserve"> </w:t>
      </w:r>
      <w:r w:rsidR="00ED6EF0">
        <w:rPr>
          <w:rFonts w:cs="Times New Roman"/>
          <w:szCs w:val="24"/>
        </w:rPr>
        <w:t xml:space="preserve">depths, 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ED6EF0">
        <w:rPr>
          <w:rFonts w:cs="Times New Roman"/>
          <w:szCs w:val="24"/>
        </w:rPr>
        <w:t>IGSN refers to International Geosample Number (www.sesar.org).</w:t>
      </w:r>
    </w:p>
    <w:p w14:paraId="0C95BF36" w14:textId="0D90D05C" w:rsidR="00EC5C13" w:rsidRDefault="00E43617">
      <w:pPr>
        <w:spacing w:before="0" w:after="200" w:line="276" w:lineRule="auto"/>
        <w:rPr>
          <w:rFonts w:cs="Times New Roman"/>
          <w:b/>
          <w:szCs w:val="24"/>
        </w:rPr>
      </w:pPr>
      <w:r w:rsidRPr="00E43617">
        <w:rPr>
          <w:noProof/>
        </w:rPr>
        <w:drawing>
          <wp:inline distT="0" distB="0" distL="0" distR="0" wp14:anchorId="48309DA1" wp14:editId="5743AA05">
            <wp:extent cx="8613140" cy="3182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13140" cy="3182835"/>
                    </a:xfrm>
                    <a:prstGeom prst="rect">
                      <a:avLst/>
                    </a:prstGeom>
                    <a:noFill/>
                    <a:ln>
                      <a:noFill/>
                    </a:ln>
                  </pic:spPr>
                </pic:pic>
              </a:graphicData>
            </a:graphic>
          </wp:inline>
        </w:drawing>
      </w:r>
    </w:p>
    <w:p w14:paraId="673BF744" w14:textId="77777777" w:rsidR="00EC5C13" w:rsidRDefault="00EC5C13">
      <w:pPr>
        <w:spacing w:before="0" w:after="200" w:line="276" w:lineRule="auto"/>
        <w:rPr>
          <w:rFonts w:cs="Times New Roman"/>
          <w:b/>
          <w:szCs w:val="24"/>
        </w:rPr>
      </w:pPr>
      <w:r>
        <w:rPr>
          <w:rFonts w:cs="Times New Roman"/>
          <w:b/>
          <w:szCs w:val="24"/>
        </w:rPr>
        <w:br w:type="page"/>
      </w:r>
    </w:p>
    <w:p w14:paraId="7B473E81" w14:textId="12502F4C" w:rsidR="00EC5C13" w:rsidRDefault="00690061" w:rsidP="00EC5C13">
      <w:pPr>
        <w:rPr>
          <w:rFonts w:cs="Times New Roman"/>
          <w:szCs w:val="24"/>
        </w:rPr>
      </w:pPr>
      <w:r>
        <w:rPr>
          <w:rFonts w:cs="Times New Roman"/>
          <w:b/>
          <w:szCs w:val="24"/>
        </w:rPr>
        <w:lastRenderedPageBreak/>
        <w:t>Supplementary Table 4</w:t>
      </w:r>
      <w:r w:rsidR="00EC5C13" w:rsidRPr="009019CD">
        <w:rPr>
          <w:rFonts w:cs="Times New Roman"/>
          <w:b/>
          <w:szCs w:val="24"/>
        </w:rPr>
        <w:t>.</w:t>
      </w:r>
      <w:r w:rsidR="00EC5C13" w:rsidRPr="0097018C">
        <w:rPr>
          <w:rFonts w:cs="Times New Roman"/>
          <w:szCs w:val="24"/>
        </w:rPr>
        <w:t xml:space="preserve"> </w:t>
      </w:r>
      <w:r w:rsidR="00EC5C13">
        <w:rPr>
          <w:rFonts w:cs="Times New Roman"/>
          <w:szCs w:val="24"/>
        </w:rPr>
        <w:t>Iowa restored prairie s</w:t>
      </w:r>
      <w:r w:rsidR="00EC5C13" w:rsidRPr="0097018C">
        <w:rPr>
          <w:rFonts w:cs="Times New Roman"/>
          <w:szCs w:val="24"/>
        </w:rPr>
        <w:t>oil pore</w:t>
      </w:r>
      <w:r w:rsidR="00EC5C13">
        <w:rPr>
          <w:rFonts w:cs="Times New Roman"/>
          <w:szCs w:val="24"/>
        </w:rPr>
        <w:t xml:space="preserve"> </w:t>
      </w:r>
      <w:r w:rsidR="00EC5C13" w:rsidRPr="0097018C">
        <w:rPr>
          <w:rFonts w:cs="Times New Roman"/>
          <w:szCs w:val="24"/>
        </w:rPr>
        <w:t>water</w:t>
      </w:r>
      <w:r w:rsidR="00EC5C13">
        <w:rPr>
          <w:rFonts w:cs="Times New Roman"/>
          <w:szCs w:val="24"/>
        </w:rPr>
        <w:t xml:space="preserve"> sampling depths, 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EC5C13">
        <w:rPr>
          <w:rFonts w:cs="Times New Roman"/>
          <w:szCs w:val="24"/>
        </w:rPr>
        <w:t>IGSN refers to International Geosample Number (www.sesar.org).</w:t>
      </w:r>
    </w:p>
    <w:p w14:paraId="772CEA6F" w14:textId="6C7E607B" w:rsidR="00883272" w:rsidRDefault="00E43617">
      <w:pPr>
        <w:spacing w:before="0" w:after="200" w:line="276" w:lineRule="auto"/>
        <w:rPr>
          <w:rFonts w:cs="Times New Roman"/>
          <w:b/>
          <w:szCs w:val="24"/>
        </w:rPr>
      </w:pPr>
      <w:r w:rsidRPr="00E43617">
        <w:rPr>
          <w:noProof/>
        </w:rPr>
        <w:drawing>
          <wp:inline distT="0" distB="0" distL="0" distR="0" wp14:anchorId="19D82DE8" wp14:editId="0DDB4E06">
            <wp:extent cx="8613140" cy="32974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13140" cy="3297419"/>
                    </a:xfrm>
                    <a:prstGeom prst="rect">
                      <a:avLst/>
                    </a:prstGeom>
                    <a:noFill/>
                    <a:ln>
                      <a:noFill/>
                    </a:ln>
                  </pic:spPr>
                </pic:pic>
              </a:graphicData>
            </a:graphic>
          </wp:inline>
        </w:drawing>
      </w:r>
      <w:r w:rsidR="00883272">
        <w:rPr>
          <w:rFonts w:cs="Times New Roman"/>
          <w:b/>
          <w:szCs w:val="24"/>
        </w:rPr>
        <w:br w:type="page"/>
      </w:r>
    </w:p>
    <w:p w14:paraId="1543D01B" w14:textId="7DAF6899" w:rsidR="00883272" w:rsidRDefault="00690061" w:rsidP="00883272">
      <w:pPr>
        <w:rPr>
          <w:rFonts w:cs="Times New Roman"/>
          <w:szCs w:val="24"/>
        </w:rPr>
      </w:pPr>
      <w:r>
        <w:rPr>
          <w:rFonts w:cs="Times New Roman"/>
          <w:b/>
          <w:szCs w:val="24"/>
        </w:rPr>
        <w:lastRenderedPageBreak/>
        <w:t>Supplementary Table 5</w:t>
      </w:r>
      <w:r w:rsidR="00883272" w:rsidRPr="009019CD">
        <w:rPr>
          <w:rFonts w:cs="Times New Roman"/>
          <w:b/>
          <w:szCs w:val="24"/>
        </w:rPr>
        <w:t>.</w:t>
      </w:r>
      <w:r w:rsidR="00883272" w:rsidRPr="0097018C">
        <w:rPr>
          <w:rFonts w:cs="Times New Roman"/>
          <w:szCs w:val="24"/>
        </w:rPr>
        <w:t xml:space="preserve"> </w:t>
      </w:r>
      <w:r w:rsidR="00883272">
        <w:rPr>
          <w:rFonts w:cs="Times New Roman"/>
          <w:szCs w:val="24"/>
        </w:rPr>
        <w:t>Nebraska and Iowa precipitation</w:t>
      </w:r>
      <w:r w:rsidR="00EC5C13">
        <w:rPr>
          <w:rFonts w:cs="Times New Roman"/>
          <w:szCs w:val="24"/>
        </w:rPr>
        <w:t xml:space="preserve"> sampling</w:t>
      </w:r>
      <w:r w:rsidR="00883272">
        <w:rPr>
          <w:rFonts w:cs="Times New Roman"/>
          <w:szCs w:val="24"/>
        </w:rPr>
        <w:t xml:space="preserve"> dates, pH, electrical conductivity (EC) and concentrations. </w:t>
      </w:r>
      <w:r w:rsidR="00D86B54">
        <w:rPr>
          <w:rFonts w:cs="Times New Roman"/>
          <w:szCs w:val="24"/>
        </w:rPr>
        <w:t>Precipitation volumes were estimated using total precipitation between sampling dates measured by weather stations at each site and an estimated funnel sampling area of 78.5 cm</w:t>
      </w:r>
      <w:r w:rsidR="00D86B54" w:rsidRPr="00D86B54">
        <w:rPr>
          <w:rFonts w:cs="Times New Roman"/>
          <w:szCs w:val="24"/>
          <w:vertAlign w:val="superscript"/>
        </w:rPr>
        <w:t>2</w:t>
      </w:r>
      <w:r w:rsidR="00D86B54">
        <w:rPr>
          <w:rFonts w:cs="Times New Roman"/>
          <w:szCs w:val="24"/>
        </w:rPr>
        <w:t xml:space="preserve">. </w:t>
      </w:r>
      <w:r w:rsidR="009C4A21">
        <w:t>A dash indicates variable was not measured</w:t>
      </w:r>
      <w:r w:rsidR="009C4A21">
        <w:rPr>
          <w:rFonts w:cs="Times New Roman"/>
          <w:szCs w:val="24"/>
        </w:rPr>
        <w:t xml:space="preserve"> </w:t>
      </w:r>
      <w:r w:rsidR="00CE0F43">
        <w:rPr>
          <w:rFonts w:cs="Times New Roman"/>
          <w:szCs w:val="24"/>
        </w:rPr>
        <w:t xml:space="preserve">(or volume could not be reliably estimated) </w:t>
      </w:r>
      <w:bookmarkStart w:id="0" w:name="_GoBack"/>
      <w:bookmarkEnd w:id="0"/>
      <w:r w:rsidR="009C4A21">
        <w:rPr>
          <w:rFonts w:cs="Times New Roman"/>
          <w:szCs w:val="24"/>
        </w:rPr>
        <w:t xml:space="preserve">and </w:t>
      </w:r>
      <w:r w:rsidR="009C4A21">
        <w:t xml:space="preserve">ND means that ion was never detected in sample. </w:t>
      </w:r>
      <w:r w:rsidR="00883272">
        <w:rPr>
          <w:rFonts w:cs="Times New Roman"/>
          <w:szCs w:val="24"/>
        </w:rPr>
        <w:t>IGSN refers to International Geosample Number (</w:t>
      </w:r>
      <w:r w:rsidR="00883272" w:rsidRPr="00883272">
        <w:rPr>
          <w:rFonts w:cs="Times New Roman"/>
          <w:szCs w:val="24"/>
        </w:rPr>
        <w:t>www.sesar.org</w:t>
      </w:r>
      <w:r w:rsidR="00883272">
        <w:rPr>
          <w:rFonts w:cs="Times New Roman"/>
          <w:szCs w:val="24"/>
        </w:rPr>
        <w:t>).</w:t>
      </w:r>
    </w:p>
    <w:p w14:paraId="67062AC9" w14:textId="5BB1134E" w:rsidR="00883272" w:rsidRDefault="00A12926" w:rsidP="00883272">
      <w:pPr>
        <w:spacing w:before="0" w:after="0"/>
        <w:rPr>
          <w:rFonts w:cs="Times New Roman"/>
          <w:b/>
          <w:szCs w:val="24"/>
        </w:rPr>
      </w:pPr>
      <w:r w:rsidRPr="00A12926">
        <w:drawing>
          <wp:inline distT="0" distB="0" distL="0" distR="0" wp14:anchorId="7A11059A" wp14:editId="41BDDC5E">
            <wp:extent cx="8613140" cy="44113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13140" cy="4411353"/>
                    </a:xfrm>
                    <a:prstGeom prst="rect">
                      <a:avLst/>
                    </a:prstGeom>
                    <a:noFill/>
                    <a:ln>
                      <a:noFill/>
                    </a:ln>
                  </pic:spPr>
                </pic:pic>
              </a:graphicData>
            </a:graphic>
          </wp:inline>
        </w:drawing>
      </w:r>
    </w:p>
    <w:p w14:paraId="2BC8A2DC" w14:textId="77777777" w:rsidR="00883272" w:rsidRDefault="00883272">
      <w:pPr>
        <w:spacing w:before="0" w:after="200" w:line="276" w:lineRule="auto"/>
        <w:rPr>
          <w:rFonts w:cs="Times New Roman"/>
          <w:b/>
          <w:szCs w:val="24"/>
        </w:rPr>
      </w:pPr>
      <w:r>
        <w:rPr>
          <w:rFonts w:cs="Times New Roman"/>
          <w:b/>
          <w:szCs w:val="24"/>
        </w:rPr>
        <w:br w:type="page"/>
      </w:r>
    </w:p>
    <w:p w14:paraId="6A15DD4D" w14:textId="491CB490" w:rsidR="00994A3D" w:rsidRDefault="003949FE" w:rsidP="00883272">
      <w:pPr>
        <w:spacing w:before="0"/>
        <w:rPr>
          <w:rFonts w:cs="Times New Roman"/>
          <w:szCs w:val="24"/>
        </w:rPr>
      </w:pPr>
      <w:r>
        <w:rPr>
          <w:rFonts w:cs="Times New Roman"/>
          <w:b/>
          <w:szCs w:val="24"/>
        </w:rPr>
        <w:lastRenderedPageBreak/>
        <w:t>Supplementary Table 6</w:t>
      </w:r>
      <w:r w:rsidR="00883272" w:rsidRPr="009019CD">
        <w:rPr>
          <w:rFonts w:cs="Times New Roman"/>
          <w:b/>
          <w:szCs w:val="24"/>
        </w:rPr>
        <w:t>.</w:t>
      </w:r>
      <w:r w:rsidR="00883272" w:rsidRPr="0097018C">
        <w:rPr>
          <w:rFonts w:cs="Times New Roman"/>
          <w:szCs w:val="24"/>
        </w:rPr>
        <w:t xml:space="preserve"> </w:t>
      </w:r>
      <w:r w:rsidR="00EC5C13">
        <w:rPr>
          <w:rFonts w:cs="Times New Roman"/>
          <w:szCs w:val="24"/>
        </w:rPr>
        <w:t>Nebraska GC2 stream sampling</w:t>
      </w:r>
      <w:r w:rsidR="005374BE">
        <w:rPr>
          <w:rFonts w:cs="Times New Roman"/>
          <w:szCs w:val="24"/>
        </w:rPr>
        <w:t xml:space="preserve">, </w:t>
      </w:r>
      <w:r w:rsidR="00883272">
        <w:rPr>
          <w:rFonts w:cs="Times New Roman"/>
          <w:szCs w:val="24"/>
        </w:rPr>
        <w:t xml:space="preserve">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883272">
        <w:rPr>
          <w:rFonts w:cs="Times New Roman"/>
          <w:szCs w:val="24"/>
        </w:rPr>
        <w:t>IGSN refers to International Geosample Number (</w:t>
      </w:r>
      <w:r w:rsidR="00883272" w:rsidRPr="00883272">
        <w:rPr>
          <w:rFonts w:cs="Times New Roman"/>
          <w:szCs w:val="24"/>
        </w:rPr>
        <w:t>www.sesar.org</w:t>
      </w:r>
      <w:r w:rsidR="00883272">
        <w:rPr>
          <w:rFonts w:cs="Times New Roman"/>
          <w:szCs w:val="24"/>
        </w:rPr>
        <w:t>).</w:t>
      </w:r>
    </w:p>
    <w:p w14:paraId="255250E3" w14:textId="1A36EBBB" w:rsidR="00883272" w:rsidRDefault="00E43617">
      <w:pPr>
        <w:spacing w:before="0" w:after="200" w:line="276" w:lineRule="auto"/>
        <w:rPr>
          <w:rFonts w:cs="Times New Roman"/>
          <w:b/>
          <w:szCs w:val="24"/>
        </w:rPr>
      </w:pPr>
      <w:r w:rsidRPr="00E43617">
        <w:rPr>
          <w:noProof/>
        </w:rPr>
        <w:drawing>
          <wp:inline distT="0" distB="0" distL="0" distR="0" wp14:anchorId="6F35530B" wp14:editId="427C0507">
            <wp:extent cx="8613140" cy="35958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13140" cy="3595840"/>
                    </a:xfrm>
                    <a:prstGeom prst="rect">
                      <a:avLst/>
                    </a:prstGeom>
                    <a:noFill/>
                    <a:ln>
                      <a:noFill/>
                    </a:ln>
                  </pic:spPr>
                </pic:pic>
              </a:graphicData>
            </a:graphic>
          </wp:inline>
        </w:drawing>
      </w:r>
      <w:r w:rsidR="00883272">
        <w:rPr>
          <w:rFonts w:cs="Times New Roman"/>
          <w:b/>
          <w:szCs w:val="24"/>
        </w:rPr>
        <w:br w:type="page"/>
      </w:r>
    </w:p>
    <w:p w14:paraId="361FFF31" w14:textId="6BA49CD5" w:rsidR="00883272" w:rsidRDefault="00F04D44" w:rsidP="00883272">
      <w:pPr>
        <w:spacing w:before="0"/>
        <w:rPr>
          <w:rFonts w:cs="Times New Roman"/>
          <w:szCs w:val="24"/>
        </w:rPr>
      </w:pPr>
      <w:r>
        <w:rPr>
          <w:rFonts w:cs="Times New Roman"/>
          <w:b/>
          <w:szCs w:val="24"/>
        </w:rPr>
        <w:lastRenderedPageBreak/>
        <w:t>Supplementar</w:t>
      </w:r>
      <w:r w:rsidR="003949FE">
        <w:rPr>
          <w:rFonts w:cs="Times New Roman"/>
          <w:b/>
          <w:szCs w:val="24"/>
        </w:rPr>
        <w:t>y Table 7</w:t>
      </w:r>
      <w:r w:rsidR="00883272" w:rsidRPr="009019CD">
        <w:rPr>
          <w:rFonts w:cs="Times New Roman"/>
          <w:b/>
          <w:szCs w:val="24"/>
        </w:rPr>
        <w:t>.</w:t>
      </w:r>
      <w:r w:rsidR="00883272" w:rsidRPr="0097018C">
        <w:rPr>
          <w:rFonts w:cs="Times New Roman"/>
          <w:szCs w:val="24"/>
        </w:rPr>
        <w:t xml:space="preserve"> </w:t>
      </w:r>
      <w:r w:rsidR="00883272">
        <w:rPr>
          <w:rFonts w:cs="Times New Roman"/>
          <w:szCs w:val="24"/>
        </w:rPr>
        <w:t>Nebraska GC3 stream sampling</w:t>
      </w:r>
      <w:r w:rsidR="005374BE">
        <w:rPr>
          <w:rFonts w:cs="Times New Roman"/>
          <w:szCs w:val="24"/>
        </w:rPr>
        <w:t xml:space="preserve">, </w:t>
      </w:r>
      <w:r w:rsidR="00883272">
        <w:rPr>
          <w:rFonts w:cs="Times New Roman"/>
          <w:szCs w:val="24"/>
        </w:rPr>
        <w:t xml:space="preserve">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883272">
        <w:rPr>
          <w:rFonts w:cs="Times New Roman"/>
          <w:szCs w:val="24"/>
        </w:rPr>
        <w:t>IGSN refers to International Geosample Number (www.sesar.org).</w:t>
      </w:r>
    </w:p>
    <w:p w14:paraId="2DA812DA" w14:textId="05DC2256" w:rsidR="00883272" w:rsidRDefault="00E43617">
      <w:pPr>
        <w:spacing w:before="0" w:after="200" w:line="276" w:lineRule="auto"/>
        <w:rPr>
          <w:rFonts w:cs="Times New Roman"/>
          <w:b/>
          <w:szCs w:val="24"/>
        </w:rPr>
      </w:pPr>
      <w:r w:rsidRPr="00E43617">
        <w:rPr>
          <w:noProof/>
        </w:rPr>
        <w:drawing>
          <wp:inline distT="0" distB="0" distL="0" distR="0" wp14:anchorId="2823D0AF" wp14:editId="5F58084C">
            <wp:extent cx="8613140" cy="35958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13140" cy="3595840"/>
                    </a:xfrm>
                    <a:prstGeom prst="rect">
                      <a:avLst/>
                    </a:prstGeom>
                    <a:noFill/>
                    <a:ln>
                      <a:noFill/>
                    </a:ln>
                  </pic:spPr>
                </pic:pic>
              </a:graphicData>
            </a:graphic>
          </wp:inline>
        </w:drawing>
      </w:r>
      <w:r w:rsidR="00883272">
        <w:rPr>
          <w:rFonts w:cs="Times New Roman"/>
          <w:b/>
          <w:szCs w:val="24"/>
        </w:rPr>
        <w:br w:type="page"/>
      </w:r>
    </w:p>
    <w:p w14:paraId="048DC98E" w14:textId="2DEC58DD" w:rsidR="00883272" w:rsidRDefault="003949FE" w:rsidP="00883272">
      <w:pPr>
        <w:spacing w:before="0"/>
        <w:rPr>
          <w:rFonts w:cs="Times New Roman"/>
          <w:szCs w:val="24"/>
        </w:rPr>
      </w:pPr>
      <w:r>
        <w:rPr>
          <w:rFonts w:cs="Times New Roman"/>
          <w:b/>
          <w:szCs w:val="24"/>
        </w:rPr>
        <w:lastRenderedPageBreak/>
        <w:t>Supplementary Table 8</w:t>
      </w:r>
      <w:r w:rsidR="00883272" w:rsidRPr="009019CD">
        <w:rPr>
          <w:rFonts w:cs="Times New Roman"/>
          <w:b/>
          <w:szCs w:val="24"/>
        </w:rPr>
        <w:t>.</w:t>
      </w:r>
      <w:r w:rsidR="00883272" w:rsidRPr="0097018C">
        <w:rPr>
          <w:rFonts w:cs="Times New Roman"/>
          <w:szCs w:val="24"/>
        </w:rPr>
        <w:t xml:space="preserve"> </w:t>
      </w:r>
      <w:r w:rsidR="00883272">
        <w:rPr>
          <w:rFonts w:cs="Times New Roman"/>
          <w:szCs w:val="24"/>
        </w:rPr>
        <w:t>Nebraska GC4 stream sampling</w:t>
      </w:r>
      <w:r w:rsidR="005374BE">
        <w:rPr>
          <w:rFonts w:cs="Times New Roman"/>
          <w:szCs w:val="24"/>
        </w:rPr>
        <w:t xml:space="preserve"> </w:t>
      </w:r>
      <w:r w:rsidR="00883272">
        <w:rPr>
          <w:rFonts w:cs="Times New Roman"/>
          <w:szCs w:val="24"/>
        </w:rPr>
        <w:t xml:space="preserve">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883272">
        <w:rPr>
          <w:rFonts w:cs="Times New Roman"/>
          <w:szCs w:val="24"/>
        </w:rPr>
        <w:t>IGSN refers to International Geosample Number (www.sesar.org).</w:t>
      </w:r>
    </w:p>
    <w:p w14:paraId="17CF46DE" w14:textId="00481891" w:rsidR="00883272" w:rsidRDefault="00E43617">
      <w:pPr>
        <w:spacing w:before="0" w:after="200" w:line="276" w:lineRule="auto"/>
        <w:rPr>
          <w:rFonts w:cs="Times New Roman"/>
          <w:b/>
          <w:szCs w:val="24"/>
        </w:rPr>
      </w:pPr>
      <w:r w:rsidRPr="00E43617">
        <w:rPr>
          <w:noProof/>
        </w:rPr>
        <w:drawing>
          <wp:inline distT="0" distB="0" distL="0" distR="0" wp14:anchorId="43AFAB7C" wp14:editId="360DE419">
            <wp:extent cx="8613140" cy="3759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3140" cy="3759290"/>
                    </a:xfrm>
                    <a:prstGeom prst="rect">
                      <a:avLst/>
                    </a:prstGeom>
                    <a:noFill/>
                    <a:ln>
                      <a:noFill/>
                    </a:ln>
                  </pic:spPr>
                </pic:pic>
              </a:graphicData>
            </a:graphic>
          </wp:inline>
        </w:drawing>
      </w:r>
      <w:r w:rsidR="00883272">
        <w:rPr>
          <w:rFonts w:cs="Times New Roman"/>
          <w:b/>
          <w:szCs w:val="24"/>
        </w:rPr>
        <w:br w:type="page"/>
      </w:r>
    </w:p>
    <w:p w14:paraId="4E79FC64" w14:textId="7B72A851" w:rsidR="00883272" w:rsidRDefault="003949FE" w:rsidP="00883272">
      <w:pPr>
        <w:spacing w:before="0"/>
        <w:rPr>
          <w:rFonts w:cs="Times New Roman"/>
          <w:szCs w:val="24"/>
        </w:rPr>
      </w:pPr>
      <w:r>
        <w:rPr>
          <w:rFonts w:cs="Times New Roman"/>
          <w:b/>
          <w:szCs w:val="24"/>
        </w:rPr>
        <w:lastRenderedPageBreak/>
        <w:t>Supplementary Table 9</w:t>
      </w:r>
      <w:r w:rsidR="00883272" w:rsidRPr="009019CD">
        <w:rPr>
          <w:rFonts w:cs="Times New Roman"/>
          <w:b/>
          <w:szCs w:val="24"/>
        </w:rPr>
        <w:t>.</w:t>
      </w:r>
      <w:r w:rsidR="00883272" w:rsidRPr="0097018C">
        <w:rPr>
          <w:rFonts w:cs="Times New Roman"/>
          <w:szCs w:val="24"/>
        </w:rPr>
        <w:t xml:space="preserve"> </w:t>
      </w:r>
      <w:r w:rsidR="00883272">
        <w:rPr>
          <w:rFonts w:cs="Times New Roman"/>
          <w:szCs w:val="24"/>
        </w:rPr>
        <w:t>Nebraska GC5 stream sampling</w:t>
      </w:r>
      <w:r w:rsidR="005374BE">
        <w:rPr>
          <w:rFonts w:cs="Times New Roman"/>
          <w:szCs w:val="24"/>
        </w:rPr>
        <w:t xml:space="preserve"> </w:t>
      </w:r>
      <w:r w:rsidR="00883272">
        <w:rPr>
          <w:rFonts w:cs="Times New Roman"/>
          <w:szCs w:val="24"/>
        </w:rPr>
        <w:t xml:space="preserve">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883272">
        <w:rPr>
          <w:rFonts w:cs="Times New Roman"/>
          <w:szCs w:val="24"/>
        </w:rPr>
        <w:t>IGSN refers to International Geosample Number (</w:t>
      </w:r>
      <w:r w:rsidR="00883272" w:rsidRPr="00883272">
        <w:rPr>
          <w:rFonts w:cs="Times New Roman"/>
          <w:szCs w:val="24"/>
        </w:rPr>
        <w:t>www.sesar.org</w:t>
      </w:r>
      <w:r w:rsidR="00883272">
        <w:rPr>
          <w:rFonts w:cs="Times New Roman"/>
          <w:szCs w:val="24"/>
        </w:rPr>
        <w:t>).</w:t>
      </w:r>
    </w:p>
    <w:p w14:paraId="424DF0C9" w14:textId="721E8606" w:rsidR="00883272" w:rsidRDefault="00E43617">
      <w:pPr>
        <w:spacing w:before="0" w:after="200" w:line="276" w:lineRule="auto"/>
        <w:rPr>
          <w:rFonts w:cs="Times New Roman"/>
          <w:b/>
          <w:szCs w:val="24"/>
        </w:rPr>
      </w:pPr>
      <w:r w:rsidRPr="00E43617">
        <w:rPr>
          <w:noProof/>
        </w:rPr>
        <w:drawing>
          <wp:inline distT="0" distB="0" distL="0" distR="0" wp14:anchorId="282DDEA0" wp14:editId="0A11B3EF">
            <wp:extent cx="8613140" cy="390914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3140" cy="3909141"/>
                    </a:xfrm>
                    <a:prstGeom prst="rect">
                      <a:avLst/>
                    </a:prstGeom>
                    <a:noFill/>
                    <a:ln>
                      <a:noFill/>
                    </a:ln>
                  </pic:spPr>
                </pic:pic>
              </a:graphicData>
            </a:graphic>
          </wp:inline>
        </w:drawing>
      </w:r>
      <w:r w:rsidR="00883272">
        <w:rPr>
          <w:rFonts w:cs="Times New Roman"/>
          <w:b/>
          <w:szCs w:val="24"/>
        </w:rPr>
        <w:br w:type="page"/>
      </w:r>
    </w:p>
    <w:p w14:paraId="1B563F1B" w14:textId="77777777" w:rsidR="00FE6397" w:rsidRDefault="00FE6397" w:rsidP="00883272">
      <w:pPr>
        <w:spacing w:before="0"/>
        <w:rPr>
          <w:rFonts w:cs="Times New Roman"/>
          <w:b/>
          <w:szCs w:val="24"/>
        </w:rPr>
        <w:sectPr w:rsidR="00FE6397" w:rsidSect="0067796E">
          <w:pgSz w:w="15840" w:h="12240" w:orient="landscape"/>
          <w:pgMar w:top="1282" w:right="1138" w:bottom="1181" w:left="1138" w:header="720" w:footer="720" w:gutter="0"/>
          <w:cols w:space="720"/>
          <w:titlePg/>
          <w:docGrid w:linePitch="360"/>
        </w:sectPr>
      </w:pPr>
    </w:p>
    <w:p w14:paraId="244E32F8" w14:textId="2EEEB14F" w:rsidR="00883272" w:rsidRDefault="003949FE" w:rsidP="00883272">
      <w:pPr>
        <w:spacing w:before="0"/>
        <w:rPr>
          <w:rFonts w:cs="Times New Roman"/>
          <w:szCs w:val="24"/>
        </w:rPr>
      </w:pPr>
      <w:r>
        <w:rPr>
          <w:rFonts w:cs="Times New Roman"/>
          <w:b/>
          <w:szCs w:val="24"/>
        </w:rPr>
        <w:lastRenderedPageBreak/>
        <w:t>Supplementary Table 10</w:t>
      </w:r>
      <w:r w:rsidR="00883272" w:rsidRPr="009019CD">
        <w:rPr>
          <w:rFonts w:cs="Times New Roman"/>
          <w:b/>
          <w:szCs w:val="24"/>
        </w:rPr>
        <w:t>.</w:t>
      </w:r>
      <w:r w:rsidR="00883272" w:rsidRPr="0097018C">
        <w:rPr>
          <w:rFonts w:cs="Times New Roman"/>
          <w:szCs w:val="24"/>
        </w:rPr>
        <w:t xml:space="preserve"> </w:t>
      </w:r>
      <w:r w:rsidR="00883272">
        <w:rPr>
          <w:rFonts w:cs="Times New Roman"/>
          <w:szCs w:val="24"/>
        </w:rPr>
        <w:t xml:space="preserve">Nebraska GC6 stream sampling dates, pH, electrical conductivity (EC) and concentrations. </w:t>
      </w:r>
      <w:r w:rsidR="009C4A21">
        <w:t>A dash indicates variable was not measured</w:t>
      </w:r>
      <w:r w:rsidR="009C4A21">
        <w:rPr>
          <w:rFonts w:cs="Times New Roman"/>
          <w:szCs w:val="24"/>
        </w:rPr>
        <w:t xml:space="preserve"> and </w:t>
      </w:r>
      <w:r w:rsidR="009C4A21">
        <w:t xml:space="preserve">ND means that ion was never detected in sample. </w:t>
      </w:r>
      <w:r w:rsidR="00883272">
        <w:rPr>
          <w:rFonts w:cs="Times New Roman"/>
          <w:szCs w:val="24"/>
        </w:rPr>
        <w:t>IGSN refers to International Geosample Number (www.sesar.org).</w:t>
      </w:r>
    </w:p>
    <w:p w14:paraId="29F7057D" w14:textId="3E55D093" w:rsidR="00655B35" w:rsidRDefault="00E43617" w:rsidP="00FE6397">
      <w:pPr>
        <w:spacing w:before="0"/>
        <w:rPr>
          <w:rFonts w:cs="Times New Roman"/>
          <w:szCs w:val="24"/>
        </w:rPr>
      </w:pPr>
      <w:r w:rsidRPr="00E43617">
        <w:rPr>
          <w:noProof/>
        </w:rPr>
        <w:drawing>
          <wp:inline distT="0" distB="0" distL="0" distR="0" wp14:anchorId="7E4DF55F" wp14:editId="200D0DDD">
            <wp:extent cx="8613140" cy="374512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13140" cy="3745126"/>
                    </a:xfrm>
                    <a:prstGeom prst="rect">
                      <a:avLst/>
                    </a:prstGeom>
                    <a:noFill/>
                    <a:ln>
                      <a:noFill/>
                    </a:ln>
                  </pic:spPr>
                </pic:pic>
              </a:graphicData>
            </a:graphic>
          </wp:inline>
        </w:drawing>
      </w:r>
    </w:p>
    <w:p w14:paraId="7D2F767C" w14:textId="16E673B1" w:rsidR="00690061" w:rsidRDefault="00690061">
      <w:pPr>
        <w:spacing w:before="0" w:after="200" w:line="276" w:lineRule="auto"/>
        <w:rPr>
          <w:rFonts w:cs="Times New Roman"/>
          <w:szCs w:val="24"/>
        </w:rPr>
      </w:pPr>
      <w:r>
        <w:rPr>
          <w:rFonts w:cs="Times New Roman"/>
          <w:szCs w:val="24"/>
        </w:rPr>
        <w:br w:type="page"/>
      </w:r>
    </w:p>
    <w:p w14:paraId="1CD4A7C6" w14:textId="63682FEE" w:rsidR="00690061" w:rsidRDefault="00690061" w:rsidP="00690061">
      <w:pPr>
        <w:spacing w:before="0"/>
        <w:rPr>
          <w:rFonts w:cs="Times New Roman"/>
          <w:szCs w:val="24"/>
        </w:rPr>
      </w:pPr>
      <w:r>
        <w:rPr>
          <w:rFonts w:cs="Times New Roman"/>
          <w:b/>
          <w:szCs w:val="24"/>
        </w:rPr>
        <w:lastRenderedPageBreak/>
        <w:t>Supplementary Table 1</w:t>
      </w:r>
      <w:r w:rsidR="003949FE">
        <w:rPr>
          <w:rFonts w:cs="Times New Roman"/>
          <w:b/>
          <w:szCs w:val="24"/>
        </w:rPr>
        <w:t>1</w:t>
      </w:r>
      <w:r w:rsidRPr="009019CD">
        <w:rPr>
          <w:rFonts w:cs="Times New Roman"/>
          <w:b/>
          <w:szCs w:val="24"/>
        </w:rPr>
        <w:t>.</w:t>
      </w:r>
      <w:r w:rsidRPr="0097018C">
        <w:rPr>
          <w:rFonts w:cs="Times New Roman"/>
          <w:szCs w:val="24"/>
        </w:rPr>
        <w:t xml:space="preserve"> </w:t>
      </w:r>
      <w:r>
        <w:rPr>
          <w:rFonts w:cs="Times New Roman"/>
          <w:szCs w:val="24"/>
        </w:rPr>
        <w:t>Drainage area, total discharge (Q</w:t>
      </w:r>
      <w:r w:rsidRPr="001346E7">
        <w:rPr>
          <w:rFonts w:cs="Times New Roman"/>
          <w:szCs w:val="24"/>
          <w:vertAlign w:val="subscript"/>
        </w:rPr>
        <w:t>total</w:t>
      </w:r>
      <w:r>
        <w:rPr>
          <w:rFonts w:cs="Times New Roman"/>
          <w:szCs w:val="24"/>
        </w:rPr>
        <w:t xml:space="preserve">) on the day of sampling, estimated average monthly discharge (Q) for forks of the stream draining agriculture or prairie (determined by ion pairs before and after stream confluence), and monthly cation fluxes from streams draining prairie or agriculture at the Nebraska site. </w:t>
      </w:r>
      <w:r>
        <w:rPr>
          <w:rFonts w:eastAsiaTheme="majorEastAsia" w:cstheme="majorBidi"/>
          <w:szCs w:val="24"/>
        </w:rPr>
        <w:t xml:space="preserve">For months where discharge data were unreliable (August, September and October), average monthly flows for each fork were </w:t>
      </w:r>
      <w:r w:rsidRPr="00B46B74">
        <w:rPr>
          <w:szCs w:val="23"/>
        </w:rPr>
        <w:t xml:space="preserve">estimated by averaging July, August, and November monthly discharges </w:t>
      </w:r>
      <w:r>
        <w:rPr>
          <w:szCs w:val="23"/>
        </w:rPr>
        <w:t>(</w:t>
      </w:r>
      <w:r w:rsidRPr="00B46B74">
        <w:rPr>
          <w:szCs w:val="23"/>
        </w:rPr>
        <w:t>considered to represent baseflow conditions</w:t>
      </w:r>
      <w:r>
        <w:rPr>
          <w:szCs w:val="23"/>
        </w:rPr>
        <w:t xml:space="preserve">). ND means not detected. </w:t>
      </w:r>
      <w:r>
        <w:rPr>
          <w:rFonts w:cs="Times New Roman"/>
          <w:szCs w:val="24"/>
        </w:rPr>
        <w:t xml:space="preserve"> </w:t>
      </w:r>
    </w:p>
    <w:p w14:paraId="253526BB" w14:textId="77777777" w:rsidR="00690061" w:rsidRDefault="00690061" w:rsidP="00690061">
      <w:pPr>
        <w:spacing w:before="0" w:after="200" w:line="276" w:lineRule="auto"/>
        <w:rPr>
          <w:rFonts w:cs="Times New Roman"/>
          <w:szCs w:val="24"/>
        </w:rPr>
      </w:pPr>
      <w:r w:rsidRPr="009D1618">
        <w:rPr>
          <w:noProof/>
        </w:rPr>
        <w:drawing>
          <wp:inline distT="0" distB="0" distL="0" distR="0" wp14:anchorId="031B9892" wp14:editId="54B8DB33">
            <wp:extent cx="8613140" cy="18871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13140" cy="1887149"/>
                    </a:xfrm>
                    <a:prstGeom prst="rect">
                      <a:avLst/>
                    </a:prstGeom>
                    <a:noFill/>
                    <a:ln>
                      <a:noFill/>
                    </a:ln>
                  </pic:spPr>
                </pic:pic>
              </a:graphicData>
            </a:graphic>
          </wp:inline>
        </w:drawing>
      </w:r>
    </w:p>
    <w:p w14:paraId="21F1025A" w14:textId="77777777" w:rsidR="00690061" w:rsidRDefault="00690061" w:rsidP="00FE6397">
      <w:pPr>
        <w:spacing w:before="0"/>
        <w:rPr>
          <w:rFonts w:cs="Times New Roman"/>
          <w:szCs w:val="24"/>
        </w:rPr>
      </w:pPr>
    </w:p>
    <w:p w14:paraId="45A307B6" w14:textId="77777777" w:rsidR="00655B35" w:rsidRDefault="00655B35">
      <w:pPr>
        <w:spacing w:before="0" w:after="200" w:line="276" w:lineRule="auto"/>
        <w:rPr>
          <w:rFonts w:cs="Times New Roman"/>
          <w:szCs w:val="24"/>
        </w:rPr>
      </w:pPr>
      <w:r>
        <w:rPr>
          <w:rFonts w:cs="Times New Roman"/>
          <w:szCs w:val="24"/>
        </w:rPr>
        <w:br w:type="page"/>
      </w:r>
    </w:p>
    <w:p w14:paraId="7A6E120C" w14:textId="77777777" w:rsidR="005D181E" w:rsidRDefault="005D181E" w:rsidP="001346E7">
      <w:pPr>
        <w:spacing w:before="0"/>
        <w:rPr>
          <w:rFonts w:cs="Times New Roman"/>
          <w:b/>
          <w:szCs w:val="24"/>
        </w:rPr>
        <w:sectPr w:rsidR="005D181E" w:rsidSect="0067796E">
          <w:pgSz w:w="15840" w:h="12240" w:orient="landscape"/>
          <w:pgMar w:top="1282" w:right="1138" w:bottom="1181" w:left="1138" w:header="720" w:footer="720" w:gutter="0"/>
          <w:cols w:space="720"/>
          <w:titlePg/>
          <w:docGrid w:linePitch="360"/>
        </w:sectPr>
      </w:pPr>
    </w:p>
    <w:p w14:paraId="0DC73D91" w14:textId="60AC2D82" w:rsidR="009C4A21" w:rsidRDefault="001346E7" w:rsidP="009C4A21">
      <w:pPr>
        <w:rPr>
          <w:rFonts w:cs="Times New Roman"/>
          <w:szCs w:val="24"/>
        </w:rPr>
      </w:pPr>
      <w:r>
        <w:rPr>
          <w:rFonts w:cs="Times New Roman"/>
          <w:b/>
          <w:szCs w:val="24"/>
        </w:rPr>
        <w:lastRenderedPageBreak/>
        <w:t>Supplementary Table 12</w:t>
      </w:r>
      <w:r w:rsidRPr="009019CD">
        <w:rPr>
          <w:rFonts w:cs="Times New Roman"/>
          <w:b/>
          <w:szCs w:val="24"/>
        </w:rPr>
        <w:t>.</w:t>
      </w:r>
      <w:r w:rsidRPr="0097018C">
        <w:rPr>
          <w:rFonts w:cs="Times New Roman"/>
          <w:szCs w:val="24"/>
        </w:rPr>
        <w:t xml:space="preserve"> </w:t>
      </w:r>
      <w:r w:rsidR="009C4A21">
        <w:rPr>
          <w:rFonts w:cs="Times New Roman"/>
          <w:szCs w:val="24"/>
        </w:rPr>
        <w:t>Nebraska agriculture s</w:t>
      </w:r>
      <w:r w:rsidR="009C4A21" w:rsidRPr="0097018C">
        <w:rPr>
          <w:rFonts w:cs="Times New Roman"/>
          <w:szCs w:val="24"/>
        </w:rPr>
        <w:t>oil pore</w:t>
      </w:r>
      <w:r w:rsidR="009C4A21">
        <w:rPr>
          <w:rFonts w:cs="Times New Roman"/>
          <w:szCs w:val="24"/>
        </w:rPr>
        <w:t xml:space="preserve"> </w:t>
      </w:r>
      <w:r w:rsidR="009C4A21" w:rsidRPr="0097018C">
        <w:rPr>
          <w:rFonts w:cs="Times New Roman"/>
          <w:szCs w:val="24"/>
        </w:rPr>
        <w:t>water</w:t>
      </w:r>
      <w:r w:rsidR="009C4A21">
        <w:rPr>
          <w:rFonts w:cs="Times New Roman"/>
          <w:szCs w:val="24"/>
        </w:rPr>
        <w:t xml:space="preserve"> cation and anion fluxes. </w:t>
      </w:r>
      <w:r w:rsidR="009C4A21">
        <w:t>A dash indicates variable was not measured</w:t>
      </w:r>
      <w:r w:rsidR="009C4A21">
        <w:rPr>
          <w:rFonts w:cs="Times New Roman"/>
          <w:szCs w:val="24"/>
        </w:rPr>
        <w:t xml:space="preserve"> and </w:t>
      </w:r>
      <w:r w:rsidR="009C4A21">
        <w:t xml:space="preserve">ND means that ion was never detected in sample. </w:t>
      </w:r>
      <w:r w:rsidR="009C4A21">
        <w:rPr>
          <w:rFonts w:cs="Times New Roman"/>
          <w:szCs w:val="24"/>
        </w:rPr>
        <w:t>IGSN refers to International Geosample Number (</w:t>
      </w:r>
      <w:r w:rsidR="009C4A21" w:rsidRPr="005374BE">
        <w:rPr>
          <w:rFonts w:cs="Times New Roman"/>
          <w:szCs w:val="24"/>
        </w:rPr>
        <w:t>www.sesar.org</w:t>
      </w:r>
      <w:r w:rsidR="009C4A21">
        <w:rPr>
          <w:rFonts w:cs="Times New Roman"/>
          <w:szCs w:val="24"/>
        </w:rPr>
        <w:t>).</w:t>
      </w:r>
    </w:p>
    <w:p w14:paraId="563E899C" w14:textId="036B93AA" w:rsidR="005D181E" w:rsidRDefault="00BD7CE9">
      <w:pPr>
        <w:spacing w:before="0" w:after="200" w:line="276" w:lineRule="auto"/>
        <w:rPr>
          <w:rFonts w:cs="Times New Roman"/>
          <w:b/>
          <w:szCs w:val="24"/>
        </w:rPr>
      </w:pPr>
      <w:r w:rsidRPr="00BD7CE9">
        <w:rPr>
          <w:noProof/>
        </w:rPr>
        <w:drawing>
          <wp:inline distT="0" distB="0" distL="0" distR="0" wp14:anchorId="62332E96" wp14:editId="0A9615D4">
            <wp:extent cx="6208395" cy="5208543"/>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8395" cy="5208543"/>
                    </a:xfrm>
                    <a:prstGeom prst="rect">
                      <a:avLst/>
                    </a:prstGeom>
                    <a:noFill/>
                    <a:ln>
                      <a:noFill/>
                    </a:ln>
                  </pic:spPr>
                </pic:pic>
              </a:graphicData>
            </a:graphic>
          </wp:inline>
        </w:drawing>
      </w:r>
    </w:p>
    <w:p w14:paraId="265B2F25" w14:textId="77777777" w:rsidR="005D181E" w:rsidRDefault="005D181E">
      <w:pPr>
        <w:spacing w:before="0" w:after="200" w:line="276" w:lineRule="auto"/>
        <w:rPr>
          <w:rFonts w:cs="Times New Roman"/>
          <w:b/>
          <w:szCs w:val="24"/>
        </w:rPr>
      </w:pPr>
      <w:r>
        <w:rPr>
          <w:rFonts w:cs="Times New Roman"/>
          <w:b/>
          <w:szCs w:val="24"/>
        </w:rPr>
        <w:br w:type="page"/>
      </w:r>
    </w:p>
    <w:p w14:paraId="44590C6D" w14:textId="77777777" w:rsidR="005D181E" w:rsidRDefault="005D181E">
      <w:pPr>
        <w:spacing w:before="0" w:after="200" w:line="276" w:lineRule="auto"/>
        <w:rPr>
          <w:rFonts w:cs="Times New Roman"/>
          <w:b/>
          <w:szCs w:val="24"/>
        </w:rPr>
      </w:pPr>
    </w:p>
    <w:p w14:paraId="70A1DFF6" w14:textId="1E31EE64" w:rsidR="005D181E" w:rsidRDefault="003949FE" w:rsidP="005D181E">
      <w:pPr>
        <w:spacing w:before="0"/>
        <w:rPr>
          <w:rFonts w:cs="Times New Roman"/>
          <w:szCs w:val="24"/>
        </w:rPr>
      </w:pPr>
      <w:r>
        <w:rPr>
          <w:rFonts w:cs="Times New Roman"/>
          <w:b/>
          <w:szCs w:val="24"/>
        </w:rPr>
        <w:t>Supplementary Table 13</w:t>
      </w:r>
      <w:r w:rsidR="005D181E" w:rsidRPr="009019CD">
        <w:rPr>
          <w:rFonts w:cs="Times New Roman"/>
          <w:b/>
          <w:szCs w:val="24"/>
        </w:rPr>
        <w:t>.</w:t>
      </w:r>
      <w:r w:rsidR="005D181E" w:rsidRPr="0097018C">
        <w:rPr>
          <w:rFonts w:cs="Times New Roman"/>
          <w:szCs w:val="24"/>
        </w:rPr>
        <w:t xml:space="preserve"> </w:t>
      </w:r>
      <w:r w:rsidR="009C4A21">
        <w:rPr>
          <w:rFonts w:cs="Times New Roman"/>
          <w:szCs w:val="24"/>
        </w:rPr>
        <w:t>Nebraska restored prairie s</w:t>
      </w:r>
      <w:r w:rsidR="009C4A21" w:rsidRPr="0097018C">
        <w:rPr>
          <w:rFonts w:cs="Times New Roman"/>
          <w:szCs w:val="24"/>
        </w:rPr>
        <w:t>oil pore</w:t>
      </w:r>
      <w:r w:rsidR="009C4A21">
        <w:rPr>
          <w:rFonts w:cs="Times New Roman"/>
          <w:szCs w:val="24"/>
        </w:rPr>
        <w:t xml:space="preserve"> </w:t>
      </w:r>
      <w:r w:rsidR="009C4A21" w:rsidRPr="0097018C">
        <w:rPr>
          <w:rFonts w:cs="Times New Roman"/>
          <w:szCs w:val="24"/>
        </w:rPr>
        <w:t>water</w:t>
      </w:r>
      <w:r w:rsidR="009C4A21">
        <w:rPr>
          <w:rFonts w:cs="Times New Roman"/>
          <w:szCs w:val="24"/>
        </w:rPr>
        <w:t xml:space="preserve"> cation and anion fluxes. </w:t>
      </w:r>
      <w:r w:rsidR="009C4A21">
        <w:t>A dash indicates variable was not measured</w:t>
      </w:r>
      <w:r w:rsidR="009C4A21">
        <w:rPr>
          <w:rFonts w:cs="Times New Roman"/>
          <w:szCs w:val="24"/>
        </w:rPr>
        <w:t xml:space="preserve"> and </w:t>
      </w:r>
      <w:r w:rsidR="009C4A21">
        <w:t xml:space="preserve">ND means that ion was never detected in sample. </w:t>
      </w:r>
      <w:r w:rsidR="009C4A21">
        <w:rPr>
          <w:rFonts w:cs="Times New Roman"/>
          <w:szCs w:val="24"/>
        </w:rPr>
        <w:t>IGSN refers to International Geosample Number (</w:t>
      </w:r>
      <w:r w:rsidR="009C4A21" w:rsidRPr="005374BE">
        <w:rPr>
          <w:rFonts w:cs="Times New Roman"/>
          <w:szCs w:val="24"/>
        </w:rPr>
        <w:t>www.sesar.org</w:t>
      </w:r>
      <w:r w:rsidR="009C4A21">
        <w:rPr>
          <w:rFonts w:cs="Times New Roman"/>
          <w:szCs w:val="24"/>
        </w:rPr>
        <w:t>).</w:t>
      </w:r>
    </w:p>
    <w:p w14:paraId="07ACEB5C" w14:textId="08BE6BA7" w:rsidR="005D181E" w:rsidRDefault="00BD7CE9" w:rsidP="005D181E">
      <w:pPr>
        <w:spacing w:before="0"/>
        <w:rPr>
          <w:rFonts w:cs="Times New Roman"/>
          <w:b/>
          <w:szCs w:val="24"/>
        </w:rPr>
      </w:pPr>
      <w:r w:rsidRPr="00BD7CE9">
        <w:rPr>
          <w:noProof/>
        </w:rPr>
        <w:drawing>
          <wp:inline distT="0" distB="0" distL="0" distR="0" wp14:anchorId="1004D7FF" wp14:editId="7256F725">
            <wp:extent cx="6208395" cy="5376184"/>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8395" cy="5376184"/>
                    </a:xfrm>
                    <a:prstGeom prst="rect">
                      <a:avLst/>
                    </a:prstGeom>
                    <a:noFill/>
                    <a:ln>
                      <a:noFill/>
                    </a:ln>
                  </pic:spPr>
                </pic:pic>
              </a:graphicData>
            </a:graphic>
          </wp:inline>
        </w:drawing>
      </w:r>
    </w:p>
    <w:p w14:paraId="45755C55" w14:textId="77777777" w:rsidR="005D181E" w:rsidRDefault="005D181E">
      <w:pPr>
        <w:spacing w:before="0" w:after="200" w:line="276" w:lineRule="auto"/>
        <w:rPr>
          <w:rFonts w:cs="Times New Roman"/>
          <w:b/>
          <w:szCs w:val="24"/>
        </w:rPr>
      </w:pPr>
      <w:r>
        <w:rPr>
          <w:rFonts w:cs="Times New Roman"/>
          <w:b/>
          <w:szCs w:val="24"/>
        </w:rPr>
        <w:br w:type="page"/>
      </w:r>
    </w:p>
    <w:p w14:paraId="33A6DFB0" w14:textId="35003EA3" w:rsidR="005D181E" w:rsidRDefault="003949FE" w:rsidP="005D181E">
      <w:pPr>
        <w:spacing w:before="0"/>
        <w:rPr>
          <w:rFonts w:cs="Times New Roman"/>
          <w:szCs w:val="24"/>
        </w:rPr>
      </w:pPr>
      <w:r>
        <w:rPr>
          <w:rFonts w:cs="Times New Roman"/>
          <w:b/>
          <w:szCs w:val="24"/>
        </w:rPr>
        <w:lastRenderedPageBreak/>
        <w:t>Supplementary Table 14</w:t>
      </w:r>
      <w:r w:rsidR="005D181E" w:rsidRPr="009019CD">
        <w:rPr>
          <w:rFonts w:cs="Times New Roman"/>
          <w:b/>
          <w:szCs w:val="24"/>
        </w:rPr>
        <w:t>.</w:t>
      </w:r>
      <w:r w:rsidR="005D181E" w:rsidRPr="0097018C">
        <w:rPr>
          <w:rFonts w:cs="Times New Roman"/>
          <w:szCs w:val="24"/>
        </w:rPr>
        <w:t xml:space="preserve"> </w:t>
      </w:r>
      <w:r w:rsidR="009C4A21">
        <w:rPr>
          <w:rFonts w:cs="Times New Roman"/>
          <w:szCs w:val="24"/>
        </w:rPr>
        <w:t>Iowa agriculture and restored prairie s</w:t>
      </w:r>
      <w:r w:rsidR="009C4A21" w:rsidRPr="0097018C">
        <w:rPr>
          <w:rFonts w:cs="Times New Roman"/>
          <w:szCs w:val="24"/>
        </w:rPr>
        <w:t>oil pore</w:t>
      </w:r>
      <w:r w:rsidR="009C4A21">
        <w:rPr>
          <w:rFonts w:cs="Times New Roman"/>
          <w:szCs w:val="24"/>
        </w:rPr>
        <w:t xml:space="preserve"> </w:t>
      </w:r>
      <w:r w:rsidR="009C4A21" w:rsidRPr="0097018C">
        <w:rPr>
          <w:rFonts w:cs="Times New Roman"/>
          <w:szCs w:val="24"/>
        </w:rPr>
        <w:t>water</w:t>
      </w:r>
      <w:r w:rsidR="009C4A21">
        <w:rPr>
          <w:rFonts w:cs="Times New Roman"/>
          <w:szCs w:val="24"/>
        </w:rPr>
        <w:t xml:space="preserve"> cation and anion fluxes. </w:t>
      </w:r>
      <w:r w:rsidR="009C4A21">
        <w:t>A dash indicates variable was not measured</w:t>
      </w:r>
      <w:r w:rsidR="009C4A21">
        <w:rPr>
          <w:rFonts w:cs="Times New Roman"/>
          <w:szCs w:val="24"/>
        </w:rPr>
        <w:t xml:space="preserve"> and </w:t>
      </w:r>
      <w:r w:rsidR="009C4A21">
        <w:t xml:space="preserve">ND means that ion was never detected in sample. </w:t>
      </w:r>
      <w:r w:rsidR="009C4A21">
        <w:rPr>
          <w:rFonts w:cs="Times New Roman"/>
          <w:szCs w:val="24"/>
        </w:rPr>
        <w:t>IGSN refers to International Geosample Number (</w:t>
      </w:r>
      <w:r w:rsidR="009C4A21" w:rsidRPr="005374BE">
        <w:rPr>
          <w:rFonts w:cs="Times New Roman"/>
          <w:szCs w:val="24"/>
        </w:rPr>
        <w:t>www.sesar.org</w:t>
      </w:r>
      <w:r w:rsidR="009C4A21">
        <w:rPr>
          <w:rFonts w:cs="Times New Roman"/>
          <w:szCs w:val="24"/>
        </w:rPr>
        <w:t>).</w:t>
      </w:r>
    </w:p>
    <w:p w14:paraId="0D19E3CB" w14:textId="54FDDBB4" w:rsidR="005D181E" w:rsidRDefault="00BD7CE9">
      <w:pPr>
        <w:spacing w:before="0" w:after="200" w:line="276" w:lineRule="auto"/>
        <w:rPr>
          <w:rFonts w:cs="Times New Roman"/>
          <w:b/>
          <w:szCs w:val="24"/>
        </w:rPr>
      </w:pPr>
      <w:r w:rsidRPr="00BD7CE9">
        <w:rPr>
          <w:noProof/>
        </w:rPr>
        <w:drawing>
          <wp:inline distT="0" distB="0" distL="0" distR="0" wp14:anchorId="2FF9380C" wp14:editId="36288573">
            <wp:extent cx="6208395" cy="4803362"/>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8395" cy="4803362"/>
                    </a:xfrm>
                    <a:prstGeom prst="rect">
                      <a:avLst/>
                    </a:prstGeom>
                    <a:noFill/>
                    <a:ln>
                      <a:noFill/>
                    </a:ln>
                  </pic:spPr>
                </pic:pic>
              </a:graphicData>
            </a:graphic>
          </wp:inline>
        </w:drawing>
      </w:r>
    </w:p>
    <w:p w14:paraId="1ED74B9E" w14:textId="72EE58A8" w:rsidR="003949FE" w:rsidRDefault="003949FE">
      <w:pPr>
        <w:spacing w:before="0" w:after="200" w:line="276" w:lineRule="auto"/>
        <w:rPr>
          <w:rFonts w:cs="Times New Roman"/>
          <w:b/>
          <w:szCs w:val="24"/>
        </w:rPr>
      </w:pPr>
      <w:r>
        <w:rPr>
          <w:rFonts w:cs="Times New Roman"/>
          <w:b/>
          <w:szCs w:val="24"/>
        </w:rPr>
        <w:br w:type="page"/>
      </w:r>
    </w:p>
    <w:p w14:paraId="3FC82749" w14:textId="77777777" w:rsidR="003949FE" w:rsidRDefault="003949FE" w:rsidP="003949FE">
      <w:pPr>
        <w:spacing w:after="0"/>
        <w:rPr>
          <w:rFonts w:cs="Times New Roman"/>
          <w:b/>
          <w:szCs w:val="24"/>
        </w:rPr>
      </w:pPr>
    </w:p>
    <w:p w14:paraId="7C97E8B1" w14:textId="5385A40B" w:rsidR="003949FE" w:rsidRDefault="003949FE" w:rsidP="003949FE">
      <w:pPr>
        <w:rPr>
          <w:rFonts w:cs="Times New Roman"/>
          <w:b/>
          <w:szCs w:val="24"/>
        </w:rPr>
      </w:pPr>
      <w:r>
        <w:rPr>
          <w:rFonts w:cs="Times New Roman"/>
          <w:b/>
          <w:szCs w:val="24"/>
        </w:rPr>
        <w:t>Supplementary Table 15</w:t>
      </w:r>
      <w:r w:rsidRPr="009019CD">
        <w:rPr>
          <w:rFonts w:cs="Times New Roman"/>
          <w:b/>
          <w:szCs w:val="24"/>
        </w:rPr>
        <w:t>.</w:t>
      </w:r>
      <w:r w:rsidRPr="0097018C">
        <w:rPr>
          <w:rFonts w:cs="Times New Roman"/>
          <w:szCs w:val="24"/>
        </w:rPr>
        <w:t xml:space="preserve"> </w:t>
      </w:r>
      <w:r>
        <w:t xml:space="preserve">Annual average soil volumetric water content (VWC), and annual average soil electrical conductivity (EC) in Nebraska (NE) and Iowa (IA) agriculture and restored prairie study sites. Standard deviations are given in parentheses. A dash indicates variable was not measured. VWC and EC were significantly different (p &lt; 0.05) at each depth between agriculture and prairie land use.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1"/>
        <w:gridCol w:w="1260"/>
        <w:gridCol w:w="1440"/>
        <w:gridCol w:w="1530"/>
      </w:tblGrid>
      <w:tr w:rsidR="003949FE" w:rsidRPr="00237030" w14:paraId="14D23A16" w14:textId="77777777" w:rsidTr="00701E7F">
        <w:trPr>
          <w:trHeight w:val="571"/>
        </w:trPr>
        <w:tc>
          <w:tcPr>
            <w:tcW w:w="1631" w:type="dxa"/>
            <w:vMerge w:val="restart"/>
            <w:tcBorders>
              <w:top w:val="single" w:sz="18" w:space="0" w:color="auto"/>
            </w:tcBorders>
            <w:vAlign w:val="center"/>
          </w:tcPr>
          <w:p w14:paraId="6AC6D1F3"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Site</w:t>
            </w:r>
          </w:p>
        </w:tc>
        <w:tc>
          <w:tcPr>
            <w:tcW w:w="1260" w:type="dxa"/>
            <w:tcBorders>
              <w:top w:val="single" w:sz="18" w:space="0" w:color="auto"/>
              <w:bottom w:val="single" w:sz="4" w:space="0" w:color="auto"/>
            </w:tcBorders>
            <w:vAlign w:val="center"/>
          </w:tcPr>
          <w:p w14:paraId="687136A9"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depth</w:t>
            </w:r>
          </w:p>
        </w:tc>
        <w:tc>
          <w:tcPr>
            <w:tcW w:w="1440" w:type="dxa"/>
            <w:tcBorders>
              <w:top w:val="single" w:sz="18" w:space="0" w:color="auto"/>
              <w:bottom w:val="single" w:sz="4" w:space="0" w:color="auto"/>
            </w:tcBorders>
            <w:vAlign w:val="center"/>
          </w:tcPr>
          <w:p w14:paraId="5A4AD413" w14:textId="77777777" w:rsidR="003949FE" w:rsidRPr="00237030" w:rsidRDefault="003949FE" w:rsidP="00701E7F">
            <w:pPr>
              <w:spacing w:before="0" w:after="0"/>
              <w:jc w:val="center"/>
              <w:rPr>
                <w:rFonts w:eastAsia="Cambria" w:cs="Times New Roman"/>
                <w:sz w:val="22"/>
                <w:szCs w:val="24"/>
              </w:rPr>
            </w:pPr>
            <w:r>
              <w:rPr>
                <w:rFonts w:eastAsia="Cambria" w:cs="Times New Roman"/>
                <w:sz w:val="22"/>
                <w:szCs w:val="24"/>
              </w:rPr>
              <w:t>VWC</w:t>
            </w:r>
          </w:p>
        </w:tc>
        <w:tc>
          <w:tcPr>
            <w:tcW w:w="1530" w:type="dxa"/>
            <w:tcBorders>
              <w:top w:val="single" w:sz="18" w:space="0" w:color="auto"/>
              <w:bottom w:val="single" w:sz="4" w:space="0" w:color="auto"/>
            </w:tcBorders>
            <w:vAlign w:val="center"/>
          </w:tcPr>
          <w:p w14:paraId="03B6BF36" w14:textId="77777777" w:rsidR="003949FE" w:rsidRPr="00C95CC4" w:rsidRDefault="003949FE" w:rsidP="00701E7F">
            <w:pPr>
              <w:spacing w:before="0" w:after="0"/>
              <w:jc w:val="center"/>
              <w:rPr>
                <w:color w:val="000000"/>
                <w:sz w:val="22"/>
              </w:rPr>
            </w:pPr>
            <w:r>
              <w:rPr>
                <w:color w:val="000000"/>
                <w:sz w:val="22"/>
              </w:rPr>
              <w:t>EC</w:t>
            </w:r>
          </w:p>
        </w:tc>
      </w:tr>
      <w:tr w:rsidR="003949FE" w:rsidRPr="00237030" w14:paraId="2A041241" w14:textId="77777777" w:rsidTr="00701E7F">
        <w:trPr>
          <w:trHeight w:val="202"/>
        </w:trPr>
        <w:tc>
          <w:tcPr>
            <w:tcW w:w="1631" w:type="dxa"/>
            <w:vMerge/>
            <w:tcBorders>
              <w:bottom w:val="single" w:sz="4" w:space="0" w:color="auto"/>
            </w:tcBorders>
          </w:tcPr>
          <w:p w14:paraId="600B0BB2" w14:textId="77777777" w:rsidR="003949FE" w:rsidRDefault="003949FE" w:rsidP="00701E7F">
            <w:pPr>
              <w:spacing w:before="0" w:after="0"/>
              <w:jc w:val="center"/>
              <w:rPr>
                <w:rFonts w:eastAsia="Cambria" w:cs="Times New Roman"/>
                <w:sz w:val="22"/>
                <w:szCs w:val="24"/>
              </w:rPr>
            </w:pPr>
          </w:p>
        </w:tc>
        <w:tc>
          <w:tcPr>
            <w:tcW w:w="1260" w:type="dxa"/>
            <w:tcBorders>
              <w:top w:val="single" w:sz="4" w:space="0" w:color="auto"/>
              <w:bottom w:val="single" w:sz="4" w:space="0" w:color="auto"/>
            </w:tcBorders>
            <w:vAlign w:val="center"/>
          </w:tcPr>
          <w:p w14:paraId="22CCA43A"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cm</w:t>
            </w:r>
          </w:p>
        </w:tc>
        <w:tc>
          <w:tcPr>
            <w:tcW w:w="1440" w:type="dxa"/>
            <w:tcBorders>
              <w:top w:val="single" w:sz="4" w:space="0" w:color="auto"/>
              <w:bottom w:val="single" w:sz="4" w:space="0" w:color="auto"/>
            </w:tcBorders>
            <w:vAlign w:val="center"/>
          </w:tcPr>
          <w:p w14:paraId="1FC50284"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m</w:t>
            </w:r>
            <w:r w:rsidRPr="00B3616E">
              <w:rPr>
                <w:rFonts w:eastAsia="Cambria" w:cs="Times New Roman"/>
                <w:sz w:val="22"/>
                <w:szCs w:val="24"/>
                <w:vertAlign w:val="superscript"/>
              </w:rPr>
              <w:t>3</w:t>
            </w:r>
            <w:r>
              <w:rPr>
                <w:rFonts w:eastAsia="Cambria" w:cs="Times New Roman"/>
                <w:sz w:val="22"/>
                <w:szCs w:val="24"/>
              </w:rPr>
              <w:t xml:space="preserve"> m</w:t>
            </w:r>
            <w:r w:rsidRPr="00B3616E">
              <w:rPr>
                <w:rFonts w:eastAsia="Cambria" w:cs="Times New Roman"/>
                <w:sz w:val="22"/>
                <w:szCs w:val="24"/>
                <w:vertAlign w:val="superscript"/>
              </w:rPr>
              <w:t>-3</w:t>
            </w:r>
          </w:p>
        </w:tc>
        <w:tc>
          <w:tcPr>
            <w:tcW w:w="1530" w:type="dxa"/>
            <w:tcBorders>
              <w:top w:val="single" w:sz="4" w:space="0" w:color="auto"/>
              <w:bottom w:val="single" w:sz="4" w:space="0" w:color="auto"/>
            </w:tcBorders>
            <w:vAlign w:val="center"/>
          </w:tcPr>
          <w:p w14:paraId="63FE3354" w14:textId="77777777" w:rsidR="003949FE" w:rsidRDefault="003949FE" w:rsidP="00701E7F">
            <w:pPr>
              <w:spacing w:before="0" w:after="0"/>
              <w:jc w:val="center"/>
              <w:rPr>
                <w:color w:val="000000"/>
                <w:sz w:val="22"/>
              </w:rPr>
            </w:pPr>
            <w:r>
              <w:rPr>
                <w:color w:val="000000"/>
                <w:sz w:val="22"/>
              </w:rPr>
              <w:t>mS cm</w:t>
            </w:r>
            <w:r w:rsidRPr="00B3616E">
              <w:rPr>
                <w:color w:val="000000"/>
                <w:sz w:val="22"/>
                <w:vertAlign w:val="superscript"/>
              </w:rPr>
              <w:t>-1</w:t>
            </w:r>
          </w:p>
        </w:tc>
      </w:tr>
      <w:tr w:rsidR="003949FE" w:rsidRPr="00237030" w14:paraId="6EF09BA9" w14:textId="77777777" w:rsidTr="00701E7F">
        <w:trPr>
          <w:trHeight w:val="238"/>
        </w:trPr>
        <w:tc>
          <w:tcPr>
            <w:tcW w:w="1631" w:type="dxa"/>
            <w:tcBorders>
              <w:top w:val="single" w:sz="4" w:space="0" w:color="auto"/>
            </w:tcBorders>
            <w:vAlign w:val="center"/>
          </w:tcPr>
          <w:p w14:paraId="793D214D" w14:textId="77777777" w:rsidR="003949FE" w:rsidRDefault="003949FE" w:rsidP="00701E7F">
            <w:pPr>
              <w:spacing w:before="0" w:after="0"/>
              <w:rPr>
                <w:rFonts w:eastAsia="Cambria" w:cs="Times New Roman"/>
                <w:sz w:val="22"/>
                <w:szCs w:val="24"/>
              </w:rPr>
            </w:pPr>
            <w:r>
              <w:rPr>
                <w:rFonts w:eastAsia="Cambria" w:cs="Times New Roman"/>
                <w:sz w:val="22"/>
                <w:szCs w:val="24"/>
              </w:rPr>
              <w:t>NE Agriculture</w:t>
            </w:r>
          </w:p>
        </w:tc>
        <w:tc>
          <w:tcPr>
            <w:tcW w:w="1260" w:type="dxa"/>
            <w:tcBorders>
              <w:top w:val="single" w:sz="4" w:space="0" w:color="auto"/>
            </w:tcBorders>
            <w:vAlign w:val="center"/>
          </w:tcPr>
          <w:p w14:paraId="39337112" w14:textId="77777777" w:rsidR="003949FE" w:rsidRPr="006F75DA" w:rsidRDefault="003949FE" w:rsidP="00701E7F">
            <w:pPr>
              <w:spacing w:before="0" w:after="0"/>
              <w:jc w:val="center"/>
              <w:rPr>
                <w:rFonts w:eastAsia="Cambria" w:cs="Times New Roman"/>
                <w:sz w:val="22"/>
                <w:szCs w:val="24"/>
              </w:rPr>
            </w:pPr>
            <w:r>
              <w:rPr>
                <w:rFonts w:eastAsia="Cambria" w:cs="Times New Roman"/>
                <w:sz w:val="22"/>
                <w:szCs w:val="24"/>
              </w:rPr>
              <w:t>10</w:t>
            </w:r>
          </w:p>
        </w:tc>
        <w:tc>
          <w:tcPr>
            <w:tcW w:w="1440" w:type="dxa"/>
            <w:tcBorders>
              <w:top w:val="single" w:sz="4" w:space="0" w:color="auto"/>
            </w:tcBorders>
            <w:vAlign w:val="center"/>
          </w:tcPr>
          <w:p w14:paraId="0585A12D"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0.331</w:t>
            </w:r>
            <w:r>
              <w:rPr>
                <w:rFonts w:eastAsia="Cambria" w:cs="Times New Roman"/>
                <w:sz w:val="22"/>
                <w:szCs w:val="24"/>
              </w:rPr>
              <w:t xml:space="preserve"> (</w:t>
            </w:r>
            <w:r w:rsidRPr="006F75DA">
              <w:rPr>
                <w:rFonts w:eastAsia="Cambria" w:cs="Times New Roman"/>
                <w:sz w:val="22"/>
                <w:szCs w:val="24"/>
              </w:rPr>
              <w:t>0.078</w:t>
            </w:r>
            <w:r>
              <w:rPr>
                <w:rFonts w:eastAsia="Cambria" w:cs="Times New Roman"/>
                <w:sz w:val="22"/>
                <w:szCs w:val="24"/>
              </w:rPr>
              <w:t>)</w:t>
            </w:r>
          </w:p>
        </w:tc>
        <w:tc>
          <w:tcPr>
            <w:tcW w:w="1530" w:type="dxa"/>
            <w:tcBorders>
              <w:top w:val="single" w:sz="4" w:space="0" w:color="auto"/>
            </w:tcBorders>
            <w:vAlign w:val="center"/>
          </w:tcPr>
          <w:p w14:paraId="7284E275"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0.272</w:t>
            </w:r>
            <w:r>
              <w:rPr>
                <w:rFonts w:eastAsia="Cambria" w:cs="Times New Roman"/>
                <w:sz w:val="22"/>
                <w:szCs w:val="24"/>
              </w:rPr>
              <w:t xml:space="preserve"> (0.12)</w:t>
            </w:r>
          </w:p>
        </w:tc>
      </w:tr>
      <w:tr w:rsidR="003949FE" w:rsidRPr="00237030" w14:paraId="4A0618F0" w14:textId="77777777" w:rsidTr="00701E7F">
        <w:trPr>
          <w:trHeight w:val="238"/>
        </w:trPr>
        <w:tc>
          <w:tcPr>
            <w:tcW w:w="1631" w:type="dxa"/>
            <w:shd w:val="clear" w:color="auto" w:fill="auto"/>
            <w:vAlign w:val="center"/>
          </w:tcPr>
          <w:p w14:paraId="1F9097A9" w14:textId="77777777" w:rsidR="003949FE" w:rsidRDefault="003949FE" w:rsidP="00701E7F">
            <w:pPr>
              <w:spacing w:before="0" w:after="0"/>
              <w:rPr>
                <w:rFonts w:eastAsia="Cambria" w:cs="Times New Roman"/>
                <w:sz w:val="22"/>
                <w:szCs w:val="24"/>
              </w:rPr>
            </w:pPr>
          </w:p>
        </w:tc>
        <w:tc>
          <w:tcPr>
            <w:tcW w:w="1260" w:type="dxa"/>
            <w:vAlign w:val="center"/>
          </w:tcPr>
          <w:p w14:paraId="0916EC37" w14:textId="77777777" w:rsidR="003949FE" w:rsidRPr="006F75DA" w:rsidRDefault="003949FE" w:rsidP="00701E7F">
            <w:pPr>
              <w:spacing w:before="0" w:after="0"/>
              <w:jc w:val="center"/>
              <w:rPr>
                <w:rFonts w:eastAsia="Cambria" w:cs="Times New Roman"/>
                <w:sz w:val="22"/>
                <w:szCs w:val="24"/>
              </w:rPr>
            </w:pPr>
            <w:r>
              <w:rPr>
                <w:rFonts w:eastAsia="Cambria" w:cs="Times New Roman"/>
                <w:sz w:val="22"/>
                <w:szCs w:val="24"/>
              </w:rPr>
              <w:t>25</w:t>
            </w:r>
          </w:p>
        </w:tc>
        <w:tc>
          <w:tcPr>
            <w:tcW w:w="1440" w:type="dxa"/>
            <w:shd w:val="clear" w:color="auto" w:fill="auto"/>
            <w:vAlign w:val="center"/>
          </w:tcPr>
          <w:p w14:paraId="4F70A7D6"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0.343</w:t>
            </w:r>
            <w:r>
              <w:rPr>
                <w:rFonts w:eastAsia="Cambria" w:cs="Times New Roman"/>
                <w:sz w:val="22"/>
                <w:szCs w:val="24"/>
              </w:rPr>
              <w:t xml:space="preserve"> (</w:t>
            </w:r>
            <w:r w:rsidRPr="006F75DA">
              <w:rPr>
                <w:rFonts w:eastAsia="Cambria" w:cs="Times New Roman"/>
                <w:sz w:val="22"/>
                <w:szCs w:val="24"/>
              </w:rPr>
              <w:t>0.058</w:t>
            </w:r>
            <w:r>
              <w:rPr>
                <w:rFonts w:eastAsia="Cambria" w:cs="Times New Roman"/>
                <w:sz w:val="22"/>
                <w:szCs w:val="24"/>
              </w:rPr>
              <w:t>)</w:t>
            </w:r>
          </w:p>
        </w:tc>
        <w:tc>
          <w:tcPr>
            <w:tcW w:w="1530" w:type="dxa"/>
            <w:shd w:val="clear" w:color="auto" w:fill="auto"/>
            <w:vAlign w:val="center"/>
          </w:tcPr>
          <w:p w14:paraId="2FE39CE0"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0.331</w:t>
            </w:r>
            <w:r>
              <w:rPr>
                <w:rFonts w:eastAsia="Cambria" w:cs="Times New Roman"/>
                <w:sz w:val="22"/>
                <w:szCs w:val="24"/>
              </w:rPr>
              <w:t xml:space="preserve"> (</w:t>
            </w:r>
            <w:r w:rsidRPr="006F75DA">
              <w:rPr>
                <w:rFonts w:eastAsia="Cambria" w:cs="Times New Roman"/>
                <w:sz w:val="22"/>
                <w:szCs w:val="24"/>
              </w:rPr>
              <w:t>0.10</w:t>
            </w:r>
            <w:r>
              <w:rPr>
                <w:rFonts w:eastAsia="Cambria" w:cs="Times New Roman"/>
                <w:sz w:val="22"/>
                <w:szCs w:val="24"/>
              </w:rPr>
              <w:t>)</w:t>
            </w:r>
          </w:p>
        </w:tc>
      </w:tr>
      <w:tr w:rsidR="003949FE" w:rsidRPr="00237030" w14:paraId="1D9DD9C6" w14:textId="77777777" w:rsidTr="00701E7F">
        <w:trPr>
          <w:trHeight w:val="238"/>
        </w:trPr>
        <w:tc>
          <w:tcPr>
            <w:tcW w:w="1631" w:type="dxa"/>
            <w:shd w:val="clear" w:color="auto" w:fill="auto"/>
            <w:vAlign w:val="center"/>
          </w:tcPr>
          <w:p w14:paraId="66F787AD" w14:textId="77777777" w:rsidR="003949FE" w:rsidRDefault="003949FE" w:rsidP="00701E7F">
            <w:pPr>
              <w:spacing w:before="0" w:after="0"/>
              <w:rPr>
                <w:rFonts w:eastAsia="Cambria" w:cs="Times New Roman"/>
                <w:sz w:val="22"/>
                <w:szCs w:val="24"/>
              </w:rPr>
            </w:pPr>
          </w:p>
        </w:tc>
        <w:tc>
          <w:tcPr>
            <w:tcW w:w="1260" w:type="dxa"/>
            <w:vAlign w:val="center"/>
          </w:tcPr>
          <w:p w14:paraId="411CE58B" w14:textId="77777777" w:rsidR="003949FE" w:rsidRPr="006F75DA" w:rsidRDefault="003949FE" w:rsidP="00701E7F">
            <w:pPr>
              <w:spacing w:before="0" w:after="0"/>
              <w:jc w:val="center"/>
              <w:rPr>
                <w:rFonts w:eastAsia="Cambria" w:cs="Times New Roman"/>
                <w:sz w:val="22"/>
                <w:szCs w:val="24"/>
              </w:rPr>
            </w:pPr>
            <w:r>
              <w:rPr>
                <w:rFonts w:eastAsia="Cambria" w:cs="Times New Roman"/>
                <w:sz w:val="22"/>
                <w:szCs w:val="24"/>
              </w:rPr>
              <w:t>50</w:t>
            </w:r>
          </w:p>
        </w:tc>
        <w:tc>
          <w:tcPr>
            <w:tcW w:w="1440" w:type="dxa"/>
            <w:shd w:val="clear" w:color="auto" w:fill="auto"/>
            <w:vAlign w:val="center"/>
          </w:tcPr>
          <w:p w14:paraId="0C9EDC57"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0.354</w:t>
            </w:r>
            <w:r>
              <w:rPr>
                <w:rFonts w:eastAsia="Cambria" w:cs="Times New Roman"/>
                <w:sz w:val="22"/>
                <w:szCs w:val="24"/>
              </w:rPr>
              <w:t xml:space="preserve"> (</w:t>
            </w:r>
            <w:r w:rsidRPr="006F75DA">
              <w:rPr>
                <w:rFonts w:eastAsia="Cambria" w:cs="Times New Roman"/>
                <w:sz w:val="22"/>
                <w:szCs w:val="24"/>
              </w:rPr>
              <w:t>0.031</w:t>
            </w:r>
            <w:r>
              <w:rPr>
                <w:rFonts w:eastAsia="Cambria" w:cs="Times New Roman"/>
                <w:sz w:val="22"/>
                <w:szCs w:val="24"/>
              </w:rPr>
              <w:t>)</w:t>
            </w:r>
          </w:p>
        </w:tc>
        <w:tc>
          <w:tcPr>
            <w:tcW w:w="1530" w:type="dxa"/>
            <w:shd w:val="clear" w:color="auto" w:fill="auto"/>
            <w:vAlign w:val="center"/>
          </w:tcPr>
          <w:p w14:paraId="4577BD16"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0.362</w:t>
            </w:r>
            <w:r>
              <w:rPr>
                <w:rFonts w:eastAsia="Cambria" w:cs="Times New Roman"/>
                <w:sz w:val="22"/>
                <w:szCs w:val="24"/>
              </w:rPr>
              <w:t xml:space="preserve"> (</w:t>
            </w:r>
            <w:r w:rsidRPr="006F75DA">
              <w:rPr>
                <w:rFonts w:eastAsia="Cambria" w:cs="Times New Roman"/>
                <w:sz w:val="22"/>
                <w:szCs w:val="24"/>
              </w:rPr>
              <w:t>0.082</w:t>
            </w:r>
            <w:r>
              <w:rPr>
                <w:rFonts w:eastAsia="Cambria" w:cs="Times New Roman"/>
                <w:sz w:val="22"/>
                <w:szCs w:val="24"/>
              </w:rPr>
              <w:t>)</w:t>
            </w:r>
          </w:p>
        </w:tc>
      </w:tr>
      <w:tr w:rsidR="003949FE" w:rsidRPr="00237030" w14:paraId="2076C448" w14:textId="77777777" w:rsidTr="00701E7F">
        <w:trPr>
          <w:trHeight w:val="238"/>
        </w:trPr>
        <w:tc>
          <w:tcPr>
            <w:tcW w:w="1631" w:type="dxa"/>
            <w:shd w:val="clear" w:color="auto" w:fill="auto"/>
            <w:vAlign w:val="center"/>
          </w:tcPr>
          <w:p w14:paraId="4BB8402B" w14:textId="77777777" w:rsidR="003949FE" w:rsidRDefault="003949FE" w:rsidP="00701E7F">
            <w:pPr>
              <w:spacing w:before="0" w:after="0"/>
              <w:rPr>
                <w:rFonts w:eastAsia="Cambria" w:cs="Times New Roman"/>
                <w:sz w:val="22"/>
                <w:szCs w:val="24"/>
              </w:rPr>
            </w:pPr>
          </w:p>
        </w:tc>
        <w:tc>
          <w:tcPr>
            <w:tcW w:w="1260" w:type="dxa"/>
            <w:vAlign w:val="center"/>
          </w:tcPr>
          <w:p w14:paraId="76829725" w14:textId="77777777" w:rsidR="003949FE" w:rsidRPr="006F75DA" w:rsidRDefault="003949FE" w:rsidP="00701E7F">
            <w:pPr>
              <w:spacing w:before="0" w:after="0"/>
              <w:jc w:val="center"/>
              <w:rPr>
                <w:rFonts w:eastAsia="Cambria" w:cs="Times New Roman"/>
                <w:sz w:val="22"/>
                <w:szCs w:val="24"/>
              </w:rPr>
            </w:pPr>
            <w:r>
              <w:rPr>
                <w:rFonts w:eastAsia="Cambria" w:cs="Times New Roman"/>
                <w:sz w:val="22"/>
                <w:szCs w:val="24"/>
              </w:rPr>
              <w:t>100</w:t>
            </w:r>
          </w:p>
        </w:tc>
        <w:tc>
          <w:tcPr>
            <w:tcW w:w="1440" w:type="dxa"/>
            <w:shd w:val="clear" w:color="auto" w:fill="auto"/>
            <w:vAlign w:val="center"/>
          </w:tcPr>
          <w:p w14:paraId="0AED6B5E"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0.362</w:t>
            </w:r>
            <w:r>
              <w:rPr>
                <w:rFonts w:eastAsia="Cambria" w:cs="Times New Roman"/>
                <w:sz w:val="22"/>
                <w:szCs w:val="24"/>
              </w:rPr>
              <w:t xml:space="preserve"> (</w:t>
            </w:r>
            <w:r w:rsidRPr="006F75DA">
              <w:rPr>
                <w:rFonts w:eastAsia="Cambria" w:cs="Times New Roman"/>
                <w:sz w:val="22"/>
                <w:szCs w:val="24"/>
              </w:rPr>
              <w:t>0.029</w:t>
            </w:r>
            <w:r>
              <w:rPr>
                <w:rFonts w:eastAsia="Cambria" w:cs="Times New Roman"/>
                <w:sz w:val="22"/>
                <w:szCs w:val="24"/>
              </w:rPr>
              <w:t>)</w:t>
            </w:r>
          </w:p>
        </w:tc>
        <w:tc>
          <w:tcPr>
            <w:tcW w:w="1530" w:type="dxa"/>
            <w:shd w:val="clear" w:color="auto" w:fill="auto"/>
            <w:vAlign w:val="center"/>
          </w:tcPr>
          <w:p w14:paraId="513CB19D"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0.428</w:t>
            </w:r>
            <w:r>
              <w:rPr>
                <w:rFonts w:eastAsia="Cambria" w:cs="Times New Roman"/>
                <w:sz w:val="22"/>
                <w:szCs w:val="24"/>
              </w:rPr>
              <w:t xml:space="preserve"> (</w:t>
            </w:r>
            <w:r w:rsidRPr="006F75DA">
              <w:rPr>
                <w:rFonts w:eastAsia="Cambria" w:cs="Times New Roman"/>
                <w:sz w:val="22"/>
                <w:szCs w:val="24"/>
              </w:rPr>
              <w:t>0.086</w:t>
            </w:r>
            <w:r>
              <w:rPr>
                <w:rFonts w:eastAsia="Cambria" w:cs="Times New Roman"/>
                <w:sz w:val="22"/>
                <w:szCs w:val="24"/>
              </w:rPr>
              <w:t>)</w:t>
            </w:r>
          </w:p>
        </w:tc>
      </w:tr>
      <w:tr w:rsidR="003949FE" w:rsidRPr="00237030" w14:paraId="309B9268" w14:textId="77777777" w:rsidTr="00701E7F">
        <w:trPr>
          <w:trHeight w:val="275"/>
        </w:trPr>
        <w:tc>
          <w:tcPr>
            <w:tcW w:w="1631" w:type="dxa"/>
            <w:vAlign w:val="center"/>
          </w:tcPr>
          <w:p w14:paraId="0754B562" w14:textId="77777777" w:rsidR="003949FE" w:rsidRPr="00237030" w:rsidRDefault="003949FE" w:rsidP="00701E7F">
            <w:pPr>
              <w:spacing w:before="0" w:after="0"/>
              <w:rPr>
                <w:rFonts w:eastAsia="Cambria" w:cs="Times New Roman"/>
                <w:sz w:val="22"/>
                <w:szCs w:val="24"/>
              </w:rPr>
            </w:pPr>
            <w:r>
              <w:rPr>
                <w:rFonts w:eastAsia="Cambria" w:cs="Times New Roman"/>
                <w:sz w:val="22"/>
                <w:szCs w:val="24"/>
              </w:rPr>
              <w:t>NE Prairie</w:t>
            </w:r>
          </w:p>
        </w:tc>
        <w:tc>
          <w:tcPr>
            <w:tcW w:w="1260" w:type="dxa"/>
            <w:vAlign w:val="center"/>
          </w:tcPr>
          <w:p w14:paraId="57BF1F0E" w14:textId="77777777" w:rsidR="003949FE" w:rsidRPr="006F75DA" w:rsidRDefault="003949FE" w:rsidP="00701E7F">
            <w:pPr>
              <w:spacing w:before="0" w:after="0"/>
              <w:jc w:val="center"/>
              <w:rPr>
                <w:rFonts w:eastAsia="Cambria" w:cs="Times New Roman"/>
                <w:sz w:val="22"/>
                <w:szCs w:val="24"/>
              </w:rPr>
            </w:pPr>
            <w:r>
              <w:rPr>
                <w:rFonts w:eastAsia="Cambria" w:cs="Times New Roman"/>
                <w:sz w:val="22"/>
                <w:szCs w:val="24"/>
              </w:rPr>
              <w:t>10</w:t>
            </w:r>
          </w:p>
        </w:tc>
        <w:tc>
          <w:tcPr>
            <w:tcW w:w="1440" w:type="dxa"/>
            <w:vAlign w:val="center"/>
          </w:tcPr>
          <w:p w14:paraId="5A174D9A"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0.249</w:t>
            </w:r>
            <w:r>
              <w:rPr>
                <w:rFonts w:eastAsia="Cambria" w:cs="Times New Roman"/>
                <w:sz w:val="22"/>
                <w:szCs w:val="24"/>
              </w:rPr>
              <w:t xml:space="preserve"> (</w:t>
            </w:r>
            <w:r w:rsidRPr="006F75DA">
              <w:rPr>
                <w:rFonts w:eastAsia="Cambria" w:cs="Times New Roman"/>
                <w:sz w:val="22"/>
                <w:szCs w:val="24"/>
              </w:rPr>
              <w:t>0.073</w:t>
            </w:r>
            <w:r>
              <w:rPr>
                <w:rFonts w:eastAsia="Cambria" w:cs="Times New Roman"/>
                <w:sz w:val="22"/>
                <w:szCs w:val="24"/>
              </w:rPr>
              <w:t>)</w:t>
            </w:r>
          </w:p>
        </w:tc>
        <w:tc>
          <w:tcPr>
            <w:tcW w:w="1530" w:type="dxa"/>
            <w:vAlign w:val="center"/>
          </w:tcPr>
          <w:p w14:paraId="4B08EDE7"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0.0932</w:t>
            </w:r>
            <w:r>
              <w:rPr>
                <w:rFonts w:eastAsia="Cambria" w:cs="Times New Roman"/>
                <w:sz w:val="22"/>
                <w:szCs w:val="24"/>
              </w:rPr>
              <w:t xml:space="preserve"> (</w:t>
            </w:r>
            <w:r w:rsidRPr="006F75DA">
              <w:rPr>
                <w:rFonts w:eastAsia="Cambria" w:cs="Times New Roman"/>
                <w:sz w:val="22"/>
                <w:szCs w:val="24"/>
              </w:rPr>
              <w:t>0.04</w:t>
            </w:r>
            <w:r>
              <w:rPr>
                <w:rFonts w:eastAsia="Cambria" w:cs="Times New Roman"/>
                <w:sz w:val="22"/>
                <w:szCs w:val="24"/>
              </w:rPr>
              <w:t>0)</w:t>
            </w:r>
          </w:p>
        </w:tc>
      </w:tr>
      <w:tr w:rsidR="003949FE" w:rsidRPr="00237030" w14:paraId="7A55308C" w14:textId="77777777" w:rsidTr="00701E7F">
        <w:trPr>
          <w:trHeight w:val="275"/>
        </w:trPr>
        <w:tc>
          <w:tcPr>
            <w:tcW w:w="1631" w:type="dxa"/>
            <w:vAlign w:val="center"/>
          </w:tcPr>
          <w:p w14:paraId="5B4C714D" w14:textId="77777777" w:rsidR="003949FE" w:rsidRDefault="003949FE" w:rsidP="00701E7F">
            <w:pPr>
              <w:spacing w:before="0" w:after="0"/>
              <w:rPr>
                <w:rFonts w:eastAsia="Cambria" w:cs="Times New Roman"/>
                <w:sz w:val="22"/>
                <w:szCs w:val="24"/>
              </w:rPr>
            </w:pPr>
          </w:p>
        </w:tc>
        <w:tc>
          <w:tcPr>
            <w:tcW w:w="1260" w:type="dxa"/>
            <w:vAlign w:val="center"/>
          </w:tcPr>
          <w:p w14:paraId="1EA388CB" w14:textId="77777777" w:rsidR="003949FE" w:rsidRPr="006F75DA" w:rsidRDefault="003949FE" w:rsidP="00701E7F">
            <w:pPr>
              <w:spacing w:before="0" w:after="0"/>
              <w:jc w:val="center"/>
              <w:rPr>
                <w:rFonts w:eastAsia="Cambria" w:cs="Times New Roman"/>
                <w:sz w:val="22"/>
                <w:szCs w:val="24"/>
              </w:rPr>
            </w:pPr>
            <w:r>
              <w:rPr>
                <w:rFonts w:eastAsia="Cambria" w:cs="Times New Roman"/>
                <w:sz w:val="22"/>
                <w:szCs w:val="24"/>
              </w:rPr>
              <w:t>25</w:t>
            </w:r>
          </w:p>
        </w:tc>
        <w:tc>
          <w:tcPr>
            <w:tcW w:w="1440" w:type="dxa"/>
            <w:vAlign w:val="center"/>
          </w:tcPr>
          <w:p w14:paraId="02C383DB"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0.167</w:t>
            </w:r>
            <w:r>
              <w:rPr>
                <w:rFonts w:eastAsia="Cambria" w:cs="Times New Roman"/>
                <w:sz w:val="22"/>
                <w:szCs w:val="24"/>
              </w:rPr>
              <w:t xml:space="preserve"> (</w:t>
            </w:r>
            <w:r w:rsidRPr="006F75DA">
              <w:rPr>
                <w:rFonts w:eastAsia="Cambria" w:cs="Times New Roman"/>
                <w:sz w:val="22"/>
                <w:szCs w:val="24"/>
              </w:rPr>
              <w:t>0.045</w:t>
            </w:r>
            <w:r>
              <w:rPr>
                <w:rFonts w:eastAsia="Cambria" w:cs="Times New Roman"/>
                <w:sz w:val="22"/>
                <w:szCs w:val="24"/>
              </w:rPr>
              <w:t>)</w:t>
            </w:r>
          </w:p>
        </w:tc>
        <w:tc>
          <w:tcPr>
            <w:tcW w:w="1530" w:type="dxa"/>
            <w:vAlign w:val="center"/>
          </w:tcPr>
          <w:p w14:paraId="21A60D33"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0.167</w:t>
            </w:r>
            <w:r>
              <w:rPr>
                <w:rFonts w:eastAsia="Cambria" w:cs="Times New Roman"/>
                <w:sz w:val="22"/>
                <w:szCs w:val="24"/>
              </w:rPr>
              <w:t xml:space="preserve"> (</w:t>
            </w:r>
            <w:r w:rsidRPr="006F75DA">
              <w:rPr>
                <w:rFonts w:eastAsia="Cambria" w:cs="Times New Roman"/>
                <w:sz w:val="22"/>
                <w:szCs w:val="24"/>
              </w:rPr>
              <w:t>0.045</w:t>
            </w:r>
            <w:r>
              <w:rPr>
                <w:rFonts w:eastAsia="Cambria" w:cs="Times New Roman"/>
                <w:sz w:val="22"/>
                <w:szCs w:val="24"/>
              </w:rPr>
              <w:t>)</w:t>
            </w:r>
          </w:p>
        </w:tc>
      </w:tr>
      <w:tr w:rsidR="003949FE" w:rsidRPr="00237030" w14:paraId="6FEE5D3A" w14:textId="77777777" w:rsidTr="00701E7F">
        <w:trPr>
          <w:trHeight w:val="275"/>
        </w:trPr>
        <w:tc>
          <w:tcPr>
            <w:tcW w:w="1631" w:type="dxa"/>
            <w:vAlign w:val="center"/>
          </w:tcPr>
          <w:p w14:paraId="31346598" w14:textId="77777777" w:rsidR="003949FE" w:rsidRDefault="003949FE" w:rsidP="00701E7F">
            <w:pPr>
              <w:spacing w:before="0" w:after="0"/>
              <w:rPr>
                <w:rFonts w:eastAsia="Cambria" w:cs="Times New Roman"/>
                <w:sz w:val="22"/>
                <w:szCs w:val="24"/>
              </w:rPr>
            </w:pPr>
          </w:p>
        </w:tc>
        <w:tc>
          <w:tcPr>
            <w:tcW w:w="1260" w:type="dxa"/>
            <w:vAlign w:val="center"/>
          </w:tcPr>
          <w:p w14:paraId="422A4013" w14:textId="77777777" w:rsidR="003949FE" w:rsidRPr="006F75DA" w:rsidRDefault="003949FE" w:rsidP="00701E7F">
            <w:pPr>
              <w:spacing w:before="0" w:after="0"/>
              <w:jc w:val="center"/>
              <w:rPr>
                <w:rFonts w:eastAsia="Cambria" w:cs="Times New Roman"/>
                <w:sz w:val="22"/>
                <w:szCs w:val="24"/>
              </w:rPr>
            </w:pPr>
            <w:r>
              <w:rPr>
                <w:rFonts w:eastAsia="Cambria" w:cs="Times New Roman"/>
                <w:sz w:val="22"/>
                <w:szCs w:val="24"/>
              </w:rPr>
              <w:t>50</w:t>
            </w:r>
          </w:p>
        </w:tc>
        <w:tc>
          <w:tcPr>
            <w:tcW w:w="1440" w:type="dxa"/>
            <w:vAlign w:val="center"/>
          </w:tcPr>
          <w:p w14:paraId="69E8FA28"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0.383</w:t>
            </w:r>
            <w:r>
              <w:rPr>
                <w:rFonts w:eastAsia="Cambria" w:cs="Times New Roman"/>
                <w:sz w:val="22"/>
                <w:szCs w:val="24"/>
              </w:rPr>
              <w:t xml:space="preserve"> (</w:t>
            </w:r>
            <w:r w:rsidRPr="006F75DA">
              <w:rPr>
                <w:rFonts w:eastAsia="Cambria" w:cs="Times New Roman"/>
                <w:sz w:val="22"/>
                <w:szCs w:val="24"/>
              </w:rPr>
              <w:t>0.039</w:t>
            </w:r>
            <w:r>
              <w:rPr>
                <w:rFonts w:eastAsia="Cambria" w:cs="Times New Roman"/>
                <w:sz w:val="22"/>
                <w:szCs w:val="24"/>
              </w:rPr>
              <w:t>)</w:t>
            </w:r>
          </w:p>
        </w:tc>
        <w:tc>
          <w:tcPr>
            <w:tcW w:w="1530" w:type="dxa"/>
            <w:vAlign w:val="center"/>
          </w:tcPr>
          <w:p w14:paraId="29D1C7E5"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0.275</w:t>
            </w:r>
            <w:r>
              <w:rPr>
                <w:rFonts w:eastAsia="Cambria" w:cs="Times New Roman"/>
                <w:sz w:val="22"/>
                <w:szCs w:val="24"/>
              </w:rPr>
              <w:t xml:space="preserve"> (</w:t>
            </w:r>
            <w:r w:rsidRPr="006F75DA">
              <w:rPr>
                <w:rFonts w:eastAsia="Cambria" w:cs="Times New Roman"/>
                <w:sz w:val="22"/>
                <w:szCs w:val="24"/>
              </w:rPr>
              <w:t>0.049</w:t>
            </w:r>
            <w:r>
              <w:rPr>
                <w:rFonts w:eastAsia="Cambria" w:cs="Times New Roman"/>
                <w:sz w:val="22"/>
                <w:szCs w:val="24"/>
              </w:rPr>
              <w:t>)</w:t>
            </w:r>
          </w:p>
        </w:tc>
      </w:tr>
      <w:tr w:rsidR="003949FE" w:rsidRPr="00237030" w14:paraId="4450E895" w14:textId="77777777" w:rsidTr="00701E7F">
        <w:trPr>
          <w:trHeight w:val="275"/>
        </w:trPr>
        <w:tc>
          <w:tcPr>
            <w:tcW w:w="1631" w:type="dxa"/>
            <w:vAlign w:val="center"/>
          </w:tcPr>
          <w:p w14:paraId="267B6D63" w14:textId="77777777" w:rsidR="003949FE" w:rsidRDefault="003949FE" w:rsidP="00701E7F">
            <w:pPr>
              <w:spacing w:before="0" w:after="0"/>
              <w:rPr>
                <w:rFonts w:eastAsia="Cambria" w:cs="Times New Roman"/>
                <w:sz w:val="22"/>
                <w:szCs w:val="24"/>
              </w:rPr>
            </w:pPr>
          </w:p>
        </w:tc>
        <w:tc>
          <w:tcPr>
            <w:tcW w:w="1260" w:type="dxa"/>
            <w:vAlign w:val="center"/>
          </w:tcPr>
          <w:p w14:paraId="6820376B" w14:textId="77777777" w:rsidR="003949FE" w:rsidRPr="006F75DA" w:rsidRDefault="003949FE" w:rsidP="00701E7F">
            <w:pPr>
              <w:spacing w:before="0" w:after="0"/>
              <w:jc w:val="center"/>
              <w:rPr>
                <w:rFonts w:eastAsia="Cambria" w:cs="Times New Roman"/>
                <w:sz w:val="22"/>
                <w:szCs w:val="24"/>
              </w:rPr>
            </w:pPr>
            <w:r>
              <w:rPr>
                <w:rFonts w:eastAsia="Cambria" w:cs="Times New Roman"/>
                <w:sz w:val="22"/>
                <w:szCs w:val="24"/>
              </w:rPr>
              <w:t>100</w:t>
            </w:r>
          </w:p>
        </w:tc>
        <w:tc>
          <w:tcPr>
            <w:tcW w:w="1440" w:type="dxa"/>
            <w:vAlign w:val="center"/>
          </w:tcPr>
          <w:p w14:paraId="36FAF683"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0.354</w:t>
            </w:r>
            <w:r>
              <w:rPr>
                <w:rFonts w:eastAsia="Cambria" w:cs="Times New Roman"/>
                <w:sz w:val="22"/>
                <w:szCs w:val="24"/>
              </w:rPr>
              <w:t xml:space="preserve"> (</w:t>
            </w:r>
            <w:r w:rsidRPr="006F75DA">
              <w:rPr>
                <w:rFonts w:eastAsia="Cambria" w:cs="Times New Roman"/>
                <w:sz w:val="22"/>
                <w:szCs w:val="24"/>
              </w:rPr>
              <w:t>0.047</w:t>
            </w:r>
            <w:r>
              <w:rPr>
                <w:rFonts w:eastAsia="Cambria" w:cs="Times New Roman"/>
                <w:sz w:val="22"/>
                <w:szCs w:val="24"/>
              </w:rPr>
              <w:t>)</w:t>
            </w:r>
          </w:p>
        </w:tc>
        <w:tc>
          <w:tcPr>
            <w:tcW w:w="1530" w:type="dxa"/>
            <w:vAlign w:val="center"/>
          </w:tcPr>
          <w:p w14:paraId="54CFD5FB" w14:textId="77777777" w:rsidR="003949FE" w:rsidRPr="00237030" w:rsidRDefault="003949FE" w:rsidP="00701E7F">
            <w:pPr>
              <w:spacing w:before="0" w:after="0"/>
              <w:jc w:val="center"/>
              <w:rPr>
                <w:rFonts w:eastAsia="Cambria" w:cs="Times New Roman"/>
                <w:sz w:val="22"/>
                <w:szCs w:val="24"/>
              </w:rPr>
            </w:pPr>
            <w:r w:rsidRPr="006F75DA">
              <w:rPr>
                <w:rFonts w:eastAsia="Cambria" w:cs="Times New Roman"/>
                <w:sz w:val="22"/>
                <w:szCs w:val="24"/>
              </w:rPr>
              <w:t>0.311</w:t>
            </w:r>
            <w:r>
              <w:rPr>
                <w:rFonts w:eastAsia="Cambria" w:cs="Times New Roman"/>
                <w:sz w:val="22"/>
                <w:szCs w:val="24"/>
              </w:rPr>
              <w:t xml:space="preserve"> (</w:t>
            </w:r>
            <w:r w:rsidRPr="006F75DA">
              <w:rPr>
                <w:rFonts w:eastAsia="Cambria" w:cs="Times New Roman"/>
                <w:sz w:val="22"/>
                <w:szCs w:val="24"/>
              </w:rPr>
              <w:t>0.042</w:t>
            </w:r>
            <w:r>
              <w:rPr>
                <w:rFonts w:eastAsia="Cambria" w:cs="Times New Roman"/>
                <w:sz w:val="22"/>
                <w:szCs w:val="24"/>
              </w:rPr>
              <w:t>)</w:t>
            </w:r>
          </w:p>
        </w:tc>
      </w:tr>
      <w:tr w:rsidR="003949FE" w:rsidRPr="00237030" w14:paraId="31C0F0AB" w14:textId="77777777" w:rsidTr="00701E7F">
        <w:trPr>
          <w:trHeight w:val="20"/>
        </w:trPr>
        <w:tc>
          <w:tcPr>
            <w:tcW w:w="1631" w:type="dxa"/>
            <w:vAlign w:val="center"/>
          </w:tcPr>
          <w:p w14:paraId="6EF77345" w14:textId="77777777" w:rsidR="003949FE" w:rsidRPr="00237030" w:rsidRDefault="003949FE" w:rsidP="00701E7F">
            <w:pPr>
              <w:spacing w:before="0" w:after="0"/>
              <w:rPr>
                <w:rFonts w:eastAsia="Cambria" w:cs="Times New Roman"/>
                <w:sz w:val="22"/>
                <w:szCs w:val="24"/>
              </w:rPr>
            </w:pPr>
            <w:r>
              <w:rPr>
                <w:rFonts w:eastAsia="Cambria" w:cs="Times New Roman"/>
                <w:sz w:val="22"/>
                <w:szCs w:val="24"/>
              </w:rPr>
              <w:t>IA Agriculture</w:t>
            </w:r>
          </w:p>
        </w:tc>
        <w:tc>
          <w:tcPr>
            <w:tcW w:w="1260" w:type="dxa"/>
            <w:vAlign w:val="center"/>
          </w:tcPr>
          <w:p w14:paraId="260E016C"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5</w:t>
            </w:r>
          </w:p>
        </w:tc>
        <w:tc>
          <w:tcPr>
            <w:tcW w:w="1440" w:type="dxa"/>
            <w:vAlign w:val="center"/>
          </w:tcPr>
          <w:p w14:paraId="025960AF"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0.209 (0.054)</w:t>
            </w:r>
          </w:p>
        </w:tc>
        <w:tc>
          <w:tcPr>
            <w:tcW w:w="1530" w:type="dxa"/>
            <w:vAlign w:val="center"/>
          </w:tcPr>
          <w:p w14:paraId="39DEC1E3" w14:textId="77777777" w:rsidR="003949FE" w:rsidRDefault="003949FE" w:rsidP="00701E7F">
            <w:pPr>
              <w:spacing w:before="0" w:after="0"/>
              <w:jc w:val="center"/>
              <w:rPr>
                <w:rFonts w:eastAsia="Cambria" w:cs="Times New Roman"/>
                <w:sz w:val="22"/>
                <w:szCs w:val="24"/>
              </w:rPr>
            </w:pPr>
            <w:r w:rsidRPr="00AC3EC6">
              <w:rPr>
                <w:rFonts w:eastAsia="Times New Roman" w:cs="Times New Roman"/>
                <w:color w:val="000000"/>
                <w:sz w:val="22"/>
                <w:vertAlign w:val="superscript"/>
              </w:rPr>
              <w:t>---</w:t>
            </w:r>
          </w:p>
        </w:tc>
      </w:tr>
      <w:tr w:rsidR="003949FE" w:rsidRPr="00237030" w14:paraId="0CBF0DC9" w14:textId="77777777" w:rsidTr="00701E7F">
        <w:trPr>
          <w:trHeight w:val="20"/>
        </w:trPr>
        <w:tc>
          <w:tcPr>
            <w:tcW w:w="1631" w:type="dxa"/>
            <w:vAlign w:val="center"/>
          </w:tcPr>
          <w:p w14:paraId="51DD9A60" w14:textId="77777777" w:rsidR="003949FE" w:rsidRDefault="003949FE" w:rsidP="00701E7F">
            <w:pPr>
              <w:spacing w:before="0" w:after="0"/>
              <w:rPr>
                <w:rFonts w:eastAsia="Cambria" w:cs="Times New Roman"/>
                <w:sz w:val="22"/>
                <w:szCs w:val="24"/>
              </w:rPr>
            </w:pPr>
          </w:p>
        </w:tc>
        <w:tc>
          <w:tcPr>
            <w:tcW w:w="1260" w:type="dxa"/>
            <w:vAlign w:val="center"/>
          </w:tcPr>
          <w:p w14:paraId="3D782EF0"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20</w:t>
            </w:r>
          </w:p>
        </w:tc>
        <w:tc>
          <w:tcPr>
            <w:tcW w:w="1440" w:type="dxa"/>
            <w:vAlign w:val="center"/>
          </w:tcPr>
          <w:p w14:paraId="46AD93C4"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0.221 (0.039)</w:t>
            </w:r>
          </w:p>
        </w:tc>
        <w:tc>
          <w:tcPr>
            <w:tcW w:w="1530" w:type="dxa"/>
            <w:vAlign w:val="center"/>
          </w:tcPr>
          <w:p w14:paraId="0C0A933C" w14:textId="77777777" w:rsidR="003949FE" w:rsidRDefault="003949FE" w:rsidP="00701E7F">
            <w:pPr>
              <w:spacing w:before="0" w:after="0"/>
              <w:jc w:val="center"/>
              <w:rPr>
                <w:rFonts w:eastAsia="Cambria" w:cs="Times New Roman"/>
                <w:sz w:val="22"/>
                <w:szCs w:val="24"/>
              </w:rPr>
            </w:pPr>
            <w:r w:rsidRPr="00AC3EC6">
              <w:rPr>
                <w:rFonts w:eastAsia="Times New Roman" w:cs="Times New Roman"/>
                <w:color w:val="000000"/>
                <w:sz w:val="22"/>
                <w:vertAlign w:val="superscript"/>
              </w:rPr>
              <w:t>---</w:t>
            </w:r>
          </w:p>
        </w:tc>
      </w:tr>
      <w:tr w:rsidR="003949FE" w:rsidRPr="00237030" w14:paraId="2DC03EE9" w14:textId="77777777" w:rsidTr="00701E7F">
        <w:trPr>
          <w:trHeight w:val="20"/>
        </w:trPr>
        <w:tc>
          <w:tcPr>
            <w:tcW w:w="1631" w:type="dxa"/>
            <w:vAlign w:val="center"/>
          </w:tcPr>
          <w:p w14:paraId="18809936" w14:textId="77777777" w:rsidR="003949FE" w:rsidRDefault="003949FE" w:rsidP="00701E7F">
            <w:pPr>
              <w:spacing w:before="0" w:after="0"/>
              <w:rPr>
                <w:rFonts w:eastAsia="Cambria" w:cs="Times New Roman"/>
                <w:sz w:val="22"/>
                <w:szCs w:val="24"/>
              </w:rPr>
            </w:pPr>
          </w:p>
        </w:tc>
        <w:tc>
          <w:tcPr>
            <w:tcW w:w="1260" w:type="dxa"/>
            <w:vAlign w:val="center"/>
          </w:tcPr>
          <w:p w14:paraId="18826125"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60</w:t>
            </w:r>
          </w:p>
        </w:tc>
        <w:tc>
          <w:tcPr>
            <w:tcW w:w="1440" w:type="dxa"/>
            <w:vAlign w:val="center"/>
          </w:tcPr>
          <w:p w14:paraId="5CD58894"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0.252 (0.061)</w:t>
            </w:r>
          </w:p>
        </w:tc>
        <w:tc>
          <w:tcPr>
            <w:tcW w:w="1530" w:type="dxa"/>
            <w:vAlign w:val="center"/>
          </w:tcPr>
          <w:p w14:paraId="06E58231" w14:textId="77777777" w:rsidR="003949FE" w:rsidRDefault="003949FE" w:rsidP="00701E7F">
            <w:pPr>
              <w:spacing w:before="0" w:after="0"/>
              <w:jc w:val="center"/>
              <w:rPr>
                <w:rFonts w:eastAsia="Cambria" w:cs="Times New Roman"/>
                <w:sz w:val="22"/>
                <w:szCs w:val="24"/>
              </w:rPr>
            </w:pPr>
            <w:r w:rsidRPr="00AC3EC6">
              <w:rPr>
                <w:rFonts w:eastAsia="Times New Roman" w:cs="Times New Roman"/>
                <w:color w:val="000000"/>
                <w:sz w:val="22"/>
                <w:vertAlign w:val="superscript"/>
              </w:rPr>
              <w:t>---</w:t>
            </w:r>
          </w:p>
        </w:tc>
      </w:tr>
      <w:tr w:rsidR="003949FE" w:rsidRPr="00237030" w14:paraId="7E8A04AF" w14:textId="77777777" w:rsidTr="00701E7F">
        <w:trPr>
          <w:trHeight w:val="20"/>
        </w:trPr>
        <w:tc>
          <w:tcPr>
            <w:tcW w:w="1631" w:type="dxa"/>
            <w:vAlign w:val="center"/>
          </w:tcPr>
          <w:p w14:paraId="433A3175" w14:textId="77777777" w:rsidR="003949FE" w:rsidRPr="00237030" w:rsidRDefault="003949FE" w:rsidP="00701E7F">
            <w:pPr>
              <w:spacing w:before="0" w:after="0"/>
              <w:rPr>
                <w:rFonts w:eastAsia="Cambria" w:cs="Times New Roman"/>
                <w:sz w:val="22"/>
                <w:szCs w:val="24"/>
              </w:rPr>
            </w:pPr>
            <w:r>
              <w:rPr>
                <w:rFonts w:eastAsia="Cambria" w:cs="Times New Roman"/>
                <w:sz w:val="22"/>
                <w:szCs w:val="24"/>
              </w:rPr>
              <w:t>IA Prairie</w:t>
            </w:r>
          </w:p>
        </w:tc>
        <w:tc>
          <w:tcPr>
            <w:tcW w:w="1260" w:type="dxa"/>
            <w:vAlign w:val="center"/>
          </w:tcPr>
          <w:p w14:paraId="2A8833EA"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5</w:t>
            </w:r>
          </w:p>
        </w:tc>
        <w:tc>
          <w:tcPr>
            <w:tcW w:w="1440" w:type="dxa"/>
            <w:vAlign w:val="center"/>
          </w:tcPr>
          <w:p w14:paraId="463C6CC0"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0.280 (0.084)</w:t>
            </w:r>
          </w:p>
        </w:tc>
        <w:tc>
          <w:tcPr>
            <w:tcW w:w="1530" w:type="dxa"/>
            <w:vAlign w:val="center"/>
          </w:tcPr>
          <w:p w14:paraId="1724EC4D"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0.170 (0.070)</w:t>
            </w:r>
          </w:p>
        </w:tc>
      </w:tr>
      <w:tr w:rsidR="003949FE" w:rsidRPr="00237030" w14:paraId="015D8C71" w14:textId="77777777" w:rsidTr="00701E7F">
        <w:trPr>
          <w:trHeight w:val="20"/>
        </w:trPr>
        <w:tc>
          <w:tcPr>
            <w:tcW w:w="1631" w:type="dxa"/>
            <w:vAlign w:val="center"/>
          </w:tcPr>
          <w:p w14:paraId="0FE2AF0E" w14:textId="77777777" w:rsidR="003949FE" w:rsidRDefault="003949FE" w:rsidP="00701E7F">
            <w:pPr>
              <w:spacing w:before="0" w:after="0"/>
              <w:rPr>
                <w:rFonts w:eastAsia="Cambria" w:cs="Times New Roman"/>
                <w:sz w:val="22"/>
                <w:szCs w:val="24"/>
              </w:rPr>
            </w:pPr>
          </w:p>
        </w:tc>
        <w:tc>
          <w:tcPr>
            <w:tcW w:w="1260" w:type="dxa"/>
            <w:vAlign w:val="center"/>
          </w:tcPr>
          <w:p w14:paraId="06625AC5"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20</w:t>
            </w:r>
          </w:p>
        </w:tc>
        <w:tc>
          <w:tcPr>
            <w:tcW w:w="1440" w:type="dxa"/>
            <w:vAlign w:val="center"/>
          </w:tcPr>
          <w:p w14:paraId="0640F144"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0.325 (0.057)</w:t>
            </w:r>
          </w:p>
        </w:tc>
        <w:tc>
          <w:tcPr>
            <w:tcW w:w="1530" w:type="dxa"/>
            <w:vAlign w:val="center"/>
          </w:tcPr>
          <w:p w14:paraId="04746BF0"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0.311 (0.081)</w:t>
            </w:r>
          </w:p>
        </w:tc>
      </w:tr>
      <w:tr w:rsidR="003949FE" w:rsidRPr="00237030" w14:paraId="5ABF7DF5" w14:textId="77777777" w:rsidTr="00701E7F">
        <w:trPr>
          <w:trHeight w:val="20"/>
        </w:trPr>
        <w:tc>
          <w:tcPr>
            <w:tcW w:w="1631" w:type="dxa"/>
            <w:tcBorders>
              <w:bottom w:val="single" w:sz="18" w:space="0" w:color="auto"/>
            </w:tcBorders>
            <w:vAlign w:val="center"/>
          </w:tcPr>
          <w:p w14:paraId="7CE16BA4" w14:textId="77777777" w:rsidR="003949FE" w:rsidRDefault="003949FE" w:rsidP="00701E7F">
            <w:pPr>
              <w:spacing w:before="0" w:after="0"/>
              <w:jc w:val="right"/>
              <w:rPr>
                <w:rFonts w:eastAsia="Cambria" w:cs="Times New Roman"/>
                <w:sz w:val="22"/>
                <w:szCs w:val="24"/>
              </w:rPr>
            </w:pPr>
          </w:p>
        </w:tc>
        <w:tc>
          <w:tcPr>
            <w:tcW w:w="1260" w:type="dxa"/>
            <w:tcBorders>
              <w:bottom w:val="single" w:sz="18" w:space="0" w:color="auto"/>
            </w:tcBorders>
            <w:vAlign w:val="center"/>
          </w:tcPr>
          <w:p w14:paraId="6EEB734E"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60</w:t>
            </w:r>
          </w:p>
        </w:tc>
        <w:tc>
          <w:tcPr>
            <w:tcW w:w="1440" w:type="dxa"/>
            <w:tcBorders>
              <w:bottom w:val="single" w:sz="18" w:space="0" w:color="auto"/>
            </w:tcBorders>
            <w:vAlign w:val="center"/>
          </w:tcPr>
          <w:p w14:paraId="59B35EF6" w14:textId="77777777" w:rsidR="003949FE" w:rsidRDefault="003949FE" w:rsidP="00701E7F">
            <w:pPr>
              <w:spacing w:before="0" w:after="0"/>
              <w:jc w:val="center"/>
              <w:rPr>
                <w:rFonts w:eastAsia="Cambria" w:cs="Times New Roman"/>
                <w:sz w:val="22"/>
                <w:szCs w:val="24"/>
              </w:rPr>
            </w:pPr>
            <w:r>
              <w:rPr>
                <w:rFonts w:eastAsia="Cambria" w:cs="Times New Roman"/>
                <w:sz w:val="22"/>
                <w:szCs w:val="24"/>
              </w:rPr>
              <w:t>0.351 (0.057)</w:t>
            </w:r>
          </w:p>
        </w:tc>
        <w:tc>
          <w:tcPr>
            <w:tcW w:w="1530" w:type="dxa"/>
            <w:tcBorders>
              <w:bottom w:val="single" w:sz="18" w:space="0" w:color="auto"/>
            </w:tcBorders>
            <w:vAlign w:val="center"/>
          </w:tcPr>
          <w:p w14:paraId="514EE54C" w14:textId="77777777" w:rsidR="003949FE" w:rsidRDefault="003949FE" w:rsidP="00701E7F">
            <w:pPr>
              <w:spacing w:before="0" w:after="0"/>
              <w:jc w:val="center"/>
              <w:rPr>
                <w:rFonts w:eastAsia="Cambria" w:cs="Times New Roman"/>
                <w:sz w:val="22"/>
                <w:szCs w:val="24"/>
              </w:rPr>
            </w:pPr>
            <w:r w:rsidRPr="006F75DA">
              <w:rPr>
                <w:rFonts w:eastAsia="Cambria" w:cs="Times New Roman"/>
                <w:sz w:val="22"/>
                <w:szCs w:val="24"/>
              </w:rPr>
              <w:t>0.21</w:t>
            </w:r>
            <w:r>
              <w:rPr>
                <w:rFonts w:eastAsia="Cambria" w:cs="Times New Roman"/>
                <w:sz w:val="22"/>
                <w:szCs w:val="24"/>
              </w:rPr>
              <w:t>9 (0.036)</w:t>
            </w:r>
          </w:p>
        </w:tc>
      </w:tr>
    </w:tbl>
    <w:p w14:paraId="7F5008AD" w14:textId="77777777" w:rsidR="003949FE" w:rsidRDefault="003949FE" w:rsidP="003949FE">
      <w:pPr>
        <w:spacing w:after="0"/>
        <w:rPr>
          <w:rFonts w:cs="Times New Roman"/>
          <w:b/>
          <w:szCs w:val="24"/>
        </w:rPr>
      </w:pPr>
    </w:p>
    <w:p w14:paraId="31E8690A" w14:textId="5CBDE2E0" w:rsidR="00883272" w:rsidRDefault="00883272" w:rsidP="003949FE">
      <w:pPr>
        <w:spacing w:before="0" w:after="200" w:line="276" w:lineRule="auto"/>
        <w:rPr>
          <w:rFonts w:cs="Times New Roman"/>
          <w:szCs w:val="24"/>
        </w:rPr>
      </w:pPr>
    </w:p>
    <w:sectPr w:rsidR="00883272" w:rsidSect="003949FE">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423A6" w14:textId="77777777" w:rsidR="00F770D3" w:rsidRDefault="00F770D3" w:rsidP="00117666">
      <w:pPr>
        <w:spacing w:after="0"/>
      </w:pPr>
      <w:r>
        <w:separator/>
      </w:r>
    </w:p>
  </w:endnote>
  <w:endnote w:type="continuationSeparator" w:id="0">
    <w:p w14:paraId="3FB3F0D7" w14:textId="77777777" w:rsidR="00F770D3" w:rsidRDefault="00F770D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44825"/>
      <w:docPartObj>
        <w:docPartGallery w:val="Page Numbers (Bottom of Page)"/>
        <w:docPartUnique/>
      </w:docPartObj>
    </w:sdtPr>
    <w:sdtEndPr>
      <w:rPr>
        <w:noProof/>
      </w:rPr>
    </w:sdtEndPr>
    <w:sdtContent>
      <w:p w14:paraId="5A7F2DFB" w14:textId="48A4FC2B" w:rsidR="0067796E" w:rsidRDefault="0067796E">
        <w:pPr>
          <w:pStyle w:val="Footer"/>
          <w:jc w:val="right"/>
        </w:pPr>
        <w:r>
          <w:fldChar w:fldCharType="begin"/>
        </w:r>
        <w:r>
          <w:instrText xml:space="preserve"> PAGE   \* MERGEFORMAT </w:instrText>
        </w:r>
        <w:r>
          <w:fldChar w:fldCharType="separate"/>
        </w:r>
        <w:r w:rsidR="002A6EFB">
          <w:rPr>
            <w:noProof/>
          </w:rPr>
          <w:t>8</w:t>
        </w:r>
        <w:r>
          <w:rPr>
            <w:noProof/>
          </w:rPr>
          <w:fldChar w:fldCharType="end"/>
        </w:r>
      </w:p>
    </w:sdtContent>
  </w:sdt>
  <w:p w14:paraId="2C93025F" w14:textId="54E7C50C" w:rsidR="00995F6A" w:rsidRPr="00577C4C" w:rsidRDefault="00F770D3">
    <w:pPr>
      <w:rPr>
        <w:color w:val="C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3D661B8F"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A6EFB">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6"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570F0D09" w14:textId="3D661B8F"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A6EFB">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5021B" w14:textId="77777777" w:rsidR="00F770D3" w:rsidRDefault="00F770D3" w:rsidP="00117666">
      <w:pPr>
        <w:spacing w:after="0"/>
      </w:pPr>
      <w:r>
        <w:separator/>
      </w:r>
    </w:p>
  </w:footnote>
  <w:footnote w:type="continuationSeparator" w:id="0">
    <w:p w14:paraId="5176B628" w14:textId="77777777" w:rsidR="00F770D3" w:rsidRDefault="00F770D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11" name="Picture 11"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41C61"/>
    <w:rsid w:val="00052A14"/>
    <w:rsid w:val="00077D53"/>
    <w:rsid w:val="000D5A1B"/>
    <w:rsid w:val="00102AFB"/>
    <w:rsid w:val="00105FD9"/>
    <w:rsid w:val="00107922"/>
    <w:rsid w:val="00117666"/>
    <w:rsid w:val="001241C6"/>
    <w:rsid w:val="001346E7"/>
    <w:rsid w:val="001549D3"/>
    <w:rsid w:val="00160065"/>
    <w:rsid w:val="00177D84"/>
    <w:rsid w:val="001D167F"/>
    <w:rsid w:val="001E6759"/>
    <w:rsid w:val="001F7CBF"/>
    <w:rsid w:val="00202241"/>
    <w:rsid w:val="00252FFB"/>
    <w:rsid w:val="00253194"/>
    <w:rsid w:val="00267D18"/>
    <w:rsid w:val="002868E2"/>
    <w:rsid w:val="002869C3"/>
    <w:rsid w:val="002936E4"/>
    <w:rsid w:val="002A6EFB"/>
    <w:rsid w:val="002B15DA"/>
    <w:rsid w:val="002B4A57"/>
    <w:rsid w:val="002C74CA"/>
    <w:rsid w:val="0031058C"/>
    <w:rsid w:val="00317241"/>
    <w:rsid w:val="003236F4"/>
    <w:rsid w:val="0034692F"/>
    <w:rsid w:val="003544FB"/>
    <w:rsid w:val="003579BF"/>
    <w:rsid w:val="003837E3"/>
    <w:rsid w:val="003906A6"/>
    <w:rsid w:val="003949FE"/>
    <w:rsid w:val="003D2F2D"/>
    <w:rsid w:val="003F3C64"/>
    <w:rsid w:val="00401590"/>
    <w:rsid w:val="00447801"/>
    <w:rsid w:val="00452E9C"/>
    <w:rsid w:val="004735C8"/>
    <w:rsid w:val="004775AA"/>
    <w:rsid w:val="004947A6"/>
    <w:rsid w:val="004961FF"/>
    <w:rsid w:val="004B51A9"/>
    <w:rsid w:val="00517A89"/>
    <w:rsid w:val="005250F2"/>
    <w:rsid w:val="005374BE"/>
    <w:rsid w:val="00575492"/>
    <w:rsid w:val="00593EEA"/>
    <w:rsid w:val="005A5EEE"/>
    <w:rsid w:val="005D181E"/>
    <w:rsid w:val="00616DF1"/>
    <w:rsid w:val="00621783"/>
    <w:rsid w:val="006375C7"/>
    <w:rsid w:val="00654E8F"/>
    <w:rsid w:val="00655B35"/>
    <w:rsid w:val="00660D05"/>
    <w:rsid w:val="00664037"/>
    <w:rsid w:val="0067796E"/>
    <w:rsid w:val="006820B1"/>
    <w:rsid w:val="00690061"/>
    <w:rsid w:val="006B7D14"/>
    <w:rsid w:val="006E2F55"/>
    <w:rsid w:val="00701727"/>
    <w:rsid w:val="0070566C"/>
    <w:rsid w:val="00714C50"/>
    <w:rsid w:val="00725A7D"/>
    <w:rsid w:val="007501BE"/>
    <w:rsid w:val="007764B9"/>
    <w:rsid w:val="00790BB3"/>
    <w:rsid w:val="007C206C"/>
    <w:rsid w:val="00817DD6"/>
    <w:rsid w:val="0083759F"/>
    <w:rsid w:val="00883272"/>
    <w:rsid w:val="00885156"/>
    <w:rsid w:val="008F04DD"/>
    <w:rsid w:val="009019CD"/>
    <w:rsid w:val="009151AA"/>
    <w:rsid w:val="0093429D"/>
    <w:rsid w:val="00943573"/>
    <w:rsid w:val="0097018C"/>
    <w:rsid w:val="00970F7D"/>
    <w:rsid w:val="00994A3D"/>
    <w:rsid w:val="009C2B12"/>
    <w:rsid w:val="009C4A21"/>
    <w:rsid w:val="009D1618"/>
    <w:rsid w:val="009F2EAB"/>
    <w:rsid w:val="00A12926"/>
    <w:rsid w:val="00A174D9"/>
    <w:rsid w:val="00A24706"/>
    <w:rsid w:val="00A647DF"/>
    <w:rsid w:val="00A84CEC"/>
    <w:rsid w:val="00AA4D24"/>
    <w:rsid w:val="00AB6715"/>
    <w:rsid w:val="00B1671E"/>
    <w:rsid w:val="00B25EB8"/>
    <w:rsid w:val="00B37F4D"/>
    <w:rsid w:val="00BA6C59"/>
    <w:rsid w:val="00BD7CE9"/>
    <w:rsid w:val="00BE57C1"/>
    <w:rsid w:val="00C52A7B"/>
    <w:rsid w:val="00C56BAF"/>
    <w:rsid w:val="00C679AA"/>
    <w:rsid w:val="00C75972"/>
    <w:rsid w:val="00C97776"/>
    <w:rsid w:val="00CD066B"/>
    <w:rsid w:val="00CE0F43"/>
    <w:rsid w:val="00CE4FEE"/>
    <w:rsid w:val="00D04FA8"/>
    <w:rsid w:val="00D86B54"/>
    <w:rsid w:val="00DB59C3"/>
    <w:rsid w:val="00DC259A"/>
    <w:rsid w:val="00DE23E8"/>
    <w:rsid w:val="00E4152E"/>
    <w:rsid w:val="00E43617"/>
    <w:rsid w:val="00E52377"/>
    <w:rsid w:val="00E64E17"/>
    <w:rsid w:val="00E866C9"/>
    <w:rsid w:val="00EA3D3C"/>
    <w:rsid w:val="00EB5B56"/>
    <w:rsid w:val="00EC090A"/>
    <w:rsid w:val="00EC5C13"/>
    <w:rsid w:val="00ED20B5"/>
    <w:rsid w:val="00ED6EF0"/>
    <w:rsid w:val="00F04D44"/>
    <w:rsid w:val="00F46900"/>
    <w:rsid w:val="00F61D89"/>
    <w:rsid w:val="00F770D3"/>
    <w:rsid w:val="00FA4BBD"/>
    <w:rsid w:val="00FE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7033">
      <w:bodyDiv w:val="1"/>
      <w:marLeft w:val="0"/>
      <w:marRight w:val="0"/>
      <w:marTop w:val="0"/>
      <w:marBottom w:val="0"/>
      <w:divBdr>
        <w:top w:val="none" w:sz="0" w:space="0" w:color="auto"/>
        <w:left w:val="none" w:sz="0" w:space="0" w:color="auto"/>
        <w:bottom w:val="none" w:sz="0" w:space="0" w:color="auto"/>
        <w:right w:val="none" w:sz="0" w:space="0" w:color="auto"/>
      </w:divBdr>
    </w:div>
    <w:div w:id="131598059">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64208412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9154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137AAA-76BF-4417-A9CF-E98F9A7B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18</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Dere</dc:creator>
  <cp:lastModifiedBy>Ashlee Dere</cp:lastModifiedBy>
  <cp:revision>2</cp:revision>
  <cp:lastPrinted>2013-10-03T12:51:00Z</cp:lastPrinted>
  <dcterms:created xsi:type="dcterms:W3CDTF">2019-01-22T20:31:00Z</dcterms:created>
  <dcterms:modified xsi:type="dcterms:W3CDTF">2019-01-22T20:31:00Z</dcterms:modified>
</cp:coreProperties>
</file>