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1104D196" w14:textId="627DC8B6" w:rsidR="00817DD6" w:rsidRPr="001549D3" w:rsidRDefault="00B96DFC" w:rsidP="0001436A">
      <w:pPr>
        <w:pStyle w:val="Titel"/>
      </w:pPr>
      <w:r>
        <w:t xml:space="preserve">Humanized mouse model mimicking pathology of human </w:t>
      </w:r>
      <w:r w:rsidRPr="00FD19B5">
        <w:t>tuberculosis</w:t>
      </w:r>
      <w:r>
        <w:t xml:space="preserve"> for </w:t>
      </w:r>
      <w:r w:rsidRPr="002A6CCD">
        <w:rPr>
          <w:i/>
        </w:rPr>
        <w:t xml:space="preserve">in vivo </w:t>
      </w:r>
      <w:r>
        <w:t>evaluation of drug regimens</w:t>
      </w:r>
    </w:p>
    <w:p w14:paraId="00E92DC7" w14:textId="2565B6B0" w:rsidR="002868E2" w:rsidRPr="00994A3D" w:rsidRDefault="00B96DFC" w:rsidP="0001436A">
      <w:pPr>
        <w:pStyle w:val="AuthorList"/>
      </w:pPr>
      <w:r w:rsidRPr="00376CC5">
        <w:t>F</w:t>
      </w:r>
      <w:r>
        <w:t>rida Arrey</w:t>
      </w:r>
      <w:r w:rsidRPr="00376CC5">
        <w:t xml:space="preserve">, </w:t>
      </w:r>
      <w:r>
        <w:t>Delia Löwe</w:t>
      </w:r>
      <w:r w:rsidRPr="00376CC5">
        <w:t xml:space="preserve">, </w:t>
      </w:r>
      <w:r>
        <w:t xml:space="preserve">Stefanie Kuhlmann, </w:t>
      </w:r>
      <w:r w:rsidRPr="00C572B6">
        <w:t xml:space="preserve">Peggy Kaiser, Pedro </w:t>
      </w:r>
      <w:r>
        <w:t>Moura-</w:t>
      </w:r>
      <w:r w:rsidRPr="00C572B6">
        <w:t>Alves,</w:t>
      </w:r>
      <w:r>
        <w:t xml:space="preserve"> </w:t>
      </w:r>
      <w:r w:rsidRPr="00C572B6">
        <w:t xml:space="preserve">Gopinath Krishnamoorthy, Laura Lozza, Jeroen Maertzdorf, </w:t>
      </w:r>
      <w:r w:rsidRPr="007E5B71">
        <w:rPr>
          <w:rFonts w:eastAsia="Times New Roman"/>
          <w:bCs/>
          <w:kern w:val="36"/>
          <w:lang w:eastAsia="de-DE"/>
        </w:rPr>
        <w:t>Tatsiana Skrahina</w:t>
      </w:r>
      <w:r>
        <w:rPr>
          <w:rFonts w:eastAsia="Times New Roman"/>
          <w:bCs/>
          <w:kern w:val="36"/>
          <w:lang w:eastAsia="de-DE"/>
        </w:rPr>
        <w:t xml:space="preserve">, Alena Skrahina, </w:t>
      </w:r>
      <w:r w:rsidRPr="007E5B71">
        <w:t>Martin Gengenbacher, Geraldine Nouailles, Stefan H.E. Kaufmann</w:t>
      </w:r>
      <w:r>
        <w:rPr>
          <w:vertAlign w:val="superscript"/>
        </w:rPr>
        <w:t>*</w:t>
      </w:r>
    </w:p>
    <w:p w14:paraId="67985010" w14:textId="77777777" w:rsidR="00B96DFC" w:rsidRDefault="00B96DFC" w:rsidP="00994A3D">
      <w:pPr>
        <w:spacing w:before="240" w:after="0"/>
        <w:rPr>
          <w:rFonts w:cs="Times New Roman"/>
          <w:b/>
        </w:rPr>
      </w:pPr>
    </w:p>
    <w:p w14:paraId="0C8DED4F" w14:textId="64B791B3" w:rsidR="002868E2" w:rsidRDefault="002868E2" w:rsidP="00994A3D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B96DFC">
        <w:rPr>
          <w:rFonts w:cs="Times New Roman"/>
        </w:rPr>
        <w:t>Stefan H.E. Kaufmann</w:t>
      </w:r>
      <w:r w:rsidR="00994A3D" w:rsidRPr="00994A3D">
        <w:rPr>
          <w:rFonts w:cs="Times New Roman"/>
        </w:rPr>
        <w:t xml:space="preserve">: </w:t>
      </w:r>
      <w:hyperlink r:id="rId8" w:history="1">
        <w:r w:rsidR="00B96DFC" w:rsidRPr="009E6410">
          <w:rPr>
            <w:rStyle w:val="Hyperlink"/>
            <w:rFonts w:cs="Times New Roman"/>
          </w:rPr>
          <w:t>kaufmann@mpiib-berlin.mpg.de</w:t>
        </w:r>
      </w:hyperlink>
      <w:bookmarkStart w:id="0" w:name="_GoBack"/>
      <w:bookmarkEnd w:id="0"/>
    </w:p>
    <w:p w14:paraId="3D5B5BEE" w14:textId="26908336" w:rsidR="00B96DFC" w:rsidRDefault="00B96DFC">
      <w:pPr>
        <w:spacing w:before="0" w:after="200" w:line="276" w:lineRule="auto"/>
        <w:rPr>
          <w:rFonts w:cs="Times New Roman"/>
        </w:rPr>
      </w:pPr>
      <w:r>
        <w:rPr>
          <w:rFonts w:cs="Times New Roman"/>
        </w:rPr>
        <w:br w:type="page"/>
      </w:r>
    </w:p>
    <w:p w14:paraId="110677FA" w14:textId="77777777" w:rsidR="00B96DFC" w:rsidRPr="00994A3D" w:rsidRDefault="00B96DFC" w:rsidP="00994A3D">
      <w:pPr>
        <w:spacing w:before="240" w:after="0"/>
        <w:rPr>
          <w:rFonts w:cs="Times New Roman"/>
        </w:rPr>
      </w:pPr>
    </w:p>
    <w:p w14:paraId="6641E84E" w14:textId="77777777" w:rsidR="00B96DFC" w:rsidRPr="00C41CEE" w:rsidRDefault="00B96DFC" w:rsidP="00B96DFC">
      <w:pPr>
        <w:spacing w:line="480" w:lineRule="auto"/>
        <w:rPr>
          <w:szCs w:val="24"/>
        </w:rPr>
      </w:pPr>
      <w:r>
        <w:rPr>
          <w:noProof/>
          <w:szCs w:val="24"/>
          <w:lang w:val="de-DE" w:eastAsia="de-DE"/>
        </w:rPr>
        <w:drawing>
          <wp:inline distT="0" distB="0" distL="0" distR="0" wp14:anchorId="788E5EC4" wp14:editId="08D68C27">
            <wp:extent cx="5760720" cy="5034915"/>
            <wp:effectExtent l="0" t="0" r="0" b="0"/>
            <wp:docPr id="2064" name="Grafik 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SuppFig1_141204.t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9EAE8" w14:textId="7FAF46E3" w:rsidR="00B96DFC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</w:t>
      </w:r>
      <w:r w:rsidRPr="00C41CEE">
        <w:rPr>
          <w:b/>
          <w:szCs w:val="24"/>
        </w:rPr>
        <w:t>Figure 1. Human immune cell reconstitution in peripheral blood and lung</w:t>
      </w:r>
      <w:r>
        <w:rPr>
          <w:b/>
          <w:szCs w:val="24"/>
        </w:rPr>
        <w:t>s</w:t>
      </w:r>
      <w:r w:rsidRPr="00472A50">
        <w:rPr>
          <w:b/>
          <w:szCs w:val="24"/>
        </w:rPr>
        <w:t>.</w:t>
      </w:r>
      <w:r w:rsidRPr="00472A50">
        <w:rPr>
          <w:szCs w:val="24"/>
        </w:rPr>
        <w:t xml:space="preserve"> </w:t>
      </w:r>
      <w:r>
        <w:rPr>
          <w:szCs w:val="24"/>
        </w:rPr>
        <w:t xml:space="preserve">(A) </w:t>
      </w:r>
      <w:r w:rsidRPr="00472A50">
        <w:rPr>
          <w:szCs w:val="24"/>
        </w:rPr>
        <w:t xml:space="preserve">Representative dot plots </w:t>
      </w:r>
      <w:r>
        <w:rPr>
          <w:szCs w:val="24"/>
        </w:rPr>
        <w:t xml:space="preserve">showing </w:t>
      </w:r>
      <w:r w:rsidRPr="00472A50">
        <w:rPr>
          <w:szCs w:val="24"/>
        </w:rPr>
        <w:t>flow cytometric gating strategy applied to identify human leukocyte populations (FSC/SSC leukocytes</w:t>
      </w:r>
      <w:r>
        <w:rPr>
          <w:szCs w:val="24"/>
        </w:rPr>
        <w:t xml:space="preserve"> </w:t>
      </w:r>
      <w:r w:rsidRPr="00472A50">
        <w:rPr>
          <w:szCs w:val="24"/>
        </w:rPr>
        <w:t>→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leukocytes → human CD3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cells/human CD19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B cells → human CD4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 and human CD8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cells). </w:t>
      </w:r>
      <w:r>
        <w:rPr>
          <w:szCs w:val="24"/>
        </w:rPr>
        <w:t xml:space="preserve">(B) Percentages </w:t>
      </w:r>
      <w:r w:rsidRPr="00472A50">
        <w:rPr>
          <w:szCs w:val="24"/>
        </w:rPr>
        <w:t xml:space="preserve">of immune </w:t>
      </w:r>
      <w:r>
        <w:rPr>
          <w:szCs w:val="24"/>
        </w:rPr>
        <w:t>cells in peripheral blood of HIS-</w:t>
      </w:r>
      <w:r w:rsidRPr="00472A50">
        <w:rPr>
          <w:szCs w:val="24"/>
        </w:rPr>
        <w:t>NSG mice 10 weeks post-transplantation (</w:t>
      </w:r>
      <w:r w:rsidRPr="00692D15">
        <w:rPr>
          <w:i/>
          <w:szCs w:val="24"/>
        </w:rPr>
        <w:t>n</w:t>
      </w:r>
      <w:r>
        <w:rPr>
          <w:szCs w:val="24"/>
        </w:rPr>
        <w:t xml:space="preserve"> </w:t>
      </w:r>
      <w:r w:rsidRPr="00472A50">
        <w:rPr>
          <w:szCs w:val="24"/>
        </w:rPr>
        <w:t>=</w:t>
      </w:r>
      <w:r>
        <w:rPr>
          <w:szCs w:val="24"/>
        </w:rPr>
        <w:t xml:space="preserve"> </w:t>
      </w:r>
      <w:r w:rsidRPr="00472A50">
        <w:rPr>
          <w:szCs w:val="24"/>
        </w:rPr>
        <w:t>23) reconstituted from the same donor are shown. Each symbol represents an individual mouse. Frequencies of CD3</w:t>
      </w:r>
      <w:r w:rsidRPr="00472A50">
        <w:rPr>
          <w:szCs w:val="24"/>
          <w:vertAlign w:val="superscript"/>
        </w:rPr>
        <w:t xml:space="preserve">+ </w:t>
      </w:r>
      <w:r w:rsidRPr="00472A50">
        <w:rPr>
          <w:szCs w:val="24"/>
        </w:rPr>
        <w:t>T cells and CD19</w:t>
      </w:r>
      <w:r w:rsidRPr="00472A50">
        <w:rPr>
          <w:szCs w:val="24"/>
          <w:vertAlign w:val="superscript"/>
        </w:rPr>
        <w:t xml:space="preserve">+ </w:t>
      </w:r>
      <w:r w:rsidRPr="00472A50">
        <w:rPr>
          <w:szCs w:val="24"/>
        </w:rPr>
        <w:t>B cells within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; and </w:t>
      </w:r>
      <w:r w:rsidRPr="006F2101">
        <w:rPr>
          <w:szCs w:val="24"/>
        </w:rPr>
        <w:t>frequencies of CD4</w:t>
      </w:r>
      <w:r w:rsidRPr="006F2101">
        <w:rPr>
          <w:szCs w:val="24"/>
          <w:vertAlign w:val="superscript"/>
        </w:rPr>
        <w:t>+</w:t>
      </w:r>
      <w:r w:rsidRPr="006F2101">
        <w:rPr>
          <w:szCs w:val="24"/>
        </w:rPr>
        <w:t xml:space="preserve"> and CD8</w:t>
      </w:r>
      <w:r w:rsidRPr="006F2101">
        <w:rPr>
          <w:szCs w:val="24"/>
          <w:vertAlign w:val="superscript"/>
        </w:rPr>
        <w:t>+</w:t>
      </w:r>
      <w:r w:rsidRPr="00692D15">
        <w:rPr>
          <w:szCs w:val="24"/>
        </w:rPr>
        <w:t xml:space="preserve"> </w:t>
      </w:r>
      <w:r w:rsidRPr="006F2101">
        <w:rPr>
          <w:szCs w:val="24"/>
        </w:rPr>
        <w:t>T cells amongst CD3</w:t>
      </w:r>
      <w:r w:rsidRPr="006F2101">
        <w:rPr>
          <w:szCs w:val="24"/>
          <w:vertAlign w:val="superscript"/>
        </w:rPr>
        <w:t>+</w:t>
      </w:r>
      <w:r w:rsidRPr="006F2101">
        <w:rPr>
          <w:szCs w:val="24"/>
        </w:rPr>
        <w:t xml:space="preserve"> cells are indicated. Horizontal bars represent means</w:t>
      </w:r>
      <w:r w:rsidRPr="00692D15">
        <w:rPr>
          <w:noProof/>
          <w:szCs w:val="24"/>
          <w:lang w:val="en-GB" w:eastAsia="de-DE"/>
        </w:rPr>
        <w:t>. (C, D)</w:t>
      </w:r>
      <w:r>
        <w:rPr>
          <w:rFonts w:ascii="Calibri" w:hAnsi="Calibri"/>
          <w:noProof/>
          <w:lang w:val="en-GB" w:eastAsia="de-DE"/>
        </w:rPr>
        <w:t xml:space="preserve"> </w:t>
      </w:r>
      <w:r w:rsidRPr="00472A50">
        <w:rPr>
          <w:szCs w:val="24"/>
        </w:rPr>
        <w:t>Representative tissue sections</w:t>
      </w:r>
      <w:r>
        <w:rPr>
          <w:szCs w:val="24"/>
        </w:rPr>
        <w:t xml:space="preserve"> of HIS-</w:t>
      </w:r>
      <w:r w:rsidRPr="00472A50">
        <w:rPr>
          <w:szCs w:val="24"/>
        </w:rPr>
        <w:t>NSG mice lung</w:t>
      </w:r>
      <w:r>
        <w:rPr>
          <w:szCs w:val="24"/>
        </w:rPr>
        <w:t>s</w:t>
      </w:r>
      <w:r w:rsidRPr="00472A50">
        <w:rPr>
          <w:szCs w:val="24"/>
        </w:rPr>
        <w:t xml:space="preserve"> 10 weeks post-transplantation. </w:t>
      </w:r>
      <w:r>
        <w:rPr>
          <w:szCs w:val="24"/>
        </w:rPr>
        <w:t>(C) </w:t>
      </w:r>
      <w:r w:rsidRPr="00472A50">
        <w:rPr>
          <w:szCs w:val="24"/>
        </w:rPr>
        <w:t xml:space="preserve">Hematoxylin and Eosin </w:t>
      </w:r>
      <w:r>
        <w:rPr>
          <w:szCs w:val="24"/>
        </w:rPr>
        <w:t>(400X, scale bar = 5</w:t>
      </w:r>
      <w:r w:rsidRPr="00472A50">
        <w:rPr>
          <w:szCs w:val="24"/>
        </w:rPr>
        <w:t>0</w:t>
      </w:r>
      <w:r>
        <w:rPr>
          <w:szCs w:val="24"/>
        </w:rPr>
        <w:t> </w:t>
      </w:r>
      <w:r w:rsidRPr="00472A50">
        <w:rPr>
          <w:szCs w:val="24"/>
        </w:rPr>
        <w:t>µm</w:t>
      </w:r>
      <w:r>
        <w:rPr>
          <w:szCs w:val="24"/>
        </w:rPr>
        <w:t>)</w:t>
      </w:r>
      <w:r w:rsidRPr="00472A50">
        <w:rPr>
          <w:szCs w:val="24"/>
        </w:rPr>
        <w:t xml:space="preserve">. </w:t>
      </w:r>
      <w:r>
        <w:rPr>
          <w:szCs w:val="24"/>
        </w:rPr>
        <w:t xml:space="preserve">(D) </w:t>
      </w:r>
      <w:r w:rsidRPr="00472A50">
        <w:rPr>
          <w:szCs w:val="24"/>
        </w:rPr>
        <w:t>Immunostaining with</w:t>
      </w:r>
      <w:r>
        <w:rPr>
          <w:szCs w:val="24"/>
        </w:rPr>
        <w:t xml:space="preserve"> </w:t>
      </w:r>
      <w:r w:rsidRPr="00472A50">
        <w:rPr>
          <w:szCs w:val="24"/>
        </w:rPr>
        <w:t xml:space="preserve">human </w:t>
      </w:r>
      <w:r>
        <w:rPr>
          <w:szCs w:val="24"/>
        </w:rPr>
        <w:t xml:space="preserve">CD68 (oval indicates parenchymal macrophages, box indicates alveolar macrophages), </w:t>
      </w:r>
      <w:r w:rsidRPr="00472A50">
        <w:rPr>
          <w:szCs w:val="24"/>
        </w:rPr>
        <w:t>human CD15, human CD3 and human CD20</w:t>
      </w:r>
      <w:r>
        <w:rPr>
          <w:szCs w:val="24"/>
        </w:rPr>
        <w:t>. Black arrows indicate positive nuclear staining of CD15</w:t>
      </w:r>
      <w:r>
        <w:rPr>
          <w:szCs w:val="24"/>
          <w:vertAlign w:val="superscript"/>
        </w:rPr>
        <w:t>+</w:t>
      </w:r>
      <w:r>
        <w:rPr>
          <w:szCs w:val="24"/>
        </w:rPr>
        <w:t xml:space="preserve"> neutrophils and CD20</w:t>
      </w:r>
      <w:r>
        <w:rPr>
          <w:szCs w:val="24"/>
          <w:vertAlign w:val="superscript"/>
        </w:rPr>
        <w:t>+</w:t>
      </w:r>
      <w:r>
        <w:rPr>
          <w:szCs w:val="24"/>
        </w:rPr>
        <w:t xml:space="preserve"> B cells</w:t>
      </w:r>
      <w:r w:rsidRPr="00472A50">
        <w:rPr>
          <w:szCs w:val="24"/>
        </w:rPr>
        <w:t xml:space="preserve"> </w:t>
      </w:r>
      <w:r>
        <w:rPr>
          <w:szCs w:val="24"/>
        </w:rPr>
        <w:t>(400X, scale bar = 50 </w:t>
      </w:r>
      <w:r w:rsidRPr="00472A50">
        <w:rPr>
          <w:szCs w:val="24"/>
        </w:rPr>
        <w:t>µm</w:t>
      </w:r>
      <w:r>
        <w:rPr>
          <w:szCs w:val="24"/>
        </w:rPr>
        <w:t>).</w:t>
      </w:r>
    </w:p>
    <w:p w14:paraId="25356F58" w14:textId="77777777" w:rsidR="00B96DFC" w:rsidRDefault="00B96DFC" w:rsidP="00B96DFC">
      <w:pPr>
        <w:rPr>
          <w:szCs w:val="24"/>
        </w:rPr>
      </w:pPr>
      <w:r>
        <w:rPr>
          <w:szCs w:val="24"/>
        </w:rPr>
        <w:br w:type="page"/>
      </w:r>
    </w:p>
    <w:p w14:paraId="0DFD4B21" w14:textId="77777777" w:rsidR="00B96DFC" w:rsidRDefault="00B96DFC" w:rsidP="00B96DFC">
      <w:pPr>
        <w:spacing w:line="480" w:lineRule="auto"/>
        <w:rPr>
          <w:b/>
          <w:szCs w:val="24"/>
        </w:rPr>
      </w:pPr>
      <w:r>
        <w:rPr>
          <w:b/>
          <w:noProof/>
          <w:szCs w:val="24"/>
          <w:lang w:val="de-DE" w:eastAsia="de-DE"/>
        </w:rPr>
        <w:lastRenderedPageBreak/>
        <w:drawing>
          <wp:inline distT="0" distB="0" distL="0" distR="0" wp14:anchorId="29CB6CE4" wp14:editId="7C1D2D8F">
            <wp:extent cx="5803392" cy="6071616"/>
            <wp:effectExtent l="0" t="0" r="0" b="571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 S2_171214.ti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392" cy="6071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37E164" w14:textId="7ADCB4F4" w:rsidR="00B96DFC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Figure </w:t>
      </w:r>
      <w:r>
        <w:rPr>
          <w:b/>
          <w:szCs w:val="24"/>
        </w:rPr>
        <w:t>2</w:t>
      </w:r>
      <w:r w:rsidRPr="0071750E">
        <w:rPr>
          <w:b/>
          <w:szCs w:val="24"/>
        </w:rPr>
        <w:t xml:space="preserve">. </w:t>
      </w:r>
      <w:r w:rsidRPr="00731311">
        <w:rPr>
          <w:b/>
          <w:szCs w:val="24"/>
        </w:rPr>
        <w:t>HIS-NSG mice are susceptible to aerosolized Mtb</w:t>
      </w:r>
      <w:r w:rsidRPr="0071750E">
        <w:rPr>
          <w:b/>
          <w:szCs w:val="24"/>
        </w:rPr>
        <w:t xml:space="preserve">. </w:t>
      </w:r>
      <w:r w:rsidRPr="00692D15">
        <w:rPr>
          <w:szCs w:val="24"/>
        </w:rPr>
        <w:t>(A)</w:t>
      </w:r>
      <w:r>
        <w:rPr>
          <w:b/>
          <w:szCs w:val="24"/>
        </w:rPr>
        <w:t xml:space="preserve"> </w:t>
      </w:r>
      <w:r w:rsidRPr="0071750E">
        <w:rPr>
          <w:szCs w:val="24"/>
        </w:rPr>
        <w:t xml:space="preserve">Bacterial burden in spleen, liver, kidney and bone marrow at day 35 </w:t>
      </w:r>
      <w:r>
        <w:rPr>
          <w:szCs w:val="24"/>
        </w:rPr>
        <w:t>p.i.</w:t>
      </w:r>
      <w:r w:rsidRPr="0071750E">
        <w:rPr>
          <w:szCs w:val="24"/>
        </w:rPr>
        <w:t xml:space="preserve"> Data were pooled from 2 independent experiments</w:t>
      </w:r>
      <w:r>
        <w:rPr>
          <w:szCs w:val="24"/>
        </w:rPr>
        <w:t>,</w:t>
      </w:r>
      <w:r w:rsidRPr="0071750E">
        <w:rPr>
          <w:szCs w:val="24"/>
        </w:rPr>
        <w:t xml:space="preserve"> mean ± SEM, Mann-Whitney </w:t>
      </w:r>
      <w:r>
        <w:rPr>
          <w:szCs w:val="24"/>
        </w:rPr>
        <w:t xml:space="preserve">U </w:t>
      </w:r>
      <w:r w:rsidRPr="0071750E">
        <w:rPr>
          <w:szCs w:val="24"/>
        </w:rPr>
        <w:t>test, ns = no significance</w:t>
      </w:r>
      <w:r>
        <w:rPr>
          <w:szCs w:val="24"/>
        </w:rPr>
        <w:t xml:space="preserve">, * </w:t>
      </w:r>
      <w:r w:rsidRPr="00810492">
        <w:rPr>
          <w:i/>
          <w:szCs w:val="24"/>
        </w:rPr>
        <w:t>P</w:t>
      </w:r>
      <w:r>
        <w:rPr>
          <w:szCs w:val="24"/>
        </w:rPr>
        <w:t xml:space="preserve"> &lt; 0.05</w:t>
      </w:r>
      <w:r w:rsidRPr="0071750E">
        <w:rPr>
          <w:szCs w:val="24"/>
        </w:rPr>
        <w:t>.</w:t>
      </w:r>
      <w:r>
        <w:rPr>
          <w:szCs w:val="24"/>
        </w:rPr>
        <w:t xml:space="preserve"> (B) Images from m</w:t>
      </w:r>
      <w:r w:rsidRPr="00692D15">
        <w:rPr>
          <w:szCs w:val="24"/>
        </w:rPr>
        <w:t xml:space="preserve">acroscopic (photographs) analysis of </w:t>
      </w:r>
      <w:r>
        <w:rPr>
          <w:szCs w:val="24"/>
        </w:rPr>
        <w:t xml:space="preserve">lung </w:t>
      </w:r>
      <w:r w:rsidRPr="00692D15">
        <w:rPr>
          <w:szCs w:val="24"/>
        </w:rPr>
        <w:t>lesions in HIS-NSG, PBS-NSG and B</w:t>
      </w:r>
      <w:r w:rsidRPr="00A97D6C">
        <w:rPr>
          <w:szCs w:val="24"/>
        </w:rPr>
        <w:t>L/</w:t>
      </w:r>
      <w:r w:rsidRPr="00692D15">
        <w:rPr>
          <w:szCs w:val="24"/>
        </w:rPr>
        <w:t>6 lungs</w:t>
      </w:r>
      <w:r>
        <w:rPr>
          <w:szCs w:val="24"/>
        </w:rPr>
        <w:t xml:space="preserve"> at day 35 p.i.</w:t>
      </w:r>
      <w:r w:rsidRPr="00A97D6C">
        <w:rPr>
          <w:szCs w:val="24"/>
        </w:rPr>
        <w:t xml:space="preserve">. </w:t>
      </w:r>
      <w:r w:rsidRPr="00692D15">
        <w:rPr>
          <w:szCs w:val="24"/>
        </w:rPr>
        <w:t xml:space="preserve">Data are representative of </w:t>
      </w:r>
      <w:r>
        <w:rPr>
          <w:szCs w:val="24"/>
        </w:rPr>
        <w:t>two</w:t>
      </w:r>
      <w:r w:rsidRPr="00692D15">
        <w:rPr>
          <w:szCs w:val="24"/>
        </w:rPr>
        <w:t xml:space="preserve"> independent experiments.</w:t>
      </w:r>
    </w:p>
    <w:p w14:paraId="7FCEA033" w14:textId="77777777" w:rsidR="00B96DFC" w:rsidRPr="00F06656" w:rsidRDefault="00B96DFC" w:rsidP="00B96DFC">
      <w:pPr>
        <w:spacing w:line="480" w:lineRule="auto"/>
        <w:jc w:val="both"/>
        <w:rPr>
          <w:szCs w:val="24"/>
        </w:rPr>
      </w:pPr>
    </w:p>
    <w:p w14:paraId="34E4D3CB" w14:textId="77777777" w:rsidR="00B96DFC" w:rsidRDefault="00B96DFC" w:rsidP="00B96DFC">
      <w:pPr>
        <w:spacing w:line="480" w:lineRule="auto"/>
        <w:rPr>
          <w:szCs w:val="24"/>
        </w:rPr>
      </w:pPr>
      <w:r>
        <w:rPr>
          <w:noProof/>
          <w:szCs w:val="24"/>
          <w:lang w:val="de-DE" w:eastAsia="de-DE"/>
        </w:rPr>
        <w:lastRenderedPageBreak/>
        <w:drawing>
          <wp:inline distT="0" distB="0" distL="0" distR="0" wp14:anchorId="0669B2C6" wp14:editId="1FFC1818">
            <wp:extent cx="5760720" cy="4663440"/>
            <wp:effectExtent l="0" t="0" r="0" b="3810"/>
            <wp:docPr id="9240" name="Grafik 9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6" name="SuppFig3_141204.tif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663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DD19C" w14:textId="34A87794" w:rsidR="00B96DFC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</w:t>
      </w:r>
      <w:r w:rsidRPr="00101F92">
        <w:rPr>
          <w:b/>
          <w:szCs w:val="24"/>
        </w:rPr>
        <w:t>F</w:t>
      </w:r>
      <w:r>
        <w:rPr>
          <w:b/>
          <w:szCs w:val="24"/>
        </w:rPr>
        <w:t>igure 3</w:t>
      </w:r>
      <w:r w:rsidRPr="00472A50">
        <w:rPr>
          <w:b/>
          <w:szCs w:val="24"/>
        </w:rPr>
        <w:t>. HIS</w:t>
      </w:r>
      <w:r>
        <w:rPr>
          <w:b/>
          <w:szCs w:val="24"/>
        </w:rPr>
        <w:t>-</w:t>
      </w:r>
      <w:r w:rsidRPr="00472A50">
        <w:rPr>
          <w:b/>
          <w:szCs w:val="24"/>
        </w:rPr>
        <w:t>NSG mice develop splenic lesions upon Mtb infection.</w:t>
      </w:r>
      <w:r w:rsidRPr="00472A50">
        <w:rPr>
          <w:szCs w:val="24"/>
        </w:rPr>
        <w:t xml:space="preserve"> </w:t>
      </w:r>
      <w:r>
        <w:rPr>
          <w:szCs w:val="24"/>
        </w:rPr>
        <w:t xml:space="preserve">(A) </w:t>
      </w:r>
      <w:r w:rsidRPr="00101F92">
        <w:rPr>
          <w:szCs w:val="24"/>
        </w:rPr>
        <w:t>M</w:t>
      </w:r>
      <w:r>
        <w:rPr>
          <w:szCs w:val="24"/>
        </w:rPr>
        <w:t>acroscopic (p</w:t>
      </w:r>
      <w:r w:rsidRPr="00472A50">
        <w:rPr>
          <w:szCs w:val="24"/>
        </w:rPr>
        <w:t>hotogra</w:t>
      </w:r>
      <w:r>
        <w:rPr>
          <w:szCs w:val="24"/>
        </w:rPr>
        <w:t>phs) and (B) microscopic analysis (</w:t>
      </w:r>
      <w:r w:rsidRPr="00472A50">
        <w:rPr>
          <w:szCs w:val="24"/>
        </w:rPr>
        <w:t>Hematoxylin and Eosin 50X, scale b</w:t>
      </w:r>
      <w:r>
        <w:rPr>
          <w:szCs w:val="24"/>
        </w:rPr>
        <w:t>ar = 500 </w:t>
      </w:r>
      <w:r w:rsidRPr="00731311">
        <w:rPr>
          <w:szCs w:val="24"/>
        </w:rPr>
        <w:t>µm</w:t>
      </w:r>
      <w:r>
        <w:rPr>
          <w:szCs w:val="24"/>
        </w:rPr>
        <w:t>) in representative HIS-NSG, PBS-</w:t>
      </w:r>
      <w:r w:rsidRPr="00472A50">
        <w:rPr>
          <w:szCs w:val="24"/>
        </w:rPr>
        <w:t>NSG and B</w:t>
      </w:r>
      <w:r>
        <w:rPr>
          <w:szCs w:val="24"/>
        </w:rPr>
        <w:t>L/</w:t>
      </w:r>
      <w:r w:rsidRPr="00472A50">
        <w:rPr>
          <w:szCs w:val="24"/>
        </w:rPr>
        <w:t xml:space="preserve">6 spleens </w:t>
      </w:r>
      <w:r>
        <w:rPr>
          <w:szCs w:val="24"/>
        </w:rPr>
        <w:t xml:space="preserve">at day 35 p.i. </w:t>
      </w:r>
      <w:r w:rsidRPr="00472A50">
        <w:rPr>
          <w:szCs w:val="24"/>
        </w:rPr>
        <w:t xml:space="preserve">was carried out in addition to </w:t>
      </w:r>
      <w:r>
        <w:rPr>
          <w:szCs w:val="24"/>
        </w:rPr>
        <w:t xml:space="preserve">(C) </w:t>
      </w:r>
      <w:r w:rsidRPr="00472A50">
        <w:rPr>
          <w:szCs w:val="24"/>
        </w:rPr>
        <w:t>mycobacteria</w:t>
      </w:r>
      <w:r>
        <w:rPr>
          <w:szCs w:val="24"/>
        </w:rPr>
        <w:t>l identification (</w:t>
      </w:r>
      <w:r w:rsidRPr="00472A50">
        <w:rPr>
          <w:szCs w:val="24"/>
        </w:rPr>
        <w:t>Ziehl-Neelsen 100X, scale bar</w:t>
      </w:r>
      <w:r>
        <w:rPr>
          <w:szCs w:val="24"/>
        </w:rPr>
        <w:t xml:space="preserve"> </w:t>
      </w:r>
      <w:r w:rsidRPr="00472A50">
        <w:rPr>
          <w:szCs w:val="24"/>
        </w:rPr>
        <w:t>=</w:t>
      </w:r>
      <w:r>
        <w:rPr>
          <w:szCs w:val="24"/>
        </w:rPr>
        <w:t xml:space="preserve"> </w:t>
      </w:r>
      <w:r w:rsidRPr="00472A50">
        <w:rPr>
          <w:szCs w:val="24"/>
        </w:rPr>
        <w:t>200</w:t>
      </w:r>
      <w:r>
        <w:rPr>
          <w:szCs w:val="24"/>
        </w:rPr>
        <w:t> </w:t>
      </w:r>
      <w:r w:rsidRPr="00731311">
        <w:rPr>
          <w:szCs w:val="24"/>
        </w:rPr>
        <w:t>µm</w:t>
      </w:r>
      <w:r w:rsidRPr="00472A50">
        <w:rPr>
          <w:szCs w:val="24"/>
        </w:rPr>
        <w:t xml:space="preserve">). Data </w:t>
      </w:r>
      <w:r w:rsidRPr="00101F92">
        <w:rPr>
          <w:szCs w:val="24"/>
        </w:rPr>
        <w:t xml:space="preserve">are representative of </w:t>
      </w:r>
      <w:r>
        <w:rPr>
          <w:szCs w:val="24"/>
        </w:rPr>
        <w:t>two</w:t>
      </w:r>
      <w:r w:rsidRPr="00101F92">
        <w:rPr>
          <w:szCs w:val="24"/>
        </w:rPr>
        <w:t xml:space="preserve"> independent experiments.</w:t>
      </w:r>
    </w:p>
    <w:p w14:paraId="467F36B9" w14:textId="77777777" w:rsidR="00B96DFC" w:rsidRPr="00472A50" w:rsidRDefault="00B96DFC" w:rsidP="00B96DFC">
      <w:pPr>
        <w:spacing w:line="480" w:lineRule="auto"/>
        <w:jc w:val="both"/>
        <w:rPr>
          <w:szCs w:val="24"/>
        </w:rPr>
      </w:pPr>
    </w:p>
    <w:p w14:paraId="19632403" w14:textId="77777777" w:rsidR="00B96DFC" w:rsidRDefault="00B96DFC" w:rsidP="00B96DFC">
      <w:pPr>
        <w:spacing w:line="480" w:lineRule="auto"/>
        <w:jc w:val="both"/>
        <w:rPr>
          <w:b/>
          <w:szCs w:val="24"/>
        </w:rPr>
      </w:pPr>
      <w:r>
        <w:rPr>
          <w:b/>
          <w:noProof/>
          <w:szCs w:val="24"/>
          <w:lang w:val="de-DE" w:eastAsia="de-DE"/>
        </w:rPr>
        <w:lastRenderedPageBreak/>
        <w:drawing>
          <wp:inline distT="0" distB="0" distL="0" distR="0" wp14:anchorId="2535131B" wp14:editId="002ACA1B">
            <wp:extent cx="4679092" cy="5367958"/>
            <wp:effectExtent l="0" t="0" r="0" b="444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uppFig S4_171218.t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0975" cy="5393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69418A" w14:textId="52A8A199" w:rsidR="00B96DFC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Figure </w:t>
      </w:r>
      <w:r>
        <w:rPr>
          <w:b/>
          <w:szCs w:val="24"/>
        </w:rPr>
        <w:t>4</w:t>
      </w:r>
      <w:r w:rsidRPr="00472A50">
        <w:rPr>
          <w:b/>
          <w:szCs w:val="24"/>
        </w:rPr>
        <w:t xml:space="preserve">. </w:t>
      </w:r>
      <w:r>
        <w:rPr>
          <w:b/>
          <w:szCs w:val="24"/>
        </w:rPr>
        <w:t>Flow cytometric gating strategy of h</w:t>
      </w:r>
      <w:r w:rsidRPr="00472A50">
        <w:rPr>
          <w:b/>
          <w:szCs w:val="24"/>
        </w:rPr>
        <w:t xml:space="preserve">uman </w:t>
      </w:r>
      <w:r>
        <w:rPr>
          <w:b/>
          <w:szCs w:val="24"/>
        </w:rPr>
        <w:t xml:space="preserve">innate and adaptive </w:t>
      </w:r>
      <w:r w:rsidRPr="00472A50">
        <w:rPr>
          <w:b/>
          <w:szCs w:val="24"/>
        </w:rPr>
        <w:t>immune cells in HIS</w:t>
      </w:r>
      <w:r>
        <w:rPr>
          <w:b/>
          <w:szCs w:val="24"/>
        </w:rPr>
        <w:t>-</w:t>
      </w:r>
      <w:r w:rsidRPr="00472A50">
        <w:rPr>
          <w:b/>
          <w:szCs w:val="24"/>
        </w:rPr>
        <w:t>NSG lung</w:t>
      </w:r>
      <w:r>
        <w:rPr>
          <w:b/>
          <w:szCs w:val="24"/>
        </w:rPr>
        <w:t>s</w:t>
      </w:r>
      <w:r w:rsidRPr="00472A50">
        <w:rPr>
          <w:b/>
          <w:szCs w:val="24"/>
        </w:rPr>
        <w:t>.</w:t>
      </w:r>
      <w:r w:rsidRPr="00472A50">
        <w:rPr>
          <w:szCs w:val="24"/>
        </w:rPr>
        <w:t xml:space="preserve"> Representative dot plots show</w:t>
      </w:r>
      <w:r>
        <w:rPr>
          <w:szCs w:val="24"/>
        </w:rPr>
        <w:t>ing</w:t>
      </w:r>
      <w:r w:rsidRPr="00472A50">
        <w:rPr>
          <w:szCs w:val="24"/>
        </w:rPr>
        <w:t xml:space="preserve"> flow cytometric gating strategy applied to identify human innate and adaptive </w:t>
      </w:r>
      <w:r>
        <w:rPr>
          <w:szCs w:val="24"/>
        </w:rPr>
        <w:t xml:space="preserve">immune </w:t>
      </w:r>
      <w:r w:rsidRPr="00472A50">
        <w:rPr>
          <w:szCs w:val="24"/>
        </w:rPr>
        <w:t>cells</w:t>
      </w:r>
      <w:r>
        <w:rPr>
          <w:szCs w:val="24"/>
        </w:rPr>
        <w:t xml:space="preserve"> </w:t>
      </w:r>
      <w:r w:rsidRPr="00472A50">
        <w:rPr>
          <w:szCs w:val="24"/>
        </w:rPr>
        <w:t>(FSC/SSC leukocytes→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granulocytes → human CD33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>CD66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>a/c/e/b neutrophils; FSC/SSC leukocytes→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monocytes→ human CD33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>CD14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monocytes/macrophages; FSC/SSC leukocytes→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monocytes→ human CD33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>CD11c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dendritic cells; FSC/SSC leukocytes→ human CD45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lymphocytes → human CD3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 and CD19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B cells; human CD3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cells→ CD4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 and CD8</w:t>
      </w:r>
      <w:r w:rsidRPr="00472A50">
        <w:rPr>
          <w:szCs w:val="24"/>
          <w:vertAlign w:val="superscript"/>
        </w:rPr>
        <w:t>+</w:t>
      </w:r>
      <w:r w:rsidRPr="00472A50">
        <w:rPr>
          <w:szCs w:val="24"/>
        </w:rPr>
        <w:t xml:space="preserve"> T cells</w:t>
      </w:r>
      <w:r>
        <w:rPr>
          <w:szCs w:val="24"/>
        </w:rPr>
        <w:t>; human CD19</w:t>
      </w:r>
      <w:r>
        <w:rPr>
          <w:szCs w:val="24"/>
          <w:vertAlign w:val="superscript"/>
        </w:rPr>
        <w:t>+</w:t>
      </w:r>
      <w:r>
        <w:rPr>
          <w:szCs w:val="24"/>
        </w:rPr>
        <w:t xml:space="preserve"> B cells </w:t>
      </w:r>
      <w:r w:rsidRPr="00472A50">
        <w:rPr>
          <w:szCs w:val="24"/>
        </w:rPr>
        <w:t>→</w:t>
      </w:r>
      <w:r>
        <w:rPr>
          <w:szCs w:val="24"/>
        </w:rPr>
        <w:t xml:space="preserve"> human CD20</w:t>
      </w:r>
      <w:r>
        <w:rPr>
          <w:szCs w:val="24"/>
          <w:vertAlign w:val="superscript"/>
        </w:rPr>
        <w:t>+</w:t>
      </w:r>
      <w:r>
        <w:rPr>
          <w:szCs w:val="24"/>
        </w:rPr>
        <w:t xml:space="preserve"> B cells).</w:t>
      </w:r>
    </w:p>
    <w:p w14:paraId="6003F252" w14:textId="77777777" w:rsidR="00B96DFC" w:rsidRDefault="00B96DFC" w:rsidP="00B96DFC">
      <w:pPr>
        <w:spacing w:line="480" w:lineRule="auto"/>
        <w:jc w:val="both"/>
        <w:rPr>
          <w:b/>
          <w:szCs w:val="24"/>
        </w:rPr>
      </w:pPr>
      <w:r>
        <w:rPr>
          <w:b/>
          <w:noProof/>
          <w:szCs w:val="24"/>
          <w:lang w:val="de-DE" w:eastAsia="de-DE"/>
        </w:rPr>
        <w:lastRenderedPageBreak/>
        <w:drawing>
          <wp:inline distT="0" distB="0" distL="0" distR="0" wp14:anchorId="04981261" wp14:editId="5905B8ED">
            <wp:extent cx="4737592" cy="6359611"/>
            <wp:effectExtent l="0" t="0" r="0" b="0"/>
            <wp:docPr id="2078" name="Grafik 2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8" name="SuppFig5_141205.tif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7580" cy="6386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40D8E" w14:textId="676A2657" w:rsidR="00B96DFC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Figure </w:t>
      </w:r>
      <w:r w:rsidRPr="00692D15">
        <w:rPr>
          <w:b/>
          <w:szCs w:val="24"/>
        </w:rPr>
        <w:t>5. Human biomolecule expression in Mtb infected HIS-NSG lungs.</w:t>
      </w:r>
      <w:r w:rsidRPr="00027DAD">
        <w:rPr>
          <w:szCs w:val="24"/>
        </w:rPr>
        <w:t xml:space="preserve"> Human biomolecules were determined in lung homogenates of HIS-NSG mice. </w:t>
      </w:r>
      <w:r w:rsidRPr="00692D15">
        <w:rPr>
          <w:noProof/>
          <w:szCs w:val="24"/>
        </w:rPr>
        <w:t xml:space="preserve">Bar graphs showing protein levels at 14, 21 and 28 days p.i. </w:t>
      </w:r>
      <w:r w:rsidRPr="00692D15">
        <w:rPr>
          <w:i/>
          <w:szCs w:val="24"/>
        </w:rPr>
        <w:t>n</w:t>
      </w:r>
      <w:r w:rsidRPr="00692D15">
        <w:rPr>
          <w:szCs w:val="24"/>
        </w:rPr>
        <w:t> = 4</w:t>
      </w:r>
      <w:r>
        <w:rPr>
          <w:szCs w:val="24"/>
        </w:rPr>
        <w:t xml:space="preserve"> </w:t>
      </w:r>
      <w:r w:rsidRPr="00692D15">
        <w:rPr>
          <w:szCs w:val="24"/>
        </w:rPr>
        <w:t>-</w:t>
      </w:r>
      <w:r>
        <w:rPr>
          <w:szCs w:val="24"/>
        </w:rPr>
        <w:t xml:space="preserve"> </w:t>
      </w:r>
      <w:r w:rsidRPr="00692D15">
        <w:rPr>
          <w:szCs w:val="24"/>
        </w:rPr>
        <w:t xml:space="preserve">5 mice per time point, </w:t>
      </w:r>
      <w:r w:rsidRPr="00027DAD">
        <w:rPr>
          <w:szCs w:val="24"/>
        </w:rPr>
        <w:t>M</w:t>
      </w:r>
      <w:r w:rsidRPr="00810492">
        <w:rPr>
          <w:szCs w:val="24"/>
        </w:rPr>
        <w:t xml:space="preserve">ean ± SEM, </w:t>
      </w:r>
      <w:r w:rsidRPr="00692D15">
        <w:rPr>
          <w:szCs w:val="24"/>
        </w:rPr>
        <w:t>Kruskal-Wallis/Dunn’s multiple comparisons test</w:t>
      </w:r>
      <w:r>
        <w:rPr>
          <w:szCs w:val="24"/>
        </w:rPr>
        <w:t xml:space="preserve">. n.d., not detected/below detection limit, dotted line: detection limit; ** </w:t>
      </w:r>
      <w:r w:rsidRPr="00692D15">
        <w:rPr>
          <w:i/>
          <w:szCs w:val="24"/>
        </w:rPr>
        <w:t>P</w:t>
      </w:r>
      <w:r>
        <w:rPr>
          <w:szCs w:val="24"/>
        </w:rPr>
        <w:t xml:space="preserve"> &lt; 0.01, * </w:t>
      </w:r>
      <w:r w:rsidRPr="00810492">
        <w:rPr>
          <w:i/>
          <w:szCs w:val="24"/>
        </w:rPr>
        <w:t>P</w:t>
      </w:r>
      <w:r>
        <w:rPr>
          <w:szCs w:val="24"/>
        </w:rPr>
        <w:t xml:space="preserve"> &lt; 0.05.</w:t>
      </w:r>
      <w:r>
        <w:rPr>
          <w:szCs w:val="24"/>
        </w:rPr>
        <w:br w:type="page"/>
      </w:r>
    </w:p>
    <w:p w14:paraId="0938CB4B" w14:textId="77777777" w:rsidR="00B96DFC" w:rsidRDefault="00B96DFC" w:rsidP="00B96DFC">
      <w:pPr>
        <w:spacing w:line="480" w:lineRule="auto"/>
        <w:jc w:val="both"/>
        <w:rPr>
          <w:szCs w:val="24"/>
        </w:rPr>
      </w:pPr>
      <w:r>
        <w:rPr>
          <w:noProof/>
          <w:szCs w:val="24"/>
          <w:lang w:val="de-DE" w:eastAsia="de-DE"/>
        </w:rPr>
        <w:lastRenderedPageBreak/>
        <w:drawing>
          <wp:inline distT="0" distB="0" distL="0" distR="0" wp14:anchorId="4B945252" wp14:editId="1426EEE8">
            <wp:extent cx="4779557" cy="5091379"/>
            <wp:effectExtent l="0" t="0" r="2540" b="0"/>
            <wp:docPr id="2066" name="Grafik 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" name="SuppFig5_141204.tif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1331" cy="5093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B364" w14:textId="2017A1C1" w:rsidR="00B96DFC" w:rsidRPr="00692D15" w:rsidRDefault="00B96DFC" w:rsidP="00B96DFC">
      <w:pPr>
        <w:jc w:val="both"/>
        <w:rPr>
          <w:szCs w:val="24"/>
        </w:rPr>
      </w:pPr>
      <w:r>
        <w:rPr>
          <w:b/>
          <w:szCs w:val="24"/>
        </w:rPr>
        <w:t xml:space="preserve">Supplementary </w:t>
      </w:r>
      <w:r w:rsidRPr="004774C9">
        <w:rPr>
          <w:b/>
          <w:szCs w:val="24"/>
        </w:rPr>
        <w:t xml:space="preserve">Figure </w:t>
      </w:r>
      <w:r>
        <w:rPr>
          <w:b/>
          <w:szCs w:val="24"/>
        </w:rPr>
        <w:t>6</w:t>
      </w:r>
      <w:r w:rsidRPr="004774C9">
        <w:rPr>
          <w:b/>
          <w:szCs w:val="24"/>
        </w:rPr>
        <w:t xml:space="preserve">. </w:t>
      </w:r>
      <w:r>
        <w:rPr>
          <w:b/>
          <w:szCs w:val="24"/>
        </w:rPr>
        <w:t xml:space="preserve">Changes in </w:t>
      </w:r>
      <w:r w:rsidRPr="004774C9">
        <w:rPr>
          <w:b/>
          <w:szCs w:val="24"/>
        </w:rPr>
        <w:t>HIS-NSG l</w:t>
      </w:r>
      <w:r>
        <w:rPr>
          <w:b/>
          <w:szCs w:val="24"/>
        </w:rPr>
        <w:t xml:space="preserve">ung architecture as TB </w:t>
      </w:r>
      <w:r w:rsidRPr="004774C9">
        <w:rPr>
          <w:b/>
          <w:szCs w:val="24"/>
        </w:rPr>
        <w:t xml:space="preserve">disease progresses. </w:t>
      </w:r>
      <w:r w:rsidRPr="004774C9">
        <w:rPr>
          <w:szCs w:val="24"/>
        </w:rPr>
        <w:t>Entire left lung lobes collected from representative HIS-NSG mice</w:t>
      </w:r>
      <w:r w:rsidRPr="004774C9">
        <w:rPr>
          <w:noProof/>
          <w:szCs w:val="24"/>
        </w:rPr>
        <w:t xml:space="preserve"> at 14, 21 and 28 </w:t>
      </w:r>
      <w:r>
        <w:rPr>
          <w:noProof/>
          <w:szCs w:val="24"/>
        </w:rPr>
        <w:t xml:space="preserve">days </w:t>
      </w:r>
      <w:r w:rsidRPr="004774C9">
        <w:rPr>
          <w:noProof/>
          <w:szCs w:val="24"/>
        </w:rPr>
        <w:t>post Mtb infection</w:t>
      </w:r>
      <w:r>
        <w:rPr>
          <w:szCs w:val="24"/>
        </w:rPr>
        <w:t xml:space="preserve"> show</w:t>
      </w:r>
      <w:r w:rsidRPr="004774C9">
        <w:rPr>
          <w:szCs w:val="24"/>
        </w:rPr>
        <w:t xml:space="preserve"> increased loss of spo</w:t>
      </w:r>
      <w:r>
        <w:rPr>
          <w:szCs w:val="24"/>
        </w:rPr>
        <w:t xml:space="preserve">ngy architecture as TB </w:t>
      </w:r>
      <w:r w:rsidRPr="004774C9">
        <w:rPr>
          <w:szCs w:val="24"/>
        </w:rPr>
        <w:t>progresse</w:t>
      </w:r>
      <w:r>
        <w:rPr>
          <w:szCs w:val="24"/>
        </w:rPr>
        <w:t>d. Hematoxylin and Eosin stain of t</w:t>
      </w:r>
      <w:r w:rsidRPr="004774C9">
        <w:rPr>
          <w:szCs w:val="24"/>
        </w:rPr>
        <w:t>issue slide scan</w:t>
      </w:r>
      <w:r w:rsidRPr="00692D15">
        <w:rPr>
          <w:szCs w:val="24"/>
        </w:rPr>
        <w:t>s</w:t>
      </w:r>
      <w:r w:rsidRPr="004774C9">
        <w:rPr>
          <w:szCs w:val="24"/>
        </w:rPr>
        <w:t>; Hematoxylin and Eosin stain 100X, scale bar</w:t>
      </w:r>
      <w:r>
        <w:rPr>
          <w:szCs w:val="24"/>
        </w:rPr>
        <w:t xml:space="preserve"> </w:t>
      </w:r>
      <w:r w:rsidRPr="004774C9">
        <w:rPr>
          <w:szCs w:val="24"/>
        </w:rPr>
        <w:t>=</w:t>
      </w:r>
      <w:r>
        <w:rPr>
          <w:szCs w:val="24"/>
        </w:rPr>
        <w:t xml:space="preserve"> </w:t>
      </w:r>
      <w:r w:rsidRPr="004774C9">
        <w:rPr>
          <w:szCs w:val="24"/>
        </w:rPr>
        <w:t>200</w:t>
      </w:r>
      <w:r>
        <w:rPr>
          <w:szCs w:val="24"/>
        </w:rPr>
        <w:t> </w:t>
      </w:r>
      <w:r w:rsidRPr="00731311">
        <w:rPr>
          <w:szCs w:val="24"/>
        </w:rPr>
        <w:t>µm</w:t>
      </w:r>
      <w:r>
        <w:rPr>
          <w:szCs w:val="24"/>
        </w:rPr>
        <w:t>.</w:t>
      </w:r>
      <w:r w:rsidDel="00027DAD">
        <w:rPr>
          <w:szCs w:val="24"/>
        </w:rPr>
        <w:t xml:space="preserve"> </w:t>
      </w:r>
    </w:p>
    <w:p w14:paraId="217DF78B" w14:textId="77777777" w:rsidR="00B96DFC" w:rsidRPr="00811406" w:rsidRDefault="00B96DFC" w:rsidP="00B96DFC">
      <w:pPr>
        <w:tabs>
          <w:tab w:val="left" w:pos="915"/>
        </w:tabs>
        <w:rPr>
          <w:szCs w:val="24"/>
        </w:rPr>
      </w:pPr>
    </w:p>
    <w:p w14:paraId="68CAB026" w14:textId="77777777" w:rsidR="00B96DFC" w:rsidRPr="002B4A57" w:rsidRDefault="00B96DFC" w:rsidP="002B4A57">
      <w:pPr>
        <w:keepNext/>
        <w:rPr>
          <w:rFonts w:cs="Times New Roman"/>
          <w:b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5"/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9F475E" w14:textId="77777777" w:rsidR="00AA4D24" w:rsidRDefault="00AA4D24" w:rsidP="00117666">
      <w:pPr>
        <w:spacing w:after="0"/>
      </w:pPr>
      <w:r>
        <w:separator/>
      </w:r>
    </w:p>
  </w:endnote>
  <w:endnote w:type="continuationSeparator" w:id="0">
    <w:p w14:paraId="2F15DC79" w14:textId="77777777" w:rsidR="00AA4D24" w:rsidRDefault="00AA4D24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5C7135D0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72A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6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5C7135D0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72A08">
                      <w:rPr>
                        <w:noProof/>
                        <w:color w:val="000000" w:themeColor="text1"/>
                        <w:szCs w:val="40"/>
                      </w:rPr>
                      <w:t>6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075810EC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F72A0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7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075810EC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F72A08">
                      <w:rPr>
                        <w:noProof/>
                        <w:color w:val="000000" w:themeColor="text1"/>
                        <w:szCs w:val="40"/>
                      </w:rPr>
                      <w:t>7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B172D6" w14:textId="77777777" w:rsidR="00AA4D24" w:rsidRDefault="00AA4D24" w:rsidP="00117666">
      <w:pPr>
        <w:spacing w:after="0"/>
      </w:pPr>
      <w:r>
        <w:separator/>
      </w:r>
    </w:p>
  </w:footnote>
  <w:footnote w:type="continuationSeparator" w:id="0">
    <w:p w14:paraId="4C99E068" w14:textId="77777777" w:rsidR="00AA4D24" w:rsidRDefault="00AA4D24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de-DE" w:eastAsia="de-DE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berschrift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enabsatz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hyphenationZone w:val="425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41751"/>
    <w:rsid w:val="00052A14"/>
    <w:rsid w:val="00077D53"/>
    <w:rsid w:val="00105FD9"/>
    <w:rsid w:val="00117666"/>
    <w:rsid w:val="001549D3"/>
    <w:rsid w:val="00160065"/>
    <w:rsid w:val="00177D84"/>
    <w:rsid w:val="00267D18"/>
    <w:rsid w:val="002868E2"/>
    <w:rsid w:val="002869C3"/>
    <w:rsid w:val="002936E4"/>
    <w:rsid w:val="002B4A57"/>
    <w:rsid w:val="002C74CA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817DD6"/>
    <w:rsid w:val="0083759F"/>
    <w:rsid w:val="00885156"/>
    <w:rsid w:val="009151AA"/>
    <w:rsid w:val="0093429D"/>
    <w:rsid w:val="00943573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96DFC"/>
    <w:rsid w:val="00C52A7B"/>
    <w:rsid w:val="00C56BAF"/>
    <w:rsid w:val="00C679AA"/>
    <w:rsid w:val="00C75972"/>
    <w:rsid w:val="00CD066B"/>
    <w:rsid w:val="00CE4FEE"/>
    <w:rsid w:val="00DB59C3"/>
    <w:rsid w:val="00DC259A"/>
    <w:rsid w:val="00DE23E8"/>
    <w:rsid w:val="00E52377"/>
    <w:rsid w:val="00E64E17"/>
    <w:rsid w:val="00E866C9"/>
    <w:rsid w:val="00EA3D3C"/>
    <w:rsid w:val="00EC090A"/>
    <w:rsid w:val="00ED20B5"/>
    <w:rsid w:val="00F46900"/>
    <w:rsid w:val="00F61D89"/>
    <w:rsid w:val="00F72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berschrift1">
    <w:name w:val="heading 1"/>
    <w:basedOn w:val="Listenabsatz"/>
    <w:next w:val="Standard"/>
    <w:link w:val="berschrift1Zchn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berschrift2">
    <w:name w:val="heading 2"/>
    <w:basedOn w:val="berschrift1"/>
    <w:next w:val="Standard"/>
    <w:link w:val="berschrift2Zchn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berschrift3">
    <w:name w:val="heading 3"/>
    <w:basedOn w:val="Standard"/>
    <w:next w:val="Standard"/>
    <w:link w:val="berschrift3Zchn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berschrift4">
    <w:name w:val="heading 4"/>
    <w:basedOn w:val="berschrift3"/>
    <w:next w:val="Standard"/>
    <w:link w:val="berschrift4Zchn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berschrift5">
    <w:name w:val="heading 5"/>
    <w:basedOn w:val="berschrift4"/>
    <w:next w:val="Standard"/>
    <w:link w:val="berschrift5Zchn"/>
    <w:uiPriority w:val="2"/>
    <w:qFormat/>
    <w:rsid w:val="00AB6715"/>
    <w:pPr>
      <w:numPr>
        <w:ilvl w:val="4"/>
      </w:numPr>
      <w:outlineLvl w:val="4"/>
    </w:p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berschrift2Zchn">
    <w:name w:val="Überschrift 2 Zchn"/>
    <w:basedOn w:val="Absatz-Standardschriftart"/>
    <w:link w:val="berschrift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Untertitel">
    <w:name w:val="Subtitle"/>
    <w:basedOn w:val="Standard"/>
    <w:next w:val="Standard"/>
    <w:link w:val="UntertitelZchn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UntertitelZchn">
    <w:name w:val="Untertitel Zchn"/>
    <w:basedOn w:val="Absatz-Standardschriftart"/>
    <w:link w:val="Untertitel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Untertitel"/>
    <w:next w:val="Standard"/>
    <w:uiPriority w:val="1"/>
    <w:qFormat/>
    <w:rsid w:val="00AB671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uchtitel">
    <w:name w:val="Book Title"/>
    <w:basedOn w:val="Absatz-Standardschriftar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Beschriftung">
    <w:name w:val="caption"/>
    <w:basedOn w:val="Standard"/>
    <w:next w:val="KeinLeerraum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KeinLeerraum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AB671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AB6715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B671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Hervorhebung">
    <w:name w:val="Emphasis"/>
    <w:basedOn w:val="Absatz-Standardschriftart"/>
    <w:uiPriority w:val="20"/>
    <w:qFormat/>
    <w:rsid w:val="00AB6715"/>
    <w:rPr>
      <w:rFonts w:ascii="Times New Roman" w:hAnsi="Times New Roman"/>
      <w:i/>
      <w:iCs/>
    </w:rPr>
  </w:style>
  <w:style w:type="character" w:styleId="Endnotenzeichen">
    <w:name w:val="end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BesuchterLink">
    <w:name w:val="FollowedHyperlink"/>
    <w:basedOn w:val="Absatz-Standardschriftar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uzeileZchn">
    <w:name w:val="Fußzeile Zchn"/>
    <w:basedOn w:val="Absatz-Standardschriftart"/>
    <w:link w:val="Fuzeile"/>
    <w:uiPriority w:val="99"/>
    <w:rsid w:val="00AB6715"/>
    <w:rPr>
      <w:rFonts w:ascii="Times New Roman" w:hAnsi="Times New Roman"/>
      <w:sz w:val="24"/>
    </w:rPr>
  </w:style>
  <w:style w:type="character" w:styleId="Funotenzeichen">
    <w:name w:val="footnote reference"/>
    <w:basedOn w:val="Absatz-Standardschriftart"/>
    <w:uiPriority w:val="99"/>
    <w:semiHidden/>
    <w:unhideWhenUsed/>
    <w:rsid w:val="00AB6715"/>
    <w:rPr>
      <w:vertAlign w:val="superscript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Kopfzeile">
    <w:name w:val="header"/>
    <w:basedOn w:val="Standard"/>
    <w:link w:val="KopfzeileZchn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KopfzeileZchn">
    <w:name w:val="Kopfzeile Zchn"/>
    <w:basedOn w:val="Absatz-Standardschriftart"/>
    <w:link w:val="Kopfzeile"/>
    <w:uiPriority w:val="99"/>
    <w:rsid w:val="00AB6715"/>
    <w:rPr>
      <w:rFonts w:ascii="Times New Roman" w:hAnsi="Times New Roman"/>
      <w:b/>
      <w:sz w:val="24"/>
    </w:rPr>
  </w:style>
  <w:style w:type="paragraph" w:styleId="Listenabsatz">
    <w:name w:val="List Paragraph"/>
    <w:basedOn w:val="Standard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Absatz-Standardschriftart"/>
    <w:uiPriority w:val="99"/>
    <w:unhideWhenUsed/>
    <w:rsid w:val="00AB6715"/>
    <w:rPr>
      <w:color w:val="0000FF"/>
      <w:u w:val="single"/>
    </w:rPr>
  </w:style>
  <w:style w:type="character" w:styleId="IntensiveHervorhebung">
    <w:name w:val="Intense Emphasis"/>
    <w:basedOn w:val="Absatz-Standardschriftar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iverVerweis">
    <w:name w:val="Intense Reference"/>
    <w:basedOn w:val="Absatz-Standardschriftart"/>
    <w:uiPriority w:val="32"/>
    <w:qFormat/>
    <w:rsid w:val="00AB6715"/>
    <w:rPr>
      <w:b/>
      <w:bCs/>
      <w:smallCaps/>
      <w:color w:val="auto"/>
      <w:spacing w:val="5"/>
    </w:rPr>
  </w:style>
  <w:style w:type="character" w:styleId="Zeilennummer">
    <w:name w:val="line number"/>
    <w:basedOn w:val="Absatz-Standardschriftart"/>
    <w:uiPriority w:val="99"/>
    <w:semiHidden/>
    <w:unhideWhenUsed/>
    <w:rsid w:val="00AB6715"/>
  </w:style>
  <w:style w:type="character" w:customStyle="1" w:styleId="berschrift3Zchn">
    <w:name w:val="Überschrift 3 Zchn"/>
    <w:basedOn w:val="Absatz-Standardschriftart"/>
    <w:link w:val="berschrift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StandardWeb">
    <w:name w:val="Normal (Web)"/>
    <w:basedOn w:val="Standard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ett">
    <w:name w:val="Strong"/>
    <w:basedOn w:val="Absatz-Standardschriftart"/>
    <w:uiPriority w:val="22"/>
    <w:qFormat/>
    <w:rsid w:val="00AB6715"/>
    <w:rPr>
      <w:rFonts w:ascii="Times New Roman" w:hAnsi="Times New Roman"/>
      <w:b/>
      <w:bCs/>
    </w:rPr>
  </w:style>
  <w:style w:type="character" w:styleId="SchwacheHervorhebung">
    <w:name w:val="Subtle Emphasis"/>
    <w:basedOn w:val="Absatz-Standardschriftar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lenraster">
    <w:name w:val="Table Grid"/>
    <w:basedOn w:val="NormaleTabelle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el">
    <w:name w:val="Title"/>
    <w:basedOn w:val="Standard"/>
    <w:next w:val="Standard"/>
    <w:link w:val="TitelZchn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elZchn">
    <w:name w:val="Titel Zchn"/>
    <w:basedOn w:val="Absatz-Standardschriftart"/>
    <w:link w:val="Titel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el"/>
    <w:next w:val="Titel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ufmann@mpiib-berlin.mpg.de" TargetMode="External"/><Relationship Id="rId13" Type="http://schemas.openxmlformats.org/officeDocument/2006/relationships/image" Target="media/image5.tif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t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tif"/><Relationship Id="rId14" Type="http://schemas.openxmlformats.org/officeDocument/2006/relationships/image" Target="media/image6.t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C1732092-8C14-4BB8-8DB3-F72292F377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0</TotalTime>
  <Pages>7</Pages>
  <Words>535</Words>
  <Characters>3375</Characters>
  <Application>Microsoft Office Word</Application>
  <DocSecurity>0</DocSecurity>
  <Lines>28</Lines>
  <Paragraphs>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3903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Nouailles-Kursar, Geraldine</dc:creator>
  <cp:lastModifiedBy>Nouailles-Kursar, Geraldine</cp:lastModifiedBy>
  <cp:revision>2</cp:revision>
  <cp:lastPrinted>2013-10-03T12:51:00Z</cp:lastPrinted>
  <dcterms:created xsi:type="dcterms:W3CDTF">2018-08-31T12:33:00Z</dcterms:created>
  <dcterms:modified xsi:type="dcterms:W3CDTF">2018-08-31T12:33:00Z</dcterms:modified>
</cp:coreProperties>
</file>