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EEE6" w14:textId="77777777" w:rsidR="00654E8F" w:rsidRPr="001549D3" w:rsidRDefault="00654E8F" w:rsidP="0001436A">
      <w:pPr>
        <w:pStyle w:val="SupplementaryMaterial"/>
        <w:rPr>
          <w:b w:val="0"/>
        </w:rPr>
      </w:pPr>
      <w:r w:rsidRPr="001549D3">
        <w:t>Supplementary Material</w:t>
      </w:r>
    </w:p>
    <w:p w14:paraId="7757031E" w14:textId="1C34FE0C" w:rsidR="008213A5" w:rsidRDefault="00654E8F" w:rsidP="008213A5">
      <w:pPr>
        <w:pStyle w:val="1"/>
      </w:pPr>
      <w:r w:rsidRPr="00994A3D">
        <w:t xml:space="preserve">Supplementary </w:t>
      </w:r>
      <w:r w:rsidR="00255F53">
        <w:t>Materials</w:t>
      </w:r>
      <w:r w:rsidR="007643FA">
        <w:t xml:space="preserve"> and Methods</w:t>
      </w:r>
    </w:p>
    <w:p w14:paraId="1E4023FA" w14:textId="33D421FF" w:rsidR="008213A5" w:rsidRPr="008213A5" w:rsidRDefault="008213A5" w:rsidP="008213A5">
      <w:pPr>
        <w:pStyle w:val="2"/>
      </w:pPr>
      <w:r w:rsidRPr="0008519D">
        <w:t>Western blotting</w:t>
      </w:r>
    </w:p>
    <w:p w14:paraId="29D36356" w14:textId="003120F6" w:rsidR="008213A5" w:rsidRPr="008213A5" w:rsidRDefault="008213A5" w:rsidP="008213A5">
      <w:pPr>
        <w:rPr>
          <w:bCs/>
          <w:iCs/>
        </w:rPr>
      </w:pPr>
      <w:r w:rsidRPr="008213A5">
        <w:rPr>
          <w:bCs/>
          <w:iCs/>
        </w:rPr>
        <w:t xml:space="preserve">Cell lysates were prepared in lysis buffer (20 </w:t>
      </w:r>
      <w:proofErr w:type="spellStart"/>
      <w:r w:rsidRPr="008213A5">
        <w:rPr>
          <w:bCs/>
          <w:iCs/>
        </w:rPr>
        <w:t>mM</w:t>
      </w:r>
      <w:proofErr w:type="spellEnd"/>
      <w:r w:rsidRPr="008213A5">
        <w:rPr>
          <w:bCs/>
          <w:iCs/>
        </w:rPr>
        <w:t xml:space="preserve"> HEPES pH 7.4, 1% </w:t>
      </w:r>
      <w:proofErr w:type="spellStart"/>
      <w:r w:rsidRPr="008213A5">
        <w:rPr>
          <w:bCs/>
          <w:iCs/>
        </w:rPr>
        <w:t>Nonidet</w:t>
      </w:r>
      <w:proofErr w:type="spellEnd"/>
      <w:r w:rsidRPr="008213A5">
        <w:rPr>
          <w:bCs/>
          <w:iCs/>
        </w:rPr>
        <w:t xml:space="preserve"> P-40, 150 </w:t>
      </w:r>
      <w:proofErr w:type="spellStart"/>
      <w:r w:rsidRPr="008213A5">
        <w:rPr>
          <w:bCs/>
          <w:iCs/>
        </w:rPr>
        <w:t>mM</w:t>
      </w:r>
      <w:proofErr w:type="spellEnd"/>
      <w:r w:rsidRPr="008213A5">
        <w:rPr>
          <w:bCs/>
          <w:iCs/>
        </w:rPr>
        <w:t xml:space="preserve"> </w:t>
      </w:r>
      <w:proofErr w:type="spellStart"/>
      <w:r w:rsidRPr="008213A5">
        <w:rPr>
          <w:bCs/>
          <w:iCs/>
        </w:rPr>
        <w:t>NaCl</w:t>
      </w:r>
      <w:proofErr w:type="spellEnd"/>
      <w:r w:rsidRPr="008213A5">
        <w:rPr>
          <w:bCs/>
          <w:iCs/>
        </w:rPr>
        <w:t xml:space="preserve">, 5 </w:t>
      </w:r>
      <w:proofErr w:type="spellStart"/>
      <w:r w:rsidRPr="008213A5">
        <w:rPr>
          <w:bCs/>
          <w:iCs/>
        </w:rPr>
        <w:t>mM</w:t>
      </w:r>
      <w:proofErr w:type="spellEnd"/>
      <w:r w:rsidRPr="008213A5">
        <w:rPr>
          <w:bCs/>
          <w:iCs/>
        </w:rPr>
        <w:t xml:space="preserve"> MgCl</w:t>
      </w:r>
      <w:r w:rsidRPr="0008519D">
        <w:rPr>
          <w:bCs/>
          <w:iCs/>
          <w:vertAlign w:val="subscript"/>
        </w:rPr>
        <w:t>2</w:t>
      </w:r>
      <w:r w:rsidRPr="008213A5">
        <w:rPr>
          <w:bCs/>
          <w:iCs/>
        </w:rPr>
        <w:t xml:space="preserve">, and 10% glycerol). The protein samples (approximately 30 µg) were separated by sodium dodecyl sulfate polyacrylamide gel electrophoresis </w:t>
      </w:r>
      <w:r w:rsidRPr="008213A5">
        <w:rPr>
          <w:rFonts w:hint="eastAsia"/>
          <w:bCs/>
          <w:iCs/>
        </w:rPr>
        <w:t xml:space="preserve">and </w:t>
      </w:r>
      <w:r w:rsidRPr="008213A5">
        <w:rPr>
          <w:bCs/>
          <w:iCs/>
        </w:rPr>
        <w:t xml:space="preserve">transferred to </w:t>
      </w:r>
      <w:proofErr w:type="spellStart"/>
      <w:r w:rsidRPr="008213A5">
        <w:rPr>
          <w:bCs/>
          <w:iCs/>
        </w:rPr>
        <w:t>polyvinylidene</w:t>
      </w:r>
      <w:proofErr w:type="spellEnd"/>
      <w:r w:rsidRPr="008213A5">
        <w:rPr>
          <w:bCs/>
          <w:iCs/>
        </w:rPr>
        <w:t xml:space="preserve"> fluoride membranes. The membranes were blocked for 1 h with 1% bovine serum albumin in TBS-T buffer (20 </w:t>
      </w:r>
      <w:proofErr w:type="spellStart"/>
      <w:r w:rsidRPr="008213A5">
        <w:rPr>
          <w:bCs/>
          <w:iCs/>
        </w:rPr>
        <w:t>mmol</w:t>
      </w:r>
      <w:proofErr w:type="spellEnd"/>
      <w:r w:rsidRPr="008213A5">
        <w:rPr>
          <w:bCs/>
          <w:iCs/>
        </w:rPr>
        <w:t xml:space="preserve">/l </w:t>
      </w:r>
      <w:proofErr w:type="spellStart"/>
      <w:r w:rsidRPr="008213A5">
        <w:rPr>
          <w:bCs/>
          <w:iCs/>
        </w:rPr>
        <w:t>Tris</w:t>
      </w:r>
      <w:proofErr w:type="spellEnd"/>
      <w:r w:rsidRPr="008213A5">
        <w:rPr>
          <w:bCs/>
          <w:iCs/>
        </w:rPr>
        <w:t xml:space="preserve"> pH 7.6, 100 </w:t>
      </w:r>
      <w:proofErr w:type="spellStart"/>
      <w:r w:rsidRPr="008213A5">
        <w:rPr>
          <w:bCs/>
          <w:iCs/>
        </w:rPr>
        <w:t>mmol</w:t>
      </w:r>
      <w:proofErr w:type="spellEnd"/>
      <w:r w:rsidRPr="008213A5">
        <w:rPr>
          <w:bCs/>
          <w:iCs/>
        </w:rPr>
        <w:t>/L NaCl</w:t>
      </w:r>
      <w:r w:rsidRPr="008213A5">
        <w:rPr>
          <w:bCs/>
          <w:iCs/>
          <w:vertAlign w:val="subscript"/>
        </w:rPr>
        <w:t>2</w:t>
      </w:r>
      <w:r w:rsidRPr="008213A5">
        <w:rPr>
          <w:bCs/>
          <w:iCs/>
        </w:rPr>
        <w:t>, and 0.5% Tween-20), followed by overnight incubation with the primary antibodies</w:t>
      </w:r>
      <w:r w:rsidRPr="008213A5">
        <w:rPr>
          <w:rFonts w:hint="eastAsia"/>
          <w:bCs/>
          <w:iCs/>
        </w:rPr>
        <w:t xml:space="preserve"> </w:t>
      </w:r>
      <w:r w:rsidRPr="008213A5">
        <w:rPr>
          <w:bCs/>
          <w:iCs/>
        </w:rPr>
        <w:t>at 4°C. Primary antibodies targeting</w:t>
      </w:r>
      <w:r w:rsidRPr="008213A5">
        <w:t xml:space="preserve"> </w:t>
      </w:r>
      <w:r w:rsidRPr="008213A5">
        <w:rPr>
          <w:bCs/>
          <w:iCs/>
        </w:rPr>
        <w:t xml:space="preserve">ATP1A1 </w:t>
      </w:r>
      <w:r w:rsidRPr="008213A5">
        <w:t>(#</w:t>
      </w:r>
      <w:r w:rsidRPr="008213A5">
        <w:rPr>
          <w:rFonts w:hint="eastAsia"/>
        </w:rPr>
        <w:t xml:space="preserve">71638, </w:t>
      </w:r>
      <w:r w:rsidRPr="008213A5">
        <w:rPr>
          <w:bCs/>
          <w:iCs/>
        </w:rPr>
        <w:t>1:500 dilution</w:t>
      </w:r>
      <w:r w:rsidRPr="008213A5">
        <w:rPr>
          <w:rFonts w:hint="eastAsia"/>
          <w:bCs/>
        </w:rPr>
        <w:t xml:space="preserve">, </w:t>
      </w:r>
      <w:r w:rsidRPr="008213A5">
        <w:rPr>
          <w:bCs/>
        </w:rPr>
        <w:t>Santa Cruz, CA, USA</w:t>
      </w:r>
      <w:r w:rsidRPr="008213A5">
        <w:t xml:space="preserve">), </w:t>
      </w:r>
      <w:r w:rsidR="0092712E" w:rsidRPr="00BE110B">
        <w:rPr>
          <w:szCs w:val="24"/>
        </w:rPr>
        <w:t>pERK1/2 (</w:t>
      </w:r>
      <w:r w:rsidR="0092712E" w:rsidRPr="00E83AFC">
        <w:rPr>
          <w:rStyle w:val="fontstyle01"/>
          <w:szCs w:val="24"/>
        </w:rPr>
        <w:t>#</w:t>
      </w:r>
      <w:r w:rsidR="0092712E">
        <w:rPr>
          <w:rStyle w:val="fontstyle11"/>
          <w:rFonts w:hint="eastAsia"/>
          <w:sz w:val="24"/>
          <w:szCs w:val="24"/>
        </w:rPr>
        <w:t>9101</w:t>
      </w:r>
      <w:r w:rsidR="0092712E" w:rsidRPr="00E83AFC">
        <w:rPr>
          <w:rStyle w:val="fontstyle11"/>
          <w:rFonts w:hint="eastAsia"/>
          <w:sz w:val="24"/>
          <w:szCs w:val="24"/>
        </w:rPr>
        <w:t>,</w:t>
      </w:r>
      <w:r w:rsidR="0092712E">
        <w:rPr>
          <w:rStyle w:val="fontstyle11"/>
          <w:rFonts w:hint="eastAsia"/>
          <w:sz w:val="24"/>
          <w:szCs w:val="24"/>
        </w:rPr>
        <w:t xml:space="preserve"> </w:t>
      </w:r>
      <w:r w:rsidR="0092712E" w:rsidRPr="00BE110B">
        <w:rPr>
          <w:bCs/>
          <w:iCs/>
          <w:szCs w:val="24"/>
        </w:rPr>
        <w:t>1:</w:t>
      </w:r>
      <w:r w:rsidR="0092712E">
        <w:rPr>
          <w:rFonts w:hint="eastAsia"/>
          <w:bCs/>
          <w:iCs/>
          <w:szCs w:val="24"/>
        </w:rPr>
        <w:t>20</w:t>
      </w:r>
      <w:r w:rsidR="0092712E" w:rsidRPr="00BE110B">
        <w:rPr>
          <w:bCs/>
          <w:iCs/>
          <w:szCs w:val="24"/>
        </w:rPr>
        <w:t>00 dilution</w:t>
      </w:r>
      <w:r w:rsidR="0092712E">
        <w:rPr>
          <w:rFonts w:hint="eastAsia"/>
          <w:szCs w:val="24"/>
        </w:rPr>
        <w:t xml:space="preserve">, </w:t>
      </w:r>
      <w:r w:rsidR="0092712E" w:rsidRPr="00BE110B">
        <w:rPr>
          <w:szCs w:val="24"/>
        </w:rPr>
        <w:t>Cell Signaling Technology, MA, USA), ERK1/2 (</w:t>
      </w:r>
      <w:r w:rsidR="0092712E" w:rsidRPr="00E83AFC">
        <w:rPr>
          <w:rStyle w:val="fontstyle01"/>
          <w:szCs w:val="24"/>
        </w:rPr>
        <w:t>#</w:t>
      </w:r>
      <w:r w:rsidR="0092712E">
        <w:rPr>
          <w:rStyle w:val="fontstyle11"/>
          <w:rFonts w:hint="eastAsia"/>
          <w:sz w:val="24"/>
          <w:szCs w:val="24"/>
        </w:rPr>
        <w:t xml:space="preserve">9102, </w:t>
      </w:r>
      <w:r w:rsidR="0092712E" w:rsidRPr="00BE110B">
        <w:rPr>
          <w:bCs/>
          <w:iCs/>
          <w:szCs w:val="24"/>
        </w:rPr>
        <w:t>1:</w:t>
      </w:r>
      <w:r w:rsidR="0092712E">
        <w:rPr>
          <w:rFonts w:hint="eastAsia"/>
          <w:bCs/>
          <w:iCs/>
          <w:szCs w:val="24"/>
        </w:rPr>
        <w:t>10</w:t>
      </w:r>
      <w:r w:rsidR="0092712E" w:rsidRPr="00BE110B">
        <w:rPr>
          <w:bCs/>
          <w:iCs/>
          <w:szCs w:val="24"/>
        </w:rPr>
        <w:t>00 dilution</w:t>
      </w:r>
      <w:r w:rsidR="0092712E">
        <w:rPr>
          <w:rFonts w:hint="eastAsia"/>
          <w:szCs w:val="24"/>
        </w:rPr>
        <w:t xml:space="preserve">, </w:t>
      </w:r>
      <w:r w:rsidR="0092712E" w:rsidRPr="00BE110B">
        <w:rPr>
          <w:szCs w:val="24"/>
        </w:rPr>
        <w:t xml:space="preserve">Cell Signaling </w:t>
      </w:r>
      <w:r w:rsidR="0092712E" w:rsidRPr="00F7106F">
        <w:rPr>
          <w:szCs w:val="24"/>
        </w:rPr>
        <w:t xml:space="preserve">Technology, MA, USA), </w:t>
      </w:r>
      <w:proofErr w:type="spellStart"/>
      <w:r w:rsidR="0092712E" w:rsidRPr="00F7106F">
        <w:rPr>
          <w:szCs w:val="24"/>
        </w:rPr>
        <w:t>Akt</w:t>
      </w:r>
      <w:proofErr w:type="spellEnd"/>
      <w:r w:rsidR="0092712E" w:rsidRPr="00F7106F">
        <w:rPr>
          <w:szCs w:val="24"/>
        </w:rPr>
        <w:t xml:space="preserve"> (</w:t>
      </w:r>
      <w:r w:rsidR="0092712E" w:rsidRPr="00F7106F">
        <w:rPr>
          <w:rStyle w:val="fontstyle01"/>
          <w:szCs w:val="24"/>
        </w:rPr>
        <w:t>#</w:t>
      </w:r>
      <w:r w:rsidR="0092712E" w:rsidRPr="00F7106F">
        <w:rPr>
          <w:rStyle w:val="fontstyle11"/>
          <w:rFonts w:hint="eastAsia"/>
          <w:sz w:val="24"/>
          <w:szCs w:val="24"/>
        </w:rPr>
        <w:t xml:space="preserve">9272, </w:t>
      </w:r>
      <w:r w:rsidR="0092712E" w:rsidRPr="00F7106F">
        <w:rPr>
          <w:bCs/>
          <w:iCs/>
          <w:szCs w:val="24"/>
        </w:rPr>
        <w:t>1:</w:t>
      </w:r>
      <w:r w:rsidR="0092712E" w:rsidRPr="00F7106F">
        <w:rPr>
          <w:rFonts w:hint="eastAsia"/>
          <w:bCs/>
          <w:iCs/>
          <w:szCs w:val="24"/>
        </w:rPr>
        <w:t>10</w:t>
      </w:r>
      <w:r w:rsidR="0092712E" w:rsidRPr="00F7106F">
        <w:rPr>
          <w:bCs/>
          <w:iCs/>
          <w:szCs w:val="24"/>
        </w:rPr>
        <w:t>00 dilution</w:t>
      </w:r>
      <w:r w:rsidR="0092712E" w:rsidRPr="00F7106F">
        <w:rPr>
          <w:rFonts w:hint="eastAsia"/>
          <w:szCs w:val="24"/>
        </w:rPr>
        <w:t xml:space="preserve">, </w:t>
      </w:r>
      <w:r w:rsidR="0092712E" w:rsidRPr="00F7106F">
        <w:rPr>
          <w:szCs w:val="24"/>
        </w:rPr>
        <w:t xml:space="preserve">Cell Signaling Technology, MA, USA), </w:t>
      </w:r>
      <w:proofErr w:type="spellStart"/>
      <w:r w:rsidR="0092712E" w:rsidRPr="00F7106F">
        <w:rPr>
          <w:szCs w:val="24"/>
        </w:rPr>
        <w:t>pAkt</w:t>
      </w:r>
      <w:proofErr w:type="spellEnd"/>
      <w:r w:rsidR="0092712E" w:rsidRPr="00F7106F">
        <w:rPr>
          <w:szCs w:val="24"/>
        </w:rPr>
        <w:t xml:space="preserve"> (</w:t>
      </w:r>
      <w:r w:rsidR="0092712E" w:rsidRPr="00F7106F">
        <w:rPr>
          <w:rStyle w:val="fontstyle01"/>
          <w:szCs w:val="24"/>
        </w:rPr>
        <w:t>#</w:t>
      </w:r>
      <w:r w:rsidR="0092712E" w:rsidRPr="00F7106F">
        <w:rPr>
          <w:rStyle w:val="fontstyle11"/>
          <w:rFonts w:hint="eastAsia"/>
          <w:sz w:val="24"/>
          <w:szCs w:val="24"/>
        </w:rPr>
        <w:t xml:space="preserve">9611, </w:t>
      </w:r>
      <w:r w:rsidR="0092712E" w:rsidRPr="00F7106F">
        <w:rPr>
          <w:bCs/>
          <w:iCs/>
          <w:szCs w:val="24"/>
        </w:rPr>
        <w:t>1:</w:t>
      </w:r>
      <w:r w:rsidR="0092712E" w:rsidRPr="00F7106F">
        <w:rPr>
          <w:rFonts w:hint="eastAsia"/>
          <w:bCs/>
          <w:iCs/>
          <w:szCs w:val="24"/>
        </w:rPr>
        <w:t>20</w:t>
      </w:r>
      <w:r w:rsidR="0092712E" w:rsidRPr="00F7106F">
        <w:rPr>
          <w:bCs/>
          <w:iCs/>
          <w:szCs w:val="24"/>
        </w:rPr>
        <w:t>00 dilution</w:t>
      </w:r>
      <w:r w:rsidR="0092712E" w:rsidRPr="00F7106F">
        <w:rPr>
          <w:rFonts w:hint="eastAsia"/>
          <w:szCs w:val="24"/>
        </w:rPr>
        <w:t xml:space="preserve">, </w:t>
      </w:r>
      <w:r w:rsidR="0092712E" w:rsidRPr="00F7106F">
        <w:rPr>
          <w:szCs w:val="24"/>
        </w:rPr>
        <w:t>Cell Signaling Technology, MA, USA), p38 (</w:t>
      </w:r>
      <w:r w:rsidR="0092712E" w:rsidRPr="00F7106F">
        <w:rPr>
          <w:rStyle w:val="fontstyle01"/>
          <w:szCs w:val="24"/>
        </w:rPr>
        <w:t>#</w:t>
      </w:r>
      <w:r w:rsidR="0092712E" w:rsidRPr="00F7106F">
        <w:rPr>
          <w:rStyle w:val="fontstyle11"/>
          <w:rFonts w:hint="eastAsia"/>
          <w:sz w:val="24"/>
          <w:szCs w:val="24"/>
        </w:rPr>
        <w:t xml:space="preserve">9212, </w:t>
      </w:r>
      <w:r w:rsidR="0092712E" w:rsidRPr="00F7106F">
        <w:rPr>
          <w:bCs/>
          <w:iCs/>
          <w:szCs w:val="24"/>
        </w:rPr>
        <w:t>1:</w:t>
      </w:r>
      <w:r w:rsidR="0092712E" w:rsidRPr="00F7106F">
        <w:rPr>
          <w:rFonts w:hint="eastAsia"/>
          <w:bCs/>
          <w:iCs/>
          <w:szCs w:val="24"/>
        </w:rPr>
        <w:t>10</w:t>
      </w:r>
      <w:r w:rsidR="0092712E" w:rsidRPr="00F7106F">
        <w:rPr>
          <w:bCs/>
          <w:iCs/>
          <w:szCs w:val="24"/>
        </w:rPr>
        <w:t>00 dilution</w:t>
      </w:r>
      <w:r w:rsidR="0092712E" w:rsidRPr="00F7106F">
        <w:rPr>
          <w:rFonts w:hint="eastAsia"/>
          <w:szCs w:val="24"/>
        </w:rPr>
        <w:t xml:space="preserve">, </w:t>
      </w:r>
      <w:r w:rsidR="0092712E" w:rsidRPr="00F7106F">
        <w:rPr>
          <w:szCs w:val="24"/>
        </w:rPr>
        <w:t>Cell Signaling Technology, MA, USA), pp38 (</w:t>
      </w:r>
      <w:r w:rsidR="0092712E" w:rsidRPr="00F7106F">
        <w:rPr>
          <w:rStyle w:val="fontstyle01"/>
          <w:szCs w:val="24"/>
        </w:rPr>
        <w:t>#</w:t>
      </w:r>
      <w:r w:rsidR="0092712E" w:rsidRPr="00F7106F">
        <w:rPr>
          <w:rStyle w:val="fontstyle11"/>
          <w:rFonts w:hint="eastAsia"/>
          <w:sz w:val="24"/>
          <w:szCs w:val="24"/>
        </w:rPr>
        <w:t xml:space="preserve">9216, </w:t>
      </w:r>
      <w:r w:rsidR="0092712E" w:rsidRPr="00F7106F">
        <w:rPr>
          <w:bCs/>
          <w:iCs/>
          <w:szCs w:val="24"/>
        </w:rPr>
        <w:t>1:</w:t>
      </w:r>
      <w:r w:rsidR="0092712E" w:rsidRPr="00F7106F">
        <w:rPr>
          <w:rFonts w:hint="eastAsia"/>
          <w:bCs/>
          <w:iCs/>
          <w:szCs w:val="24"/>
        </w:rPr>
        <w:t>20</w:t>
      </w:r>
      <w:r w:rsidR="0092712E" w:rsidRPr="00F7106F">
        <w:rPr>
          <w:bCs/>
          <w:iCs/>
          <w:szCs w:val="24"/>
        </w:rPr>
        <w:t>00 dilution</w:t>
      </w:r>
      <w:r w:rsidR="0092712E" w:rsidRPr="00F7106F">
        <w:rPr>
          <w:rFonts w:hint="eastAsia"/>
          <w:szCs w:val="24"/>
        </w:rPr>
        <w:t xml:space="preserve">, </w:t>
      </w:r>
      <w:r w:rsidR="0092712E" w:rsidRPr="00F7106F">
        <w:rPr>
          <w:szCs w:val="24"/>
        </w:rPr>
        <w:t>Cell Signaling Technology, MA, USA), JNK (</w:t>
      </w:r>
      <w:r w:rsidR="0092712E" w:rsidRPr="00F7106F">
        <w:rPr>
          <w:rStyle w:val="fontstyle01"/>
          <w:szCs w:val="24"/>
        </w:rPr>
        <w:t>#</w:t>
      </w:r>
      <w:r w:rsidR="0092712E" w:rsidRPr="00F7106F">
        <w:rPr>
          <w:rStyle w:val="fontstyle11"/>
          <w:rFonts w:hint="eastAsia"/>
          <w:sz w:val="24"/>
          <w:szCs w:val="24"/>
        </w:rPr>
        <w:t>9252</w:t>
      </w:r>
      <w:r w:rsidR="0092712E" w:rsidRPr="00F7106F">
        <w:rPr>
          <w:szCs w:val="24"/>
        </w:rPr>
        <w:t>,</w:t>
      </w:r>
      <w:r w:rsidR="0092712E" w:rsidRPr="00F7106F">
        <w:rPr>
          <w:rFonts w:hint="eastAsia"/>
          <w:szCs w:val="24"/>
        </w:rPr>
        <w:t xml:space="preserve"> </w:t>
      </w:r>
      <w:r w:rsidR="0092712E" w:rsidRPr="00F7106F">
        <w:rPr>
          <w:bCs/>
          <w:iCs/>
          <w:szCs w:val="24"/>
        </w:rPr>
        <w:t>1:</w:t>
      </w:r>
      <w:r w:rsidR="0092712E" w:rsidRPr="00F7106F">
        <w:rPr>
          <w:rFonts w:hint="eastAsia"/>
          <w:bCs/>
          <w:iCs/>
          <w:szCs w:val="24"/>
        </w:rPr>
        <w:t>10</w:t>
      </w:r>
      <w:r w:rsidR="0092712E" w:rsidRPr="00F7106F">
        <w:rPr>
          <w:bCs/>
          <w:iCs/>
          <w:szCs w:val="24"/>
        </w:rPr>
        <w:t>00 dilution</w:t>
      </w:r>
      <w:r w:rsidR="0092712E" w:rsidRPr="00F7106F">
        <w:rPr>
          <w:rFonts w:hint="eastAsia"/>
          <w:szCs w:val="24"/>
        </w:rPr>
        <w:t xml:space="preserve">, </w:t>
      </w:r>
      <w:r w:rsidR="0092712E" w:rsidRPr="00F7106F">
        <w:rPr>
          <w:szCs w:val="24"/>
        </w:rPr>
        <w:t xml:space="preserve">Cell Signaling Technology, MA, USA), </w:t>
      </w:r>
      <w:proofErr w:type="spellStart"/>
      <w:r w:rsidR="0092712E" w:rsidRPr="00F7106F">
        <w:rPr>
          <w:szCs w:val="24"/>
        </w:rPr>
        <w:t>pJNK</w:t>
      </w:r>
      <w:proofErr w:type="spellEnd"/>
      <w:r w:rsidR="0092712E" w:rsidRPr="00F7106F">
        <w:rPr>
          <w:szCs w:val="24"/>
        </w:rPr>
        <w:t xml:space="preserve"> (</w:t>
      </w:r>
      <w:r w:rsidR="0092712E" w:rsidRPr="00F7106F">
        <w:rPr>
          <w:rStyle w:val="fontstyle01"/>
          <w:szCs w:val="24"/>
        </w:rPr>
        <w:t>#</w:t>
      </w:r>
      <w:r w:rsidR="0092712E" w:rsidRPr="00F7106F">
        <w:rPr>
          <w:rStyle w:val="fontstyle11"/>
          <w:rFonts w:hint="eastAsia"/>
          <w:sz w:val="24"/>
          <w:szCs w:val="24"/>
        </w:rPr>
        <w:t>9255</w:t>
      </w:r>
      <w:r w:rsidR="0092712E" w:rsidRPr="00F7106F">
        <w:rPr>
          <w:szCs w:val="24"/>
        </w:rPr>
        <w:t>,</w:t>
      </w:r>
      <w:r w:rsidR="0092712E" w:rsidRPr="00F7106F">
        <w:rPr>
          <w:bCs/>
          <w:iCs/>
          <w:szCs w:val="24"/>
        </w:rPr>
        <w:t xml:space="preserve"> 1:</w:t>
      </w:r>
      <w:r w:rsidR="0092712E" w:rsidRPr="00F7106F">
        <w:rPr>
          <w:rFonts w:hint="eastAsia"/>
          <w:bCs/>
          <w:iCs/>
          <w:szCs w:val="24"/>
        </w:rPr>
        <w:t>20</w:t>
      </w:r>
      <w:r w:rsidR="0092712E" w:rsidRPr="00F7106F">
        <w:rPr>
          <w:bCs/>
          <w:iCs/>
          <w:szCs w:val="24"/>
        </w:rPr>
        <w:t>00 dilution</w:t>
      </w:r>
      <w:r w:rsidR="0092712E" w:rsidRPr="00F7106F">
        <w:rPr>
          <w:rFonts w:hint="eastAsia"/>
          <w:szCs w:val="24"/>
        </w:rPr>
        <w:t>,</w:t>
      </w:r>
      <w:r w:rsidR="0092712E" w:rsidRPr="00F7106F">
        <w:rPr>
          <w:szCs w:val="24"/>
        </w:rPr>
        <w:t xml:space="preserve"> Cell Signaling Technology, MA, USA)</w:t>
      </w:r>
      <w:r w:rsidR="0092712E">
        <w:rPr>
          <w:rFonts w:hint="eastAsia"/>
          <w:szCs w:val="24"/>
          <w:lang w:eastAsia="zh-CN"/>
        </w:rPr>
        <w:t xml:space="preserve"> </w:t>
      </w:r>
      <w:proofErr w:type="spellStart"/>
      <w:r w:rsidRPr="008213A5">
        <w:t>Src</w:t>
      </w:r>
      <w:proofErr w:type="spellEnd"/>
      <w:r w:rsidRPr="008213A5">
        <w:rPr>
          <w:rFonts w:hint="eastAsia"/>
        </w:rPr>
        <w:t xml:space="preserve"> </w:t>
      </w:r>
      <w:r w:rsidRPr="008213A5">
        <w:t>and</w:t>
      </w:r>
      <w:r w:rsidRPr="008213A5">
        <w:rPr>
          <w:rFonts w:hint="eastAsia"/>
        </w:rPr>
        <w:t xml:space="preserve"> </w:t>
      </w:r>
      <w:proofErr w:type="spellStart"/>
      <w:r w:rsidRPr="008213A5">
        <w:rPr>
          <w:rFonts w:hint="eastAsia"/>
        </w:rPr>
        <w:t>p</w:t>
      </w:r>
      <w:r w:rsidRPr="008213A5">
        <w:t>Src</w:t>
      </w:r>
      <w:proofErr w:type="spellEnd"/>
      <w:r w:rsidRPr="008213A5">
        <w:rPr>
          <w:rFonts w:hint="eastAsia"/>
        </w:rPr>
        <w:t xml:space="preserve"> </w:t>
      </w:r>
      <w:r w:rsidRPr="008213A5">
        <w:t>(pY416) (#</w:t>
      </w:r>
      <w:r w:rsidRPr="008213A5">
        <w:rPr>
          <w:rFonts w:hint="eastAsia"/>
        </w:rPr>
        <w:t xml:space="preserve">9252, </w:t>
      </w:r>
      <w:r w:rsidRPr="008213A5">
        <w:rPr>
          <w:bCs/>
          <w:iCs/>
        </w:rPr>
        <w:t>1:</w:t>
      </w:r>
      <w:r w:rsidRPr="008213A5">
        <w:rPr>
          <w:rFonts w:hint="eastAsia"/>
          <w:bCs/>
          <w:iCs/>
        </w:rPr>
        <w:t>1</w:t>
      </w:r>
      <w:r w:rsidRPr="008213A5">
        <w:rPr>
          <w:bCs/>
          <w:iCs/>
        </w:rPr>
        <w:t>,</w:t>
      </w:r>
      <w:r w:rsidRPr="008213A5">
        <w:rPr>
          <w:rFonts w:hint="eastAsia"/>
          <w:bCs/>
          <w:iCs/>
        </w:rPr>
        <w:t>0</w:t>
      </w:r>
      <w:r w:rsidRPr="008213A5">
        <w:rPr>
          <w:bCs/>
          <w:iCs/>
        </w:rPr>
        <w:t>00 dilution</w:t>
      </w:r>
      <w:r w:rsidRPr="008213A5">
        <w:rPr>
          <w:rFonts w:hint="eastAsia"/>
        </w:rPr>
        <w:t xml:space="preserve"> and </w:t>
      </w:r>
      <w:r w:rsidRPr="008213A5">
        <w:t>#</w:t>
      </w:r>
      <w:r w:rsidRPr="008213A5">
        <w:rPr>
          <w:rFonts w:hint="eastAsia"/>
        </w:rPr>
        <w:t xml:space="preserve">6943, </w:t>
      </w:r>
      <w:r w:rsidRPr="008213A5">
        <w:rPr>
          <w:bCs/>
          <w:iCs/>
        </w:rPr>
        <w:t>1:</w:t>
      </w:r>
      <w:r w:rsidRPr="008213A5">
        <w:rPr>
          <w:rFonts w:hint="eastAsia"/>
          <w:bCs/>
          <w:iCs/>
        </w:rPr>
        <w:t>2</w:t>
      </w:r>
      <w:r w:rsidRPr="008213A5">
        <w:rPr>
          <w:bCs/>
          <w:iCs/>
        </w:rPr>
        <w:t>,</w:t>
      </w:r>
      <w:r w:rsidRPr="008213A5">
        <w:rPr>
          <w:rFonts w:hint="eastAsia"/>
          <w:bCs/>
          <w:iCs/>
        </w:rPr>
        <w:t>0</w:t>
      </w:r>
      <w:r w:rsidRPr="008213A5">
        <w:rPr>
          <w:bCs/>
          <w:iCs/>
        </w:rPr>
        <w:t>00 dilution</w:t>
      </w:r>
      <w:r w:rsidRPr="008213A5">
        <w:rPr>
          <w:rFonts w:hint="eastAsia"/>
        </w:rPr>
        <w:t xml:space="preserve">, </w:t>
      </w:r>
      <w:r w:rsidRPr="008213A5">
        <w:t>Cell Signaling Technology, MA, USA)</w:t>
      </w:r>
      <w:r w:rsidR="004D24EE">
        <w:rPr>
          <w:rFonts w:hint="eastAsia"/>
          <w:lang w:eastAsia="zh-CN"/>
        </w:rPr>
        <w:t>,</w:t>
      </w:r>
      <w:r w:rsidR="004D24EE" w:rsidRPr="004D24EE">
        <w:t xml:space="preserve"> </w:t>
      </w:r>
      <w:r w:rsidR="004D24EE" w:rsidRPr="00B63789">
        <w:t>YES (#</w:t>
      </w:r>
      <w:r w:rsidR="004D24EE" w:rsidRPr="00B63789">
        <w:rPr>
          <w:rFonts w:hint="eastAsia"/>
        </w:rPr>
        <w:t>3201,</w:t>
      </w:r>
      <w:r w:rsidR="004D24EE" w:rsidRPr="00B63789">
        <w:t xml:space="preserve"> 1:</w:t>
      </w:r>
      <w:r w:rsidR="004D24EE" w:rsidRPr="00B63789">
        <w:rPr>
          <w:rFonts w:hint="eastAsia"/>
        </w:rPr>
        <w:t>10</w:t>
      </w:r>
      <w:r w:rsidR="004D24EE" w:rsidRPr="00B63789">
        <w:t>00 dilution</w:t>
      </w:r>
      <w:r w:rsidR="004D24EE" w:rsidRPr="00B63789">
        <w:rPr>
          <w:rFonts w:hint="eastAsia"/>
        </w:rPr>
        <w:t xml:space="preserve">, </w:t>
      </w:r>
      <w:r w:rsidR="004D24EE" w:rsidRPr="00B63789">
        <w:t>Cell Signaling Technology, MA, USA)</w:t>
      </w:r>
      <w:r w:rsidR="004D24EE" w:rsidRPr="00B63789">
        <w:rPr>
          <w:rFonts w:hint="eastAsia"/>
        </w:rPr>
        <w:t>,</w:t>
      </w:r>
      <w:r w:rsidR="004D24EE" w:rsidRPr="00B63789">
        <w:t xml:space="preserve"> </w:t>
      </w:r>
      <w:r w:rsidR="004D24EE" w:rsidRPr="00B63789">
        <w:rPr>
          <w:rFonts w:hint="eastAsia"/>
        </w:rPr>
        <w:t>FYN</w:t>
      </w:r>
      <w:r w:rsidR="004D24EE" w:rsidRPr="00B63789">
        <w:t xml:space="preserve"> (#</w:t>
      </w:r>
      <w:r w:rsidR="004D24EE" w:rsidRPr="00B63789">
        <w:rPr>
          <w:rFonts w:hint="eastAsia"/>
        </w:rPr>
        <w:t>4023,</w:t>
      </w:r>
      <w:r w:rsidR="004D24EE" w:rsidRPr="00B63789">
        <w:t xml:space="preserve"> 1:</w:t>
      </w:r>
      <w:r w:rsidR="004D24EE" w:rsidRPr="00B63789">
        <w:rPr>
          <w:rFonts w:hint="eastAsia"/>
        </w:rPr>
        <w:t>10</w:t>
      </w:r>
      <w:r w:rsidR="004D24EE" w:rsidRPr="00B63789">
        <w:t>00 dilution</w:t>
      </w:r>
      <w:r w:rsidR="004D24EE" w:rsidRPr="00B63789">
        <w:rPr>
          <w:rFonts w:hint="eastAsia"/>
        </w:rPr>
        <w:t xml:space="preserve">, </w:t>
      </w:r>
      <w:r w:rsidR="004D24EE" w:rsidRPr="00B63789">
        <w:t>Cell Signaling Technology, MA, USA)</w:t>
      </w:r>
      <w:r w:rsidR="004D24EE" w:rsidRPr="00B63789">
        <w:rPr>
          <w:rFonts w:hint="eastAsia"/>
        </w:rPr>
        <w:t>,</w:t>
      </w:r>
      <w:r w:rsidR="004D24EE" w:rsidRPr="00B63789">
        <w:t xml:space="preserve"> </w:t>
      </w:r>
      <w:r w:rsidR="004D24EE" w:rsidRPr="00B63789">
        <w:rPr>
          <w:rFonts w:hint="eastAsia"/>
        </w:rPr>
        <w:t>LYN</w:t>
      </w:r>
      <w:r w:rsidR="004D24EE" w:rsidRPr="00B63789">
        <w:t xml:space="preserve"> (#</w:t>
      </w:r>
      <w:r w:rsidR="004D24EE" w:rsidRPr="00B63789">
        <w:rPr>
          <w:rFonts w:hint="eastAsia"/>
        </w:rPr>
        <w:t>4576,</w:t>
      </w:r>
      <w:r w:rsidR="004D24EE" w:rsidRPr="00B63789">
        <w:t xml:space="preserve"> 1:</w:t>
      </w:r>
      <w:r w:rsidR="004D24EE" w:rsidRPr="00B63789">
        <w:rPr>
          <w:rFonts w:hint="eastAsia"/>
        </w:rPr>
        <w:t>10</w:t>
      </w:r>
      <w:r w:rsidR="004D24EE" w:rsidRPr="00B63789">
        <w:t>00 dilution</w:t>
      </w:r>
      <w:r w:rsidR="004D24EE" w:rsidRPr="00B63789">
        <w:rPr>
          <w:rFonts w:hint="eastAsia"/>
        </w:rPr>
        <w:t xml:space="preserve">, </w:t>
      </w:r>
      <w:r w:rsidR="004D24EE" w:rsidRPr="00B63789">
        <w:t>Cell Signaling Technology, MA, USA)</w:t>
      </w:r>
      <w:r w:rsidR="004D24EE" w:rsidRPr="00B63789">
        <w:rPr>
          <w:rFonts w:hint="eastAsia"/>
        </w:rPr>
        <w:t>, LCK</w:t>
      </w:r>
      <w:r w:rsidR="004D24EE" w:rsidRPr="00B63789">
        <w:t xml:space="preserve"> (#</w:t>
      </w:r>
      <w:r w:rsidR="004D24EE" w:rsidRPr="00B63789">
        <w:rPr>
          <w:rFonts w:hint="eastAsia"/>
        </w:rPr>
        <w:t>2714,</w:t>
      </w:r>
      <w:r w:rsidR="004D24EE" w:rsidRPr="00B63789">
        <w:t xml:space="preserve"> 1:</w:t>
      </w:r>
      <w:r w:rsidR="004D24EE" w:rsidRPr="00B63789">
        <w:rPr>
          <w:rFonts w:hint="eastAsia"/>
        </w:rPr>
        <w:t>10</w:t>
      </w:r>
      <w:r w:rsidR="004D24EE" w:rsidRPr="00B63789">
        <w:t>00 dilution</w:t>
      </w:r>
      <w:r w:rsidR="004D24EE" w:rsidRPr="00B63789">
        <w:rPr>
          <w:rFonts w:hint="eastAsia"/>
        </w:rPr>
        <w:t xml:space="preserve">, </w:t>
      </w:r>
      <w:r w:rsidR="004D24EE" w:rsidRPr="00B63789">
        <w:t>Cell Signaling Technology, MA, USA)</w:t>
      </w:r>
      <w:r w:rsidR="004D24EE">
        <w:rPr>
          <w:rFonts w:hint="eastAsia"/>
          <w:lang w:eastAsia="zh-CN"/>
        </w:rPr>
        <w:t>,</w:t>
      </w:r>
      <w:r w:rsidR="004D24EE" w:rsidRPr="004D24EE">
        <w:t xml:space="preserve"> </w:t>
      </w:r>
      <w:r w:rsidR="00BF475B" w:rsidRPr="00EE00A3">
        <w:rPr>
          <w:rFonts w:hint="eastAsia"/>
        </w:rPr>
        <w:t>C</w:t>
      </w:r>
      <w:r w:rsidR="00BF475B" w:rsidRPr="00EE00A3">
        <w:t>yclin D1 (#</w:t>
      </w:r>
      <w:r w:rsidR="00BF475B" w:rsidRPr="00EE00A3">
        <w:rPr>
          <w:rFonts w:hint="eastAsia"/>
        </w:rPr>
        <w:t xml:space="preserve">70899, </w:t>
      </w:r>
      <w:r w:rsidR="00BF475B" w:rsidRPr="00EE00A3">
        <w:t>1:500 dilution</w:t>
      </w:r>
      <w:r w:rsidR="00BF475B" w:rsidRPr="00EE00A3">
        <w:rPr>
          <w:rFonts w:hint="eastAsia"/>
        </w:rPr>
        <w:t xml:space="preserve">, </w:t>
      </w:r>
      <w:r w:rsidR="00BF475B" w:rsidRPr="00EE00A3">
        <w:t>Santa Cruz, CA, USA),</w:t>
      </w:r>
      <w:r w:rsidR="00BF475B" w:rsidRPr="00EE00A3">
        <w:rPr>
          <w:rFonts w:hint="eastAsia"/>
        </w:rPr>
        <w:t xml:space="preserve"> C</w:t>
      </w:r>
      <w:r w:rsidR="00BF475B" w:rsidRPr="00EE00A3">
        <w:t xml:space="preserve">yclin </w:t>
      </w:r>
      <w:r w:rsidR="00BF475B" w:rsidRPr="00EE00A3">
        <w:rPr>
          <w:rFonts w:hint="eastAsia"/>
        </w:rPr>
        <w:t xml:space="preserve">E </w:t>
      </w:r>
      <w:r w:rsidR="00BF475B" w:rsidRPr="00EE00A3">
        <w:t>(#</w:t>
      </w:r>
      <w:r w:rsidR="00BF475B" w:rsidRPr="00EE00A3">
        <w:rPr>
          <w:rFonts w:hint="eastAsia"/>
        </w:rPr>
        <w:t xml:space="preserve">377100, </w:t>
      </w:r>
      <w:r w:rsidR="00BF475B" w:rsidRPr="00EE00A3">
        <w:t>1:500 dilution</w:t>
      </w:r>
      <w:r w:rsidR="00BF475B" w:rsidRPr="00EE00A3">
        <w:rPr>
          <w:rFonts w:hint="eastAsia"/>
        </w:rPr>
        <w:t xml:space="preserve">, </w:t>
      </w:r>
      <w:r w:rsidR="00BF475B" w:rsidRPr="00EE00A3">
        <w:t>Santa Cruz, CA, USA)</w:t>
      </w:r>
      <w:r w:rsidR="00BF475B" w:rsidRPr="00EE00A3">
        <w:rPr>
          <w:rFonts w:hint="eastAsia"/>
        </w:rPr>
        <w:t>, C</w:t>
      </w:r>
      <w:r w:rsidR="00BF475B" w:rsidRPr="00EE00A3">
        <w:t xml:space="preserve">yclin </w:t>
      </w:r>
      <w:r w:rsidR="00BF475B" w:rsidRPr="00EE00A3">
        <w:rPr>
          <w:rFonts w:hint="eastAsia"/>
        </w:rPr>
        <w:t xml:space="preserve">A </w:t>
      </w:r>
      <w:r w:rsidR="00BF475B" w:rsidRPr="00EE00A3">
        <w:t>(#</w:t>
      </w:r>
      <w:r w:rsidR="00BF475B" w:rsidRPr="00EE00A3">
        <w:rPr>
          <w:rFonts w:hint="eastAsia"/>
        </w:rPr>
        <w:t xml:space="preserve">239, </w:t>
      </w:r>
      <w:r w:rsidR="00BF475B" w:rsidRPr="00EE00A3">
        <w:t>1:500 dilution</w:t>
      </w:r>
      <w:r w:rsidR="00BF475B" w:rsidRPr="00EE00A3">
        <w:rPr>
          <w:rFonts w:hint="eastAsia"/>
        </w:rPr>
        <w:t xml:space="preserve">, </w:t>
      </w:r>
      <w:r w:rsidR="00BF475B" w:rsidRPr="00EE00A3">
        <w:t>Santa Cruz, CA, USA)</w:t>
      </w:r>
      <w:r w:rsidR="00BF475B" w:rsidRPr="00EE00A3">
        <w:rPr>
          <w:rFonts w:hint="eastAsia"/>
        </w:rPr>
        <w:t>,</w:t>
      </w:r>
      <w:r w:rsidR="00BF475B" w:rsidRPr="00EE00A3">
        <w:t xml:space="preserve"> </w:t>
      </w:r>
      <w:proofErr w:type="spellStart"/>
      <w:r w:rsidR="00BF475B" w:rsidRPr="00EE00A3">
        <w:t>Bax</w:t>
      </w:r>
      <w:proofErr w:type="spellEnd"/>
      <w:r w:rsidR="00BF475B" w:rsidRPr="00EE00A3">
        <w:t xml:space="preserve"> (#</w:t>
      </w:r>
      <w:r w:rsidR="00BF475B" w:rsidRPr="00EE00A3">
        <w:rPr>
          <w:rFonts w:hint="eastAsia"/>
        </w:rPr>
        <w:t xml:space="preserve">20067, </w:t>
      </w:r>
      <w:r w:rsidR="00BF475B" w:rsidRPr="00EE00A3">
        <w:t>1:500 dilution</w:t>
      </w:r>
      <w:r w:rsidR="00BF475B" w:rsidRPr="00EE00A3">
        <w:rPr>
          <w:rFonts w:hint="eastAsia"/>
        </w:rPr>
        <w:t xml:space="preserve">, </w:t>
      </w:r>
      <w:r w:rsidR="00BF475B" w:rsidRPr="00EE00A3">
        <w:t>Santa Cruz, CA, USA), Bcl2 (#</w:t>
      </w:r>
      <w:r w:rsidR="00BF475B" w:rsidRPr="00EE00A3">
        <w:rPr>
          <w:rFonts w:hint="eastAsia"/>
        </w:rPr>
        <w:t xml:space="preserve">509, </w:t>
      </w:r>
      <w:r w:rsidR="00BF475B" w:rsidRPr="00EE00A3">
        <w:t>1:500 dilution</w:t>
      </w:r>
      <w:r w:rsidR="00BF475B" w:rsidRPr="00EE00A3">
        <w:rPr>
          <w:rFonts w:hint="eastAsia"/>
        </w:rPr>
        <w:t xml:space="preserve">, </w:t>
      </w:r>
      <w:r w:rsidR="00BF475B" w:rsidRPr="00EE00A3">
        <w:t xml:space="preserve">Santa Cruz, CA, USA), </w:t>
      </w:r>
      <w:proofErr w:type="spellStart"/>
      <w:r w:rsidR="00BF475B" w:rsidRPr="00EE00A3">
        <w:t>Bcl</w:t>
      </w:r>
      <w:proofErr w:type="spellEnd"/>
      <w:r w:rsidR="00BF475B" w:rsidRPr="00EE00A3">
        <w:t>-XL (#</w:t>
      </w:r>
      <w:r w:rsidR="00BF475B" w:rsidRPr="00EE00A3">
        <w:rPr>
          <w:rFonts w:hint="eastAsia"/>
        </w:rPr>
        <w:t xml:space="preserve">8392, </w:t>
      </w:r>
      <w:r w:rsidR="00BF475B" w:rsidRPr="00EE00A3">
        <w:t>1:500 dilution</w:t>
      </w:r>
      <w:r w:rsidR="00BF475B" w:rsidRPr="00EE00A3">
        <w:rPr>
          <w:rFonts w:hint="eastAsia"/>
        </w:rPr>
        <w:t xml:space="preserve">, </w:t>
      </w:r>
      <w:r w:rsidR="00BF475B" w:rsidRPr="00EE00A3">
        <w:t>Santa Cruz, CA, USA), Caspase 9 (#</w:t>
      </w:r>
      <w:r w:rsidR="00BF475B" w:rsidRPr="00EE00A3">
        <w:rPr>
          <w:rFonts w:hint="eastAsia"/>
        </w:rPr>
        <w:t xml:space="preserve">133109, </w:t>
      </w:r>
      <w:r w:rsidR="00BF475B" w:rsidRPr="00EE00A3">
        <w:t>1:500 dilution</w:t>
      </w:r>
      <w:r w:rsidR="00BF475B" w:rsidRPr="00EE00A3">
        <w:rPr>
          <w:rFonts w:hint="eastAsia"/>
        </w:rPr>
        <w:t xml:space="preserve">, </w:t>
      </w:r>
      <w:r w:rsidR="00BF475B" w:rsidRPr="00EE00A3">
        <w:t>Santa Cruz, CA, USA)</w:t>
      </w:r>
      <w:r w:rsidR="004D24EE" w:rsidRPr="008213A5">
        <w:t xml:space="preserve"> were used</w:t>
      </w:r>
      <w:r w:rsidR="004D24EE" w:rsidRPr="00B63789">
        <w:rPr>
          <w:rFonts w:hint="eastAsia"/>
        </w:rPr>
        <w:t>.</w:t>
      </w:r>
      <w:r w:rsidRPr="008213A5">
        <w:rPr>
          <w:bCs/>
          <w:iCs/>
        </w:rPr>
        <w:t xml:space="preserve"> The </w:t>
      </w:r>
      <w:r w:rsidRPr="008213A5">
        <w:rPr>
          <w:rFonts w:hint="eastAsia"/>
          <w:bCs/>
          <w:iCs/>
        </w:rPr>
        <w:t>secondary</w:t>
      </w:r>
      <w:r w:rsidRPr="008213A5">
        <w:rPr>
          <w:bCs/>
          <w:iCs/>
        </w:rPr>
        <w:t xml:space="preserve"> antibodies were </w:t>
      </w:r>
      <w:r w:rsidRPr="008213A5">
        <w:rPr>
          <w:rFonts w:hint="eastAsia"/>
          <w:bCs/>
          <w:iCs/>
        </w:rPr>
        <w:t xml:space="preserve">purchased from </w:t>
      </w:r>
      <w:proofErr w:type="spellStart"/>
      <w:r w:rsidRPr="008213A5">
        <w:rPr>
          <w:rFonts w:hint="eastAsia"/>
          <w:bCs/>
          <w:iCs/>
        </w:rPr>
        <w:t>Abcam</w:t>
      </w:r>
      <w:proofErr w:type="spellEnd"/>
      <w:r w:rsidRPr="008213A5">
        <w:rPr>
          <w:rFonts w:hint="eastAsia"/>
          <w:bCs/>
          <w:iCs/>
        </w:rPr>
        <w:t xml:space="preserve"> </w:t>
      </w:r>
      <w:r w:rsidRPr="008213A5">
        <w:rPr>
          <w:bCs/>
          <w:iCs/>
        </w:rPr>
        <w:t>(</w:t>
      </w:r>
      <w:r w:rsidRPr="008213A5">
        <w:rPr>
          <w:rFonts w:hint="eastAsia"/>
          <w:bCs/>
          <w:iCs/>
        </w:rPr>
        <w:t>Cambridge, MA, USA).</w:t>
      </w:r>
      <w:r w:rsidRPr="008213A5">
        <w:t xml:space="preserve"> The </w:t>
      </w:r>
      <w:r w:rsidR="00816163">
        <w:rPr>
          <w:rFonts w:hint="eastAsia"/>
          <w:lang w:eastAsia="zh-CN"/>
        </w:rPr>
        <w:t>protein bands</w:t>
      </w:r>
      <w:r w:rsidR="00816163" w:rsidRPr="008213A5">
        <w:t xml:space="preserve"> </w:t>
      </w:r>
      <w:r w:rsidRPr="008213A5">
        <w:t xml:space="preserve">were visualized by an </w:t>
      </w:r>
      <w:r w:rsidRPr="008213A5">
        <w:rPr>
          <w:bCs/>
          <w:iCs/>
        </w:rPr>
        <w:t>ECL detection system,</w:t>
      </w:r>
      <w:r w:rsidRPr="008213A5">
        <w:t xml:space="preserve"> and </w:t>
      </w:r>
      <w:r w:rsidRPr="008213A5">
        <w:rPr>
          <w:rFonts w:hint="eastAsia"/>
          <w:bCs/>
          <w:iCs/>
        </w:rPr>
        <w:t>protein band</w:t>
      </w:r>
      <w:r w:rsidRPr="008213A5">
        <w:rPr>
          <w:bCs/>
          <w:iCs/>
        </w:rPr>
        <w:t xml:space="preserve"> densitie</w:t>
      </w:r>
      <w:r w:rsidRPr="008213A5">
        <w:rPr>
          <w:rFonts w:hint="eastAsia"/>
          <w:bCs/>
          <w:iCs/>
        </w:rPr>
        <w:t>s were analyzed using ImageJ software</w:t>
      </w:r>
      <w:r w:rsidRPr="008213A5">
        <w:rPr>
          <w:bCs/>
          <w:iCs/>
        </w:rPr>
        <w:t>.</w:t>
      </w:r>
      <w:r w:rsidRPr="008213A5">
        <w:rPr>
          <w:rFonts w:hint="eastAsia"/>
          <w:bCs/>
          <w:iCs/>
        </w:rPr>
        <w:t xml:space="preserve"> </w:t>
      </w:r>
      <w:r w:rsidRPr="008213A5">
        <w:t>A</w:t>
      </w:r>
      <w:r w:rsidRPr="008213A5">
        <w:rPr>
          <w:bCs/>
          <w:iCs/>
        </w:rPr>
        <w:t xml:space="preserve">ll western blot analyses were repeated at least </w:t>
      </w:r>
      <w:r w:rsidR="00012BD9">
        <w:rPr>
          <w:rFonts w:hint="eastAsia"/>
          <w:bCs/>
          <w:iCs/>
          <w:lang w:eastAsia="zh-CN"/>
        </w:rPr>
        <w:t xml:space="preserve">thrice. The relative changes in protein levels were </w:t>
      </w:r>
      <w:r w:rsidR="009A2821">
        <w:rPr>
          <w:rFonts w:hint="eastAsia"/>
          <w:bCs/>
          <w:iCs/>
          <w:lang w:eastAsia="zh-CN"/>
        </w:rPr>
        <w:t>determined</w:t>
      </w:r>
      <w:r w:rsidR="00012BD9">
        <w:rPr>
          <w:rFonts w:hint="eastAsia"/>
          <w:bCs/>
          <w:iCs/>
          <w:lang w:eastAsia="zh-CN"/>
        </w:rPr>
        <w:t xml:space="preserve"> by densitometry with norma</w:t>
      </w:r>
      <w:r w:rsidR="00F1106E">
        <w:rPr>
          <w:rFonts w:hint="eastAsia"/>
          <w:bCs/>
          <w:iCs/>
          <w:lang w:eastAsia="zh-CN"/>
        </w:rPr>
        <w:t>lization to GAPDH.</w:t>
      </w:r>
      <w:r w:rsidR="00012BD9">
        <w:rPr>
          <w:rFonts w:hint="eastAsia"/>
          <w:bCs/>
          <w:iCs/>
          <w:lang w:eastAsia="zh-CN"/>
        </w:rPr>
        <w:t xml:space="preserve"> Data are presented as means</w:t>
      </w:r>
      <w:r w:rsidR="00012BD9" w:rsidRPr="00012BD9">
        <w:t xml:space="preserve"> </w:t>
      </w:r>
      <w:r w:rsidR="00012BD9" w:rsidRPr="00BC15B1">
        <w:t>± SD</w:t>
      </w:r>
      <w:r w:rsidRPr="008213A5">
        <w:rPr>
          <w:bCs/>
          <w:iCs/>
        </w:rPr>
        <w:t>.</w:t>
      </w:r>
    </w:p>
    <w:p w14:paraId="2D96B3DC" w14:textId="4AA289E1" w:rsidR="008213A5" w:rsidRPr="008213A5" w:rsidRDefault="008213A5" w:rsidP="008213A5">
      <w:pPr>
        <w:pStyle w:val="2"/>
      </w:pPr>
      <w:r w:rsidRPr="0008519D">
        <w:t>Immunocytochemistry</w:t>
      </w:r>
    </w:p>
    <w:p w14:paraId="5DF334B0" w14:textId="02708172" w:rsidR="008213A5" w:rsidRPr="009B77A7" w:rsidRDefault="008213A5" w:rsidP="0008519D">
      <w:pPr>
        <w:rPr>
          <w:bCs/>
          <w:lang w:eastAsia="zh-CN"/>
        </w:rPr>
      </w:pPr>
      <w:r w:rsidRPr="008213A5">
        <w:t>Cells (2.5 × 10</w:t>
      </w:r>
      <w:r w:rsidRPr="008213A5">
        <w:rPr>
          <w:vertAlign w:val="superscript"/>
        </w:rPr>
        <w:t>5</w:t>
      </w:r>
      <w:r w:rsidRPr="008213A5">
        <w:t xml:space="preserve">) were plated on coverslips </w:t>
      </w:r>
      <w:proofErr w:type="spellStart"/>
      <w:r w:rsidRPr="008213A5">
        <w:t>precoated</w:t>
      </w:r>
      <w:proofErr w:type="spellEnd"/>
      <w:r w:rsidRPr="008213A5">
        <w:t xml:space="preserve"> with laminin</w:t>
      </w:r>
      <w:r w:rsidRPr="008213A5">
        <w:rPr>
          <w:rFonts w:hint="eastAsia"/>
        </w:rPr>
        <w:t xml:space="preserve"> (Invitr</w:t>
      </w:r>
      <w:r w:rsidRPr="008213A5">
        <w:t xml:space="preserve">ogen) and </w:t>
      </w:r>
      <w:proofErr w:type="spellStart"/>
      <w:r w:rsidRPr="008213A5">
        <w:t>polylysine</w:t>
      </w:r>
      <w:proofErr w:type="spellEnd"/>
      <w:r w:rsidRPr="008213A5">
        <w:t xml:space="preserve"> (Sigma) </w:t>
      </w:r>
      <w:proofErr w:type="gramStart"/>
      <w:r w:rsidRPr="008213A5">
        <w:t>(5 µg/ml each)</w:t>
      </w:r>
      <w:proofErr w:type="gramEnd"/>
      <w:r w:rsidRPr="008213A5">
        <w:t>. They were fixed in 4% paraformaldehyde for 30 min, then washed three times in phosphate-buffered saline (PBS) and blocked</w:t>
      </w:r>
      <w:r w:rsidRPr="008213A5">
        <w:rPr>
          <w:bCs/>
        </w:rPr>
        <w:t xml:space="preserve"> with 5% goat serum at 37°C for 30 min. Antibodies against </w:t>
      </w:r>
      <w:proofErr w:type="spellStart"/>
      <w:r w:rsidRPr="008213A5">
        <w:rPr>
          <w:bCs/>
        </w:rPr>
        <w:t>nestin</w:t>
      </w:r>
      <w:proofErr w:type="spellEnd"/>
      <w:r w:rsidRPr="008213A5">
        <w:rPr>
          <w:bCs/>
        </w:rPr>
        <w:t xml:space="preserve"> </w:t>
      </w:r>
      <w:r w:rsidRPr="008213A5">
        <w:t>(#</w:t>
      </w:r>
      <w:r w:rsidRPr="008213A5">
        <w:rPr>
          <w:rFonts w:hint="eastAsia"/>
        </w:rPr>
        <w:t xml:space="preserve">71665, </w:t>
      </w:r>
      <w:r w:rsidRPr="008213A5">
        <w:rPr>
          <w:bCs/>
          <w:iCs/>
        </w:rPr>
        <w:t>1:</w:t>
      </w:r>
      <w:r w:rsidRPr="008213A5">
        <w:rPr>
          <w:rFonts w:hint="eastAsia"/>
          <w:bCs/>
          <w:iCs/>
        </w:rPr>
        <w:t>1</w:t>
      </w:r>
      <w:r w:rsidRPr="008213A5">
        <w:rPr>
          <w:bCs/>
          <w:iCs/>
        </w:rPr>
        <w:t>00 dilution</w:t>
      </w:r>
      <w:r w:rsidRPr="008213A5">
        <w:rPr>
          <w:rFonts w:hint="eastAsia"/>
          <w:bCs/>
        </w:rPr>
        <w:t xml:space="preserve">, </w:t>
      </w:r>
      <w:r w:rsidRPr="008213A5">
        <w:rPr>
          <w:bCs/>
        </w:rPr>
        <w:t>Santa Cruz, CA, USA</w:t>
      </w:r>
      <w:r w:rsidRPr="008213A5">
        <w:t>)</w:t>
      </w:r>
      <w:r w:rsidR="00BB68FA">
        <w:rPr>
          <w:rFonts w:hint="eastAsia"/>
          <w:bCs/>
          <w:lang w:eastAsia="zh-CN"/>
        </w:rPr>
        <w:t>,</w:t>
      </w:r>
      <w:r w:rsidRPr="008213A5">
        <w:rPr>
          <w:rFonts w:hint="eastAsia"/>
          <w:bCs/>
        </w:rPr>
        <w:t>SOX2</w:t>
      </w:r>
      <w:r w:rsidRPr="008213A5">
        <w:rPr>
          <w:bCs/>
        </w:rPr>
        <w:t xml:space="preserve"> </w:t>
      </w:r>
      <w:r w:rsidRPr="008213A5">
        <w:t>(#</w:t>
      </w:r>
      <w:r w:rsidRPr="008213A5">
        <w:rPr>
          <w:rFonts w:hint="eastAsia"/>
        </w:rPr>
        <w:t>3579,</w:t>
      </w:r>
      <w:r w:rsidRPr="008213A5">
        <w:rPr>
          <w:bCs/>
          <w:iCs/>
        </w:rPr>
        <w:t xml:space="preserve"> 1:</w:t>
      </w:r>
      <w:r w:rsidR="002944E6">
        <w:rPr>
          <w:rFonts w:hint="eastAsia"/>
          <w:bCs/>
          <w:iCs/>
          <w:lang w:eastAsia="zh-CN"/>
        </w:rPr>
        <w:t>1</w:t>
      </w:r>
      <w:r w:rsidR="002944E6" w:rsidRPr="008213A5">
        <w:rPr>
          <w:bCs/>
          <w:iCs/>
        </w:rPr>
        <w:t xml:space="preserve">00 </w:t>
      </w:r>
      <w:r w:rsidRPr="008213A5">
        <w:rPr>
          <w:bCs/>
          <w:iCs/>
        </w:rPr>
        <w:t>dilution</w:t>
      </w:r>
      <w:r w:rsidRPr="008213A5">
        <w:rPr>
          <w:rFonts w:hint="eastAsia"/>
        </w:rPr>
        <w:t xml:space="preserve">, </w:t>
      </w:r>
      <w:r w:rsidRPr="008213A5">
        <w:t>Cell Signaling Technology, MA, USA)</w:t>
      </w:r>
      <w:r w:rsidR="00BB68FA">
        <w:rPr>
          <w:rFonts w:hint="eastAsia"/>
          <w:lang w:eastAsia="zh-CN"/>
        </w:rPr>
        <w:t>, GFAP (</w:t>
      </w:r>
      <w:r w:rsidR="002944E6">
        <w:rPr>
          <w:rFonts w:hint="eastAsia"/>
          <w:lang w:eastAsia="zh-CN"/>
        </w:rPr>
        <w:t xml:space="preserve">1: 50, </w:t>
      </w:r>
      <w:proofErr w:type="spellStart"/>
      <w:r w:rsidR="00BB68FA">
        <w:rPr>
          <w:rFonts w:hint="eastAsia"/>
          <w:lang w:eastAsia="zh-CN"/>
        </w:rPr>
        <w:t>CusAb</w:t>
      </w:r>
      <w:proofErr w:type="spellEnd"/>
      <w:r w:rsidR="00BB68FA">
        <w:rPr>
          <w:rFonts w:hint="eastAsia"/>
          <w:lang w:eastAsia="zh-CN"/>
        </w:rPr>
        <w:t>, College Park, MD, USA)</w:t>
      </w:r>
      <w:r w:rsidRPr="008213A5">
        <w:t xml:space="preserve"> </w:t>
      </w:r>
      <w:r w:rsidR="00BB68FA">
        <w:rPr>
          <w:rFonts w:hint="eastAsia"/>
          <w:lang w:eastAsia="zh-CN"/>
        </w:rPr>
        <w:t>and ATP1A1 (</w:t>
      </w:r>
      <w:r w:rsidR="00BB68FA" w:rsidRPr="008213A5">
        <w:t>#</w:t>
      </w:r>
      <w:r w:rsidR="002944E6">
        <w:rPr>
          <w:rFonts w:hint="eastAsia"/>
          <w:lang w:eastAsia="zh-CN"/>
        </w:rPr>
        <w:t>71638, 1:100, Santa Cruz, CA, USA</w:t>
      </w:r>
      <w:r w:rsidR="00BB68FA">
        <w:rPr>
          <w:rFonts w:hint="eastAsia"/>
          <w:lang w:eastAsia="zh-CN"/>
        </w:rPr>
        <w:t>)</w:t>
      </w:r>
      <w:r w:rsidRPr="008213A5">
        <w:t xml:space="preserve">were used. </w:t>
      </w:r>
      <w:r w:rsidRPr="008213A5">
        <w:rPr>
          <w:bCs/>
        </w:rPr>
        <w:t>Stained</w:t>
      </w:r>
      <w:r w:rsidRPr="008213A5">
        <w:t xml:space="preserve"> dells were first </w:t>
      </w:r>
      <w:proofErr w:type="spellStart"/>
      <w:r w:rsidRPr="008213A5">
        <w:t>permeabilized</w:t>
      </w:r>
      <w:proofErr w:type="spellEnd"/>
      <w:r w:rsidRPr="008213A5">
        <w:t xml:space="preserve"> in 0.5% Triton X-100 (Sigma) in 10% fetal bovine serum in PBS for 20 min at 4</w:t>
      </w:r>
      <w:r w:rsidRPr="008213A5">
        <w:rPr>
          <w:bCs/>
          <w:iCs/>
        </w:rPr>
        <w:t>°C</w:t>
      </w:r>
      <w:r w:rsidRPr="008213A5">
        <w:t xml:space="preserve">, washed three times, and </w:t>
      </w:r>
      <w:r w:rsidRPr="008213A5">
        <w:rPr>
          <w:bCs/>
        </w:rPr>
        <w:t>labeled at 4°</w:t>
      </w:r>
      <w:r w:rsidRPr="008213A5">
        <w:rPr>
          <w:bCs/>
          <w:iCs/>
        </w:rPr>
        <w:t>C</w:t>
      </w:r>
      <w:r w:rsidRPr="008213A5">
        <w:rPr>
          <w:bCs/>
          <w:vertAlign w:val="superscript"/>
        </w:rPr>
        <w:t xml:space="preserve"> </w:t>
      </w:r>
      <w:r w:rsidRPr="008213A5">
        <w:rPr>
          <w:bCs/>
        </w:rPr>
        <w:t xml:space="preserve">overnight. </w:t>
      </w:r>
      <w:r w:rsidRPr="008213A5">
        <w:t xml:space="preserve">Cells were washed three times for 10 min each then incubated with Cy3-conjugated </w:t>
      </w:r>
      <w:r w:rsidR="0092712E">
        <w:rPr>
          <w:rFonts w:hint="eastAsia"/>
          <w:lang w:eastAsia="zh-CN"/>
        </w:rPr>
        <w:t>goat anti-</w:t>
      </w:r>
      <w:proofErr w:type="spellStart"/>
      <w:r w:rsidR="0092712E">
        <w:rPr>
          <w:rFonts w:hint="eastAsia"/>
          <w:lang w:eastAsia="zh-CN"/>
        </w:rPr>
        <w:t>mouse</w:t>
      </w:r>
      <w:r w:rsidRPr="008213A5">
        <w:t>antibody</w:t>
      </w:r>
      <w:proofErr w:type="spellEnd"/>
      <w:r w:rsidRPr="008213A5">
        <w:t xml:space="preserve"> </w:t>
      </w:r>
      <w:r w:rsidRPr="008213A5">
        <w:rPr>
          <w:bCs/>
        </w:rPr>
        <w:t xml:space="preserve">(1:100 dilution, </w:t>
      </w:r>
      <w:proofErr w:type="spellStart"/>
      <w:r w:rsidRPr="008213A5">
        <w:rPr>
          <w:bCs/>
        </w:rPr>
        <w:t>BioLegend</w:t>
      </w:r>
      <w:proofErr w:type="spellEnd"/>
      <w:r w:rsidRPr="008213A5">
        <w:rPr>
          <w:bCs/>
        </w:rPr>
        <w:t xml:space="preserve">, </w:t>
      </w:r>
      <w:r w:rsidR="0092712E">
        <w:rPr>
          <w:rFonts w:hint="eastAsia"/>
          <w:bCs/>
          <w:lang w:eastAsia="zh-CN"/>
        </w:rPr>
        <w:t xml:space="preserve">San Diego, CA, </w:t>
      </w:r>
      <w:r w:rsidRPr="008213A5">
        <w:rPr>
          <w:bCs/>
        </w:rPr>
        <w:t xml:space="preserve">USA) and </w:t>
      </w:r>
      <w:r w:rsidR="0092712E">
        <w:rPr>
          <w:rFonts w:hint="eastAsia"/>
          <w:lang w:eastAsia="zh-CN"/>
        </w:rPr>
        <w:t xml:space="preserve">FITC-conjugated goat anti-mouse antibody (1:100, </w:t>
      </w:r>
      <w:proofErr w:type="spellStart"/>
      <w:r w:rsidR="0092712E">
        <w:rPr>
          <w:rFonts w:hint="eastAsia"/>
          <w:lang w:eastAsia="zh-CN"/>
        </w:rPr>
        <w:t>BioLegend</w:t>
      </w:r>
      <w:proofErr w:type="spellEnd"/>
      <w:r w:rsidR="0092712E">
        <w:rPr>
          <w:rFonts w:hint="eastAsia"/>
          <w:lang w:eastAsia="zh-CN"/>
        </w:rPr>
        <w:t>)</w:t>
      </w:r>
      <w:r w:rsidRPr="008213A5">
        <w:rPr>
          <w:bCs/>
        </w:rPr>
        <w:t>at 37</w:t>
      </w:r>
      <w:r w:rsidRPr="008213A5">
        <w:rPr>
          <w:bCs/>
          <w:iCs/>
        </w:rPr>
        <w:t>°C</w:t>
      </w:r>
      <w:r w:rsidRPr="008213A5">
        <w:rPr>
          <w:bCs/>
          <w:vertAlign w:val="superscript"/>
        </w:rPr>
        <w:t xml:space="preserve"> </w:t>
      </w:r>
      <w:r w:rsidRPr="008213A5">
        <w:rPr>
          <w:bCs/>
        </w:rPr>
        <w:t>for 1 h</w:t>
      </w:r>
      <w:r w:rsidRPr="008213A5">
        <w:t>. Cells were washed to remove unbound secondary antibody, mounted with 4′,6′-diamidino-2-phenylindole</w:t>
      </w:r>
      <w:r w:rsidRPr="008213A5">
        <w:rPr>
          <w:bCs/>
        </w:rPr>
        <w:t xml:space="preserve"> for 5 min at </w:t>
      </w:r>
      <w:r w:rsidRPr="008213A5">
        <w:rPr>
          <w:bCs/>
        </w:rPr>
        <w:lastRenderedPageBreak/>
        <w:t xml:space="preserve">room temperature, and then detected with a </w:t>
      </w:r>
      <w:r w:rsidR="00B43C29">
        <w:rPr>
          <w:rFonts w:hint="eastAsia"/>
          <w:bCs/>
          <w:lang w:eastAsia="zh-CN"/>
        </w:rPr>
        <w:t>fluorescence microscope (Nikon TE2000-U, Tokyo, Japan)</w:t>
      </w:r>
      <w:r w:rsidRPr="008213A5">
        <w:rPr>
          <w:bCs/>
        </w:rPr>
        <w:t>.</w:t>
      </w:r>
    </w:p>
    <w:p w14:paraId="56393767" w14:textId="7728828D" w:rsidR="008213A5" w:rsidRPr="008213A5" w:rsidRDefault="008213A5" w:rsidP="008213A5">
      <w:pPr>
        <w:pStyle w:val="2"/>
      </w:pPr>
      <w:proofErr w:type="spellStart"/>
      <w:r w:rsidRPr="0008519D">
        <w:t>BrdU</w:t>
      </w:r>
      <w:proofErr w:type="spellEnd"/>
      <w:r w:rsidRPr="0008519D">
        <w:t xml:space="preserve"> incorporation and </w:t>
      </w:r>
      <w:r w:rsidRPr="0008519D">
        <w:rPr>
          <w:iCs/>
        </w:rPr>
        <w:t>CCK-8</w:t>
      </w:r>
      <w:r w:rsidRPr="0008519D">
        <w:t xml:space="preserve"> assay</w:t>
      </w:r>
      <w:r w:rsidRPr="008213A5">
        <w:t>s</w:t>
      </w:r>
    </w:p>
    <w:p w14:paraId="20334FBB" w14:textId="2ADA2A2D" w:rsidR="008213A5" w:rsidRPr="009B77A7" w:rsidRDefault="008213A5" w:rsidP="008213A5">
      <w:r w:rsidRPr="008213A5">
        <w:rPr>
          <w:bCs/>
        </w:rPr>
        <w:t xml:space="preserve">Cell proliferation was assayed using a </w:t>
      </w:r>
      <w:proofErr w:type="spellStart"/>
      <w:r w:rsidRPr="008213A5">
        <w:rPr>
          <w:bCs/>
        </w:rPr>
        <w:t>BrdU</w:t>
      </w:r>
      <w:proofErr w:type="spellEnd"/>
      <w:r w:rsidRPr="008213A5">
        <w:rPr>
          <w:bCs/>
        </w:rPr>
        <w:t xml:space="preserve"> incorporation kit (Roche Applied Science, Basel, Switzerland), according to the </w:t>
      </w:r>
      <w:proofErr w:type="gramStart"/>
      <w:r w:rsidRPr="008213A5">
        <w:rPr>
          <w:bCs/>
        </w:rPr>
        <w:t>manufacturer’s</w:t>
      </w:r>
      <w:proofErr w:type="gramEnd"/>
      <w:r w:rsidRPr="008213A5">
        <w:rPr>
          <w:bCs/>
        </w:rPr>
        <w:t xml:space="preserve"> protocol. Briefly, equal numbers of cells were seeded in 96-well plates </w:t>
      </w:r>
      <w:proofErr w:type="gramStart"/>
      <w:r w:rsidRPr="008213A5">
        <w:rPr>
          <w:bCs/>
        </w:rPr>
        <w:t>at 5,000 cells/well</w:t>
      </w:r>
      <w:proofErr w:type="gramEnd"/>
      <w:r w:rsidRPr="008213A5">
        <w:rPr>
          <w:bCs/>
        </w:rPr>
        <w:t xml:space="preserve">. Following incubation, the cells were labeled with </w:t>
      </w:r>
      <w:proofErr w:type="spellStart"/>
      <w:r w:rsidRPr="008213A5">
        <w:rPr>
          <w:bCs/>
        </w:rPr>
        <w:t>BrdU</w:t>
      </w:r>
      <w:proofErr w:type="spellEnd"/>
      <w:r w:rsidRPr="008213A5">
        <w:rPr>
          <w:bCs/>
        </w:rPr>
        <w:t xml:space="preserve"> for 2 h and the optical density at 450 nm was measured. A </w:t>
      </w:r>
      <w:r w:rsidRPr="008213A5">
        <w:rPr>
          <w:bCs/>
          <w:iCs/>
        </w:rPr>
        <w:t xml:space="preserve">CCK-8 </w:t>
      </w:r>
      <w:r w:rsidRPr="008213A5">
        <w:rPr>
          <w:bCs/>
        </w:rPr>
        <w:t xml:space="preserve">assay </w:t>
      </w:r>
      <w:r w:rsidRPr="008213A5">
        <w:rPr>
          <w:bCs/>
          <w:iCs/>
        </w:rPr>
        <w:t>(Sigma, St Louis, MO, USA)</w:t>
      </w:r>
      <w:r w:rsidRPr="008213A5">
        <w:rPr>
          <w:bCs/>
        </w:rPr>
        <w:t xml:space="preserve"> was used to measure cell viability at different time points. Briefly, cells were seeded in 96-well plates </w:t>
      </w:r>
      <w:proofErr w:type="gramStart"/>
      <w:r w:rsidRPr="008213A5">
        <w:rPr>
          <w:bCs/>
        </w:rPr>
        <w:t>at 5,000 cells/well,</w:t>
      </w:r>
      <w:proofErr w:type="gramEnd"/>
      <w:r w:rsidRPr="008213A5">
        <w:rPr>
          <w:bCs/>
        </w:rPr>
        <w:t xml:space="preserve"> and following incubation with </w:t>
      </w:r>
      <w:r w:rsidRPr="008213A5">
        <w:rPr>
          <w:bCs/>
          <w:iCs/>
        </w:rPr>
        <w:t>CCK-8</w:t>
      </w:r>
      <w:r w:rsidRPr="008213A5">
        <w:rPr>
          <w:bCs/>
        </w:rPr>
        <w:t xml:space="preserve"> dye, the absorbance at 490 nm was measured.</w:t>
      </w:r>
      <w:r w:rsidRPr="008213A5">
        <w:rPr>
          <w:rFonts w:hint="eastAsia"/>
        </w:rPr>
        <w:t xml:space="preserve"> For both </w:t>
      </w:r>
      <w:proofErr w:type="spellStart"/>
      <w:r w:rsidRPr="008213A5">
        <w:rPr>
          <w:bCs/>
        </w:rPr>
        <w:t>BrdU</w:t>
      </w:r>
      <w:proofErr w:type="spellEnd"/>
      <w:r w:rsidRPr="008213A5">
        <w:rPr>
          <w:bCs/>
        </w:rPr>
        <w:t xml:space="preserve"> </w:t>
      </w:r>
      <w:r w:rsidRPr="008213A5">
        <w:rPr>
          <w:rFonts w:hint="eastAsia"/>
          <w:bCs/>
        </w:rPr>
        <w:t>and CCK</w:t>
      </w:r>
      <w:r w:rsidRPr="008213A5">
        <w:rPr>
          <w:bCs/>
        </w:rPr>
        <w:t>-</w:t>
      </w:r>
      <w:r w:rsidRPr="008213A5">
        <w:rPr>
          <w:rFonts w:hint="eastAsia"/>
          <w:bCs/>
        </w:rPr>
        <w:t>8 assay</w:t>
      </w:r>
      <w:r w:rsidRPr="008213A5">
        <w:rPr>
          <w:bCs/>
        </w:rPr>
        <w:t>s</w:t>
      </w:r>
      <w:r w:rsidRPr="008213A5">
        <w:rPr>
          <w:rFonts w:hint="eastAsia"/>
          <w:bCs/>
        </w:rPr>
        <w:t xml:space="preserve">, </w:t>
      </w:r>
      <w:r w:rsidRPr="008213A5">
        <w:rPr>
          <w:rFonts w:hint="eastAsia"/>
        </w:rPr>
        <w:t xml:space="preserve">cells </w:t>
      </w:r>
      <w:r w:rsidRPr="008213A5">
        <w:t>of</w:t>
      </w:r>
      <w:r w:rsidRPr="008213A5">
        <w:rPr>
          <w:rFonts w:hint="eastAsia"/>
        </w:rPr>
        <w:t xml:space="preserve"> each group were seeded </w:t>
      </w:r>
      <w:r w:rsidRPr="008213A5">
        <w:t>in five</w:t>
      </w:r>
      <w:r w:rsidRPr="008213A5">
        <w:rPr>
          <w:rFonts w:hint="eastAsia"/>
        </w:rPr>
        <w:t xml:space="preserve"> wells each</w:t>
      </w:r>
      <w:r w:rsidRPr="008213A5">
        <w:t>,</w:t>
      </w:r>
      <w:r w:rsidRPr="008213A5">
        <w:rPr>
          <w:rFonts w:hint="eastAsia"/>
        </w:rPr>
        <w:t xml:space="preserve"> and the experiment was repeated at least three times.</w:t>
      </w:r>
    </w:p>
    <w:p w14:paraId="6B866DE8" w14:textId="6254E00B" w:rsidR="008213A5" w:rsidRPr="008213A5" w:rsidRDefault="008213A5" w:rsidP="008213A5">
      <w:pPr>
        <w:pStyle w:val="2"/>
      </w:pPr>
      <w:r w:rsidRPr="008213A5">
        <w:t>Flow-cytometric analysis of c</w:t>
      </w:r>
      <w:r w:rsidRPr="0008519D">
        <w:t>ell cycle and apoptosis</w:t>
      </w:r>
    </w:p>
    <w:p w14:paraId="7D066572" w14:textId="68FD03FA" w:rsidR="008213A5" w:rsidRPr="008213A5" w:rsidRDefault="008213A5" w:rsidP="008213A5">
      <w:r w:rsidRPr="008213A5">
        <w:t xml:space="preserve">Cells were harvested and fixed in 5 ml of ice-cold 70% ethanol at 4°C. Cells were pelleted by centrifugation and </w:t>
      </w:r>
      <w:proofErr w:type="spellStart"/>
      <w:r w:rsidRPr="008213A5">
        <w:t>resuspended</w:t>
      </w:r>
      <w:proofErr w:type="spellEnd"/>
      <w:r w:rsidRPr="008213A5">
        <w:t xml:space="preserve"> in 400 ml of PBS, 50 ml of </w:t>
      </w:r>
      <w:proofErr w:type="spellStart"/>
      <w:r w:rsidRPr="008213A5">
        <w:t>propidium</w:t>
      </w:r>
      <w:proofErr w:type="spellEnd"/>
      <w:r w:rsidRPr="008213A5">
        <w:t xml:space="preserve"> iodide (PI) solution (0.6 </w:t>
      </w:r>
      <w:proofErr w:type="spellStart"/>
      <w:r w:rsidRPr="008213A5">
        <w:t>mM</w:t>
      </w:r>
      <w:proofErr w:type="spellEnd"/>
      <w:r w:rsidRPr="008213A5">
        <w:t>), and 50 ml of RNase A (1 mg/ml). After 30 min, the cells were analyzed for DNA content using a FACS flow cytometer. Fluorescence from the PI</w:t>
      </w:r>
      <w:r w:rsidR="004C78D4">
        <w:rPr>
          <w:rFonts w:hint="eastAsia"/>
          <w:lang w:eastAsia="zh-CN"/>
        </w:rPr>
        <w:t>-</w:t>
      </w:r>
      <w:r w:rsidRPr="008213A5">
        <w:t xml:space="preserve">DNA complex was estimated for a minimum of 10,000 cells per sample and analyzed with </w:t>
      </w:r>
      <w:proofErr w:type="spellStart"/>
      <w:r w:rsidRPr="008213A5">
        <w:t>CellQuest</w:t>
      </w:r>
      <w:proofErr w:type="spellEnd"/>
      <w:r w:rsidRPr="008213A5">
        <w:t xml:space="preserve"> Pro software. To determine apoptosis, cells were harvested and incubated with reagents from the </w:t>
      </w:r>
      <w:proofErr w:type="spellStart"/>
      <w:r w:rsidRPr="008213A5">
        <w:t>Annexin</w:t>
      </w:r>
      <w:proofErr w:type="spellEnd"/>
      <w:r w:rsidRPr="008213A5">
        <w:t xml:space="preserve"> V-PI apoptosis kit (</w:t>
      </w:r>
      <w:proofErr w:type="spellStart"/>
      <w:r w:rsidRPr="008213A5">
        <w:t>BioVision</w:t>
      </w:r>
      <w:proofErr w:type="spellEnd"/>
      <w:r w:rsidRPr="008213A5">
        <w:t>, CA, USA), according to manufacturer’s protocol.</w:t>
      </w:r>
    </w:p>
    <w:p w14:paraId="796EB694" w14:textId="2F6FB124" w:rsidR="008213A5" w:rsidRPr="008213A5" w:rsidRDefault="008213A5" w:rsidP="000E1CBE">
      <w:pPr>
        <w:pStyle w:val="2"/>
        <w:rPr>
          <w:bCs/>
          <w:iCs/>
        </w:rPr>
      </w:pPr>
      <w:r w:rsidRPr="0008519D">
        <w:t xml:space="preserve">CSC </w:t>
      </w:r>
      <w:proofErr w:type="spellStart"/>
      <w:r w:rsidRPr="0008519D">
        <w:t>tumorigenicity</w:t>
      </w:r>
      <w:proofErr w:type="spellEnd"/>
      <w:r w:rsidRPr="0008519D">
        <w:t xml:space="preserve"> assays in </w:t>
      </w:r>
      <w:proofErr w:type="spellStart"/>
      <w:r w:rsidRPr="0008519D">
        <w:t>athymic</w:t>
      </w:r>
      <w:proofErr w:type="spellEnd"/>
      <w:r w:rsidRPr="0008519D">
        <w:t xml:space="preserve"> nude mice</w:t>
      </w:r>
    </w:p>
    <w:p w14:paraId="0D798047" w14:textId="3A134FA3" w:rsidR="008213A5" w:rsidRPr="008213A5" w:rsidRDefault="008213A5" w:rsidP="008213A5">
      <w:pPr>
        <w:rPr>
          <w:bCs/>
          <w:iCs/>
        </w:rPr>
      </w:pPr>
      <w:r w:rsidRPr="008213A5">
        <w:rPr>
          <w:bCs/>
          <w:iCs/>
        </w:rPr>
        <w:t xml:space="preserve">Animal studies to assess CSC </w:t>
      </w:r>
      <w:proofErr w:type="spellStart"/>
      <w:r w:rsidRPr="008213A5">
        <w:rPr>
          <w:bCs/>
          <w:iCs/>
        </w:rPr>
        <w:t>tumorigenicity</w:t>
      </w:r>
      <w:proofErr w:type="spellEnd"/>
      <w:r w:rsidRPr="008213A5">
        <w:rPr>
          <w:bCs/>
          <w:i/>
          <w:iCs/>
        </w:rPr>
        <w:t xml:space="preserve"> in vivo</w:t>
      </w:r>
      <w:r w:rsidRPr="008213A5">
        <w:rPr>
          <w:bCs/>
          <w:iCs/>
        </w:rPr>
        <w:t xml:space="preserve"> were conducted according to the Chongqing Medical University Institutional guidelines. Six to eight-week-old female </w:t>
      </w:r>
      <w:proofErr w:type="spellStart"/>
      <w:r w:rsidRPr="008213A5">
        <w:rPr>
          <w:bCs/>
          <w:iCs/>
        </w:rPr>
        <w:t>athymic</w:t>
      </w:r>
      <w:proofErr w:type="spellEnd"/>
      <w:r w:rsidRPr="008213A5">
        <w:rPr>
          <w:bCs/>
          <w:iCs/>
        </w:rPr>
        <w:t xml:space="preserve"> nude mice were obtained from Chongqing Medical University and were housed in a specific pathogen-free environment at Chongqing Medical University. GSCs transfected with lentivirus expressing non-targeting shRNA (</w:t>
      </w:r>
      <w:proofErr w:type="spellStart"/>
      <w:r w:rsidRPr="008213A5">
        <w:rPr>
          <w:bCs/>
          <w:iCs/>
        </w:rPr>
        <w:t>sh</w:t>
      </w:r>
      <w:proofErr w:type="spellEnd"/>
      <w:r w:rsidRPr="008213A5">
        <w:rPr>
          <w:bCs/>
          <w:iCs/>
        </w:rPr>
        <w:t xml:space="preserve">-NC) or ATP1A1-targeting shRNA (sh-ATP1A1) were suspended in PBS and injected subcutaneously into the flank of </w:t>
      </w:r>
      <w:proofErr w:type="spellStart"/>
      <w:r w:rsidRPr="008213A5">
        <w:rPr>
          <w:bCs/>
          <w:iCs/>
        </w:rPr>
        <w:t>athymic</w:t>
      </w:r>
      <w:proofErr w:type="spellEnd"/>
      <w:r w:rsidRPr="008213A5">
        <w:rPr>
          <w:bCs/>
          <w:iCs/>
        </w:rPr>
        <w:t xml:space="preserve"> nude mice (2×10</w:t>
      </w:r>
      <w:r w:rsidRPr="008213A5">
        <w:rPr>
          <w:bCs/>
          <w:iCs/>
          <w:vertAlign w:val="superscript"/>
        </w:rPr>
        <w:t>6</w:t>
      </w:r>
      <w:r w:rsidRPr="008213A5">
        <w:rPr>
          <w:bCs/>
          <w:iCs/>
        </w:rPr>
        <w:t xml:space="preserve"> cells/mouse and n = 5 mice/group). The mean tumor volume at the indicated time was plotted to monitor tumor growth. Tumor volume was calculated according to the following formula: length × (width</w:t>
      </w:r>
      <w:proofErr w:type="gramStart"/>
      <w:r w:rsidRPr="008213A5">
        <w:rPr>
          <w:bCs/>
          <w:iCs/>
        </w:rPr>
        <w:t>)</w:t>
      </w:r>
      <w:r w:rsidRPr="0008519D">
        <w:rPr>
          <w:bCs/>
          <w:iCs/>
          <w:vertAlign w:val="superscript"/>
        </w:rPr>
        <w:t>2</w:t>
      </w:r>
      <w:proofErr w:type="gramEnd"/>
      <w:r w:rsidRPr="008213A5">
        <w:rPr>
          <w:bCs/>
          <w:iCs/>
        </w:rPr>
        <w:t>/2. The mice</w:t>
      </w:r>
      <w:r w:rsidRPr="008213A5">
        <w:t xml:space="preserve"> </w:t>
      </w:r>
      <w:r w:rsidRPr="008213A5">
        <w:rPr>
          <w:bCs/>
          <w:iCs/>
        </w:rPr>
        <w:t>were sacrificed on day 25, and the xenograft tumors were dissected and weighed.</w:t>
      </w:r>
    </w:p>
    <w:p w14:paraId="093ACB0F" w14:textId="549411B8" w:rsidR="008213A5" w:rsidRPr="008213A5" w:rsidRDefault="008213A5" w:rsidP="000E1CBE">
      <w:pPr>
        <w:pStyle w:val="2"/>
      </w:pPr>
      <w:proofErr w:type="spellStart"/>
      <w:r w:rsidRPr="0008519D">
        <w:t>Immunohistochemical</w:t>
      </w:r>
      <w:proofErr w:type="spellEnd"/>
      <w:r w:rsidRPr="0008519D">
        <w:t xml:space="preserve"> analysis of tissue microarrays</w:t>
      </w:r>
    </w:p>
    <w:p w14:paraId="2F8CB8D2" w14:textId="75273E0C" w:rsidR="008213A5" w:rsidRPr="008213A5" w:rsidRDefault="008213A5" w:rsidP="008213A5">
      <w:pPr>
        <w:rPr>
          <w:bCs/>
          <w:iCs/>
        </w:rPr>
      </w:pPr>
      <w:r w:rsidRPr="008213A5">
        <w:rPr>
          <w:bCs/>
          <w:iCs/>
        </w:rPr>
        <w:t xml:space="preserve">Tissue samples were provided as microarrays (US </w:t>
      </w:r>
      <w:proofErr w:type="spellStart"/>
      <w:r w:rsidRPr="008213A5">
        <w:rPr>
          <w:bCs/>
          <w:iCs/>
        </w:rPr>
        <w:t>Biomax</w:t>
      </w:r>
      <w:proofErr w:type="spellEnd"/>
      <w:r w:rsidRPr="008213A5">
        <w:rPr>
          <w:bCs/>
          <w:iCs/>
        </w:rPr>
        <w:t xml:space="preserve">, Rockville, MD, USA catalog Nos. </w:t>
      </w:r>
      <w:proofErr w:type="gramStart"/>
      <w:r w:rsidRPr="008213A5">
        <w:rPr>
          <w:bCs/>
          <w:iCs/>
        </w:rPr>
        <w:t>GL722 and GL807).</w:t>
      </w:r>
      <w:proofErr w:type="gramEnd"/>
      <w:r w:rsidRPr="008213A5">
        <w:rPr>
          <w:bCs/>
          <w:iCs/>
        </w:rPr>
        <w:t xml:space="preserve"> Fifteen of the 50 samples had a GBM (age: 36 ± 17 years; 6 females and 9 males), 20 samples had a WHO grade III astrocytoma (age: 46 ± 11 years; 7 females and 12 males), 10 samples had a WHO grade II astrocytoma (age: 42 ±12 years; 5 females and 8 males), five samples had a WHO grade I astrocytoma (age: 42 ± 10 years; 1 female and 2 males), and eight samples were from healthy subjects (age: 41 ± 10 years; 4 females and 4 males). The tissue samples originated from different donors, and each sample had at least two replicates. The glioma tissue sections were from the tumor areas and did not include adjacent normal tissues.</w:t>
      </w:r>
    </w:p>
    <w:p w14:paraId="0CC946E6" w14:textId="197BD49C" w:rsidR="008213A5" w:rsidRPr="008213A5" w:rsidRDefault="008213A5" w:rsidP="008213A5">
      <w:pPr>
        <w:rPr>
          <w:bCs/>
          <w:iCs/>
        </w:rPr>
      </w:pPr>
      <w:proofErr w:type="spellStart"/>
      <w:r w:rsidRPr="008213A5">
        <w:rPr>
          <w:bCs/>
          <w:iCs/>
        </w:rPr>
        <w:t>Immunohistochemical</w:t>
      </w:r>
      <w:proofErr w:type="spellEnd"/>
      <w:r w:rsidRPr="008213A5">
        <w:rPr>
          <w:bCs/>
          <w:iCs/>
        </w:rPr>
        <w:t xml:space="preserve"> staining was performed using the tissue microarrays. The paraffin-embedded 5-µm arrays were dewaxed in xylene for 10 min and rehydrated through a series of alcohol solutions </w:t>
      </w:r>
      <w:r w:rsidRPr="008213A5">
        <w:rPr>
          <w:bCs/>
          <w:iCs/>
        </w:rPr>
        <w:lastRenderedPageBreak/>
        <w:t>(100% ethanol twice, 90% ethanol, and 70% ethanol for 5 min each) and finally, in water. Antigen retrieval was achieved by boiling the arrays in citrate buffer at pH 6.0. Endogenous peroxidase activity was blocked using 6% H</w:t>
      </w:r>
      <w:r w:rsidRPr="008213A5">
        <w:rPr>
          <w:bCs/>
          <w:iCs/>
          <w:vertAlign w:val="subscript"/>
        </w:rPr>
        <w:t>2</w:t>
      </w:r>
      <w:r w:rsidRPr="008213A5">
        <w:rPr>
          <w:bCs/>
          <w:iCs/>
        </w:rPr>
        <w:t>O</w:t>
      </w:r>
      <w:r w:rsidRPr="008213A5">
        <w:rPr>
          <w:bCs/>
          <w:iCs/>
          <w:vertAlign w:val="subscript"/>
        </w:rPr>
        <w:t>2</w:t>
      </w:r>
      <w:r w:rsidRPr="008213A5">
        <w:rPr>
          <w:bCs/>
          <w:iCs/>
        </w:rPr>
        <w:t xml:space="preserve">. The tissue microarrays were blocked with 2% normal goat serum and incubated with rabbit anti-human ATP1A1 monoclonal antibody overnight at 4°C. </w:t>
      </w:r>
      <w:proofErr w:type="spellStart"/>
      <w:r w:rsidRPr="008213A5">
        <w:rPr>
          <w:bCs/>
          <w:iCs/>
        </w:rPr>
        <w:t>Immunodetection</w:t>
      </w:r>
      <w:proofErr w:type="spellEnd"/>
      <w:r w:rsidRPr="008213A5">
        <w:rPr>
          <w:bCs/>
          <w:iCs/>
        </w:rPr>
        <w:t xml:space="preserve"> was carried out using the </w:t>
      </w:r>
      <w:proofErr w:type="spellStart"/>
      <w:r w:rsidRPr="008213A5">
        <w:rPr>
          <w:bCs/>
          <w:iCs/>
        </w:rPr>
        <w:t>EliVision</w:t>
      </w:r>
      <w:r w:rsidRPr="008213A5">
        <w:rPr>
          <w:bCs/>
          <w:iCs/>
          <w:vertAlign w:val="superscript"/>
        </w:rPr>
        <w:t>TM</w:t>
      </w:r>
      <w:proofErr w:type="spellEnd"/>
      <w:r w:rsidRPr="008213A5">
        <w:rPr>
          <w:bCs/>
          <w:iCs/>
        </w:rPr>
        <w:t xml:space="preserve"> plus system (Sigma, St. Louis, MO, USA), according to the manufacturer’s instructions. Hematoxylin counterstaining was used to visualize nuclei. The ATP1A1 expression level in each tissue section was assessed in non-necrotic areas of three separate microscopic fields of view, using </w:t>
      </w:r>
      <w:proofErr w:type="gramStart"/>
      <w:r w:rsidRPr="008213A5">
        <w:rPr>
          <w:rFonts w:hint="eastAsia"/>
          <w:bCs/>
          <w:iCs/>
        </w:rPr>
        <w:t>2</w:t>
      </w:r>
      <w:r w:rsidRPr="008213A5">
        <w:rPr>
          <w:bCs/>
          <w:iCs/>
        </w:rPr>
        <w:t>0×</w:t>
      </w:r>
      <w:r w:rsidRPr="008213A5">
        <w:rPr>
          <w:rFonts w:hint="eastAsia"/>
          <w:bCs/>
          <w:iCs/>
        </w:rPr>
        <w:t xml:space="preserve"> </w:t>
      </w:r>
      <w:r w:rsidRPr="008213A5">
        <w:rPr>
          <w:bCs/>
          <w:iCs/>
        </w:rPr>
        <w:t>magnification</w:t>
      </w:r>
      <w:proofErr w:type="gramEnd"/>
      <w:r w:rsidRPr="008213A5">
        <w:rPr>
          <w:bCs/>
          <w:iCs/>
        </w:rPr>
        <w:t>. Data represent the mean percentage of ATP1A1+ cells.</w:t>
      </w:r>
    </w:p>
    <w:p w14:paraId="20B1AFE3" w14:textId="7F1751CF" w:rsidR="008213A5" w:rsidRPr="0008519D" w:rsidRDefault="008213A5" w:rsidP="000E1CBE">
      <w:pPr>
        <w:pStyle w:val="2"/>
      </w:pPr>
      <w:r w:rsidRPr="0008519D">
        <w:t>Pharmacological inhibitor treatments</w:t>
      </w:r>
    </w:p>
    <w:p w14:paraId="28B7069A" w14:textId="1F1C419D" w:rsidR="008213A5" w:rsidRPr="008213A5" w:rsidRDefault="008213A5" w:rsidP="008213A5">
      <w:pPr>
        <w:rPr>
          <w:rFonts w:hint="eastAsia"/>
          <w:b/>
          <w:lang w:eastAsia="zh-CN"/>
        </w:rPr>
      </w:pPr>
      <w:r w:rsidRPr="008213A5">
        <w:t xml:space="preserve">The SFK-specific pharmacological inhibitor PP2 and the </w:t>
      </w:r>
      <w:proofErr w:type="spellStart"/>
      <w:r w:rsidRPr="008213A5">
        <w:t>Ras</w:t>
      </w:r>
      <w:proofErr w:type="spellEnd"/>
      <w:r w:rsidRPr="008213A5">
        <w:t xml:space="preserve"> inhibitor </w:t>
      </w:r>
      <w:proofErr w:type="spellStart"/>
      <w:r w:rsidR="004F78FF">
        <w:rPr>
          <w:szCs w:val="24"/>
        </w:rPr>
        <w:t>farnesylthiosalicylic</w:t>
      </w:r>
      <w:proofErr w:type="spellEnd"/>
      <w:r w:rsidR="004F78FF">
        <w:rPr>
          <w:szCs w:val="24"/>
        </w:rPr>
        <w:t xml:space="preserve"> acid </w:t>
      </w:r>
      <w:r w:rsidR="004F78FF">
        <w:rPr>
          <w:rFonts w:hint="eastAsia"/>
          <w:szCs w:val="24"/>
          <w:lang w:eastAsia="zh-CN"/>
        </w:rPr>
        <w:t>(</w:t>
      </w:r>
      <w:r w:rsidRPr="008213A5">
        <w:t>FTS</w:t>
      </w:r>
      <w:r w:rsidR="004F78FF">
        <w:rPr>
          <w:rFonts w:hint="eastAsia"/>
          <w:lang w:eastAsia="zh-CN"/>
        </w:rPr>
        <w:t>)</w:t>
      </w:r>
      <w:r w:rsidRPr="008213A5">
        <w:t xml:space="preserve"> were purchased from Sigma-Aldrich (St. Louis, MO, USA), dissolved in dimethyl sulfoxide (DMSO), and used at </w:t>
      </w:r>
      <w:proofErr w:type="gramStart"/>
      <w:r w:rsidRPr="008213A5">
        <w:t>20 µ</w:t>
      </w:r>
      <w:proofErr w:type="spellStart"/>
      <w:r w:rsidRPr="008213A5">
        <w:t>mol</w:t>
      </w:r>
      <w:proofErr w:type="spellEnd"/>
      <w:r w:rsidRPr="008213A5">
        <w:t>/l</w:t>
      </w:r>
      <w:proofErr w:type="gramEnd"/>
      <w:r w:rsidRPr="008213A5">
        <w:t xml:space="preserve"> and 12.5 µ</w:t>
      </w:r>
      <w:proofErr w:type="spellStart"/>
      <w:r w:rsidRPr="008213A5">
        <w:t>mol</w:t>
      </w:r>
      <w:proofErr w:type="spellEnd"/>
      <w:r w:rsidRPr="008213A5">
        <w:t xml:space="preserve">/l, respectively, in culture media. These concentrations were implemented based on preliminary analyses of the efficacy of the agents </w:t>
      </w:r>
      <w:r w:rsidRPr="008213A5">
        <w:rPr>
          <w:i/>
          <w:iCs/>
        </w:rPr>
        <w:t>in vitro</w:t>
      </w:r>
      <w:r w:rsidRPr="008213A5">
        <w:t xml:space="preserve">. </w:t>
      </w:r>
      <w:r w:rsidR="004F78FF">
        <w:rPr>
          <w:rFonts w:hint="eastAsia"/>
          <w:lang w:eastAsia="zh-CN"/>
        </w:rPr>
        <w:t>The cells</w:t>
      </w:r>
      <w:r w:rsidRPr="008213A5">
        <w:t xml:space="preserve"> were </w:t>
      </w:r>
      <w:r w:rsidR="004F78FF">
        <w:rPr>
          <w:rFonts w:hint="eastAsia"/>
          <w:lang w:eastAsia="zh-CN"/>
        </w:rPr>
        <w:t>treated</w:t>
      </w:r>
      <w:r w:rsidRPr="008213A5">
        <w:t xml:space="preserve"> with FTS or PP2 for </w:t>
      </w:r>
      <w:r w:rsidR="004F78FF">
        <w:rPr>
          <w:rFonts w:hint="eastAsia"/>
          <w:lang w:eastAsia="zh-CN"/>
        </w:rPr>
        <w:t>48</w:t>
      </w:r>
      <w:r w:rsidRPr="008213A5">
        <w:t xml:space="preserve"> h and </w:t>
      </w:r>
      <w:r w:rsidR="004F78FF">
        <w:rPr>
          <w:rFonts w:hint="eastAsia"/>
          <w:lang w:eastAsia="zh-CN"/>
        </w:rPr>
        <w:t>then</w:t>
      </w:r>
      <w:r w:rsidR="004F78FF">
        <w:rPr>
          <w:rFonts w:hint="eastAsia"/>
          <w:bCs/>
          <w:lang w:eastAsia="zh-CN"/>
        </w:rPr>
        <w:t xml:space="preserve"> harvested </w:t>
      </w:r>
      <w:r w:rsidRPr="008213A5">
        <w:rPr>
          <w:bCs/>
        </w:rPr>
        <w:t xml:space="preserve">for subsequent studies. </w:t>
      </w:r>
      <w:r w:rsidR="004C78D4">
        <w:rPr>
          <w:rFonts w:hint="eastAsia"/>
          <w:lang w:eastAsia="zh-CN"/>
        </w:rPr>
        <w:t xml:space="preserve">We </w:t>
      </w:r>
      <w:r w:rsidR="00B2275C">
        <w:rPr>
          <w:rFonts w:hint="eastAsia"/>
          <w:lang w:eastAsia="zh-CN"/>
        </w:rPr>
        <w:t xml:space="preserve">used PP2 as a </w:t>
      </w:r>
      <w:proofErr w:type="spellStart"/>
      <w:r w:rsidR="00B2275C">
        <w:rPr>
          <w:rFonts w:hint="eastAsia"/>
          <w:lang w:eastAsia="zh-CN"/>
        </w:rPr>
        <w:t>Src</w:t>
      </w:r>
      <w:proofErr w:type="spellEnd"/>
      <w:r w:rsidR="00B2275C">
        <w:rPr>
          <w:rFonts w:hint="eastAsia"/>
          <w:lang w:eastAsia="zh-CN"/>
        </w:rPr>
        <w:t xml:space="preserve"> inhibitor. </w:t>
      </w:r>
    </w:p>
    <w:p w14:paraId="10850DC7" w14:textId="6EF482D4" w:rsidR="008213A5" w:rsidRPr="008213A5" w:rsidRDefault="008213A5" w:rsidP="000E1CBE">
      <w:pPr>
        <w:pStyle w:val="1"/>
      </w:pPr>
      <w:r w:rsidRPr="008213A5">
        <w:t>Supplementary Results</w:t>
      </w:r>
    </w:p>
    <w:p w14:paraId="5B6E37E0" w14:textId="1B60E002" w:rsidR="008213A5" w:rsidRPr="0008519D" w:rsidRDefault="008213A5" w:rsidP="000E1CBE">
      <w:pPr>
        <w:pStyle w:val="2"/>
      </w:pPr>
      <w:r w:rsidRPr="0008519D">
        <w:t>Knockdown of ATP1A1 expression in GSCs</w:t>
      </w:r>
    </w:p>
    <w:p w14:paraId="1068389D" w14:textId="3909F6A3" w:rsidR="008213A5" w:rsidRPr="008213A5" w:rsidRDefault="008213A5" w:rsidP="008213A5">
      <w:r w:rsidRPr="008213A5">
        <w:t xml:space="preserve">To investigate the effect of </w:t>
      </w:r>
      <w:r w:rsidRPr="008213A5">
        <w:rPr>
          <w:rFonts w:hint="eastAsia"/>
        </w:rPr>
        <w:t>ATP1A1</w:t>
      </w:r>
      <w:r w:rsidRPr="008213A5">
        <w:t xml:space="preserve"> on </w:t>
      </w:r>
      <w:r w:rsidRPr="008213A5">
        <w:rPr>
          <w:rFonts w:hint="eastAsia"/>
        </w:rPr>
        <w:t>GSC</w:t>
      </w:r>
      <w:r w:rsidRPr="008213A5">
        <w:t xml:space="preserve"> growth, we knocked down </w:t>
      </w:r>
      <w:r w:rsidRPr="008213A5">
        <w:rPr>
          <w:rFonts w:hint="eastAsia"/>
        </w:rPr>
        <w:t>ATP1A1</w:t>
      </w:r>
      <w:r w:rsidRPr="008213A5">
        <w:t xml:space="preserve"> expression in GBM GSCs1 and GBM GSCs2 by transfecting them with shRNA</w:t>
      </w:r>
      <w:r w:rsidRPr="008213A5">
        <w:rPr>
          <w:rFonts w:hint="eastAsia"/>
        </w:rPr>
        <w:t xml:space="preserve"> </w:t>
      </w:r>
      <w:r w:rsidRPr="008213A5">
        <w:t xml:space="preserve">targeting </w:t>
      </w:r>
      <w:r w:rsidRPr="008213A5">
        <w:rPr>
          <w:rFonts w:hint="eastAsia"/>
        </w:rPr>
        <w:t>ATP1A1</w:t>
      </w:r>
      <w:r w:rsidRPr="008213A5">
        <w:t>. qPCR</w:t>
      </w:r>
      <w:r w:rsidRPr="008213A5">
        <w:rPr>
          <w:rFonts w:hint="eastAsia"/>
        </w:rPr>
        <w:t xml:space="preserve"> </w:t>
      </w:r>
      <w:r w:rsidRPr="008213A5">
        <w:rPr>
          <w:bCs/>
          <w:iCs/>
        </w:rPr>
        <w:t xml:space="preserve">(Figure </w:t>
      </w:r>
      <w:r w:rsidR="0090227A">
        <w:rPr>
          <w:rFonts w:hint="eastAsia"/>
          <w:bCs/>
          <w:iCs/>
          <w:lang w:eastAsia="zh-CN"/>
        </w:rPr>
        <w:t>S</w:t>
      </w:r>
      <w:r w:rsidRPr="008213A5">
        <w:rPr>
          <w:bCs/>
          <w:iCs/>
        </w:rPr>
        <w:t>1</w:t>
      </w:r>
      <w:r w:rsidRPr="008213A5">
        <w:rPr>
          <w:rFonts w:hint="eastAsia"/>
          <w:bCs/>
          <w:iCs/>
        </w:rPr>
        <w:t>A</w:t>
      </w:r>
      <w:r w:rsidRPr="008213A5">
        <w:rPr>
          <w:bCs/>
          <w:iCs/>
        </w:rPr>
        <w:t>)</w:t>
      </w:r>
      <w:r w:rsidRPr="008213A5">
        <w:t xml:space="preserve"> and western blot</w:t>
      </w:r>
      <w:r w:rsidRPr="008213A5">
        <w:rPr>
          <w:rFonts w:hint="eastAsia"/>
        </w:rPr>
        <w:t xml:space="preserve"> </w:t>
      </w:r>
      <w:r w:rsidRPr="008213A5">
        <w:rPr>
          <w:bCs/>
          <w:iCs/>
        </w:rPr>
        <w:t xml:space="preserve">(Figure </w:t>
      </w:r>
      <w:r w:rsidR="0090227A">
        <w:rPr>
          <w:rFonts w:hint="eastAsia"/>
          <w:bCs/>
          <w:iCs/>
          <w:lang w:eastAsia="zh-CN"/>
        </w:rPr>
        <w:t>S</w:t>
      </w:r>
      <w:r w:rsidRPr="008213A5">
        <w:rPr>
          <w:bCs/>
          <w:iCs/>
        </w:rPr>
        <w:t>1B)</w:t>
      </w:r>
      <w:r w:rsidRPr="008213A5">
        <w:t xml:space="preserve"> analyses revealed that </w:t>
      </w:r>
      <w:r w:rsidRPr="008213A5">
        <w:rPr>
          <w:rFonts w:hint="eastAsia"/>
        </w:rPr>
        <w:t>ATP1A1</w:t>
      </w:r>
      <w:r w:rsidRPr="008213A5">
        <w:t xml:space="preserve"> expression was markedly decreased in cells transfected with sh</w:t>
      </w:r>
      <w:r w:rsidRPr="008213A5">
        <w:rPr>
          <w:rFonts w:hint="eastAsia"/>
        </w:rPr>
        <w:t>-ATP1A1-</w:t>
      </w:r>
      <w:r w:rsidRPr="008213A5">
        <w:t xml:space="preserve">1 or </w:t>
      </w:r>
      <w:proofErr w:type="spellStart"/>
      <w:r w:rsidRPr="008213A5">
        <w:t>sh</w:t>
      </w:r>
      <w:proofErr w:type="spellEnd"/>
      <w:r w:rsidRPr="008213A5">
        <w:rPr>
          <w:rFonts w:hint="eastAsia"/>
        </w:rPr>
        <w:t>-</w:t>
      </w:r>
      <w:r w:rsidRPr="008213A5">
        <w:t xml:space="preserve"> </w:t>
      </w:r>
      <w:r w:rsidRPr="008213A5">
        <w:rPr>
          <w:rFonts w:hint="eastAsia"/>
        </w:rPr>
        <w:t>ATP1A1-</w:t>
      </w:r>
      <w:r w:rsidRPr="008213A5">
        <w:t xml:space="preserve">2 vector compared with cells transfected with </w:t>
      </w:r>
      <w:proofErr w:type="spellStart"/>
      <w:r w:rsidRPr="008213A5">
        <w:t>sh</w:t>
      </w:r>
      <w:proofErr w:type="spellEnd"/>
      <w:r w:rsidRPr="008213A5">
        <w:rPr>
          <w:rFonts w:hint="eastAsia"/>
        </w:rPr>
        <w:t>-</w:t>
      </w:r>
      <w:r w:rsidRPr="008213A5">
        <w:t>NC vector and non-transfected cells (GBM GSCs</w:t>
      </w:r>
      <w:r w:rsidRPr="008213A5">
        <w:rPr>
          <w:rFonts w:hint="eastAsia"/>
        </w:rPr>
        <w:t>1-</w:t>
      </w:r>
      <w:r w:rsidRPr="008213A5">
        <w:t>N and GBM GSCs2</w:t>
      </w:r>
      <w:r w:rsidRPr="008213A5">
        <w:rPr>
          <w:rFonts w:hint="eastAsia"/>
        </w:rPr>
        <w:t>-</w:t>
      </w:r>
      <w:r w:rsidRPr="008213A5">
        <w:t>N).</w:t>
      </w:r>
    </w:p>
    <w:p w14:paraId="554C8172" w14:textId="49DA90FF" w:rsidR="008213A5" w:rsidRPr="0008519D" w:rsidRDefault="008213A5" w:rsidP="000E1CBE">
      <w:pPr>
        <w:pStyle w:val="2"/>
      </w:pPr>
      <w:r w:rsidRPr="0008519D">
        <w:t>Re</w:t>
      </w:r>
      <w:r w:rsidRPr="008213A5">
        <w:t>-introduction</w:t>
      </w:r>
      <w:r w:rsidRPr="0008519D">
        <w:t xml:space="preserve"> of ATP1A1 in ATP1A1-knockdown cells restore</w:t>
      </w:r>
      <w:r w:rsidRPr="008213A5">
        <w:t>s</w:t>
      </w:r>
      <w:r w:rsidRPr="0008519D">
        <w:t xml:space="preserve"> proliferation and viability</w:t>
      </w:r>
    </w:p>
    <w:p w14:paraId="730EE1FB" w14:textId="66313D19" w:rsidR="008213A5" w:rsidRPr="008213A5" w:rsidRDefault="008213A5" w:rsidP="008213A5">
      <w:r w:rsidRPr="008213A5">
        <w:t>To evaluate</w:t>
      </w:r>
      <w:r w:rsidRPr="008213A5">
        <w:rPr>
          <w:rFonts w:hint="eastAsia"/>
        </w:rPr>
        <w:t xml:space="preserve"> the functions of ATP1A1 </w:t>
      </w:r>
      <w:r w:rsidRPr="008213A5">
        <w:t>i</w:t>
      </w:r>
      <w:r w:rsidRPr="008213A5">
        <w:rPr>
          <w:rFonts w:hint="eastAsia"/>
        </w:rPr>
        <w:t xml:space="preserve">n </w:t>
      </w:r>
      <w:r w:rsidRPr="008213A5">
        <w:t xml:space="preserve">GSC </w:t>
      </w:r>
      <w:r w:rsidRPr="008213A5">
        <w:rPr>
          <w:rFonts w:hint="eastAsia"/>
        </w:rPr>
        <w:t xml:space="preserve">proliferation and survival </w:t>
      </w:r>
      <w:r w:rsidRPr="008213A5">
        <w:t>further, ATP1A1-knockdown cells</w:t>
      </w:r>
      <w:r w:rsidRPr="008213A5">
        <w:rPr>
          <w:rFonts w:hint="eastAsia"/>
        </w:rPr>
        <w:t xml:space="preserve"> (</w:t>
      </w:r>
      <w:r w:rsidRPr="008213A5">
        <w:rPr>
          <w:bCs/>
          <w:iCs/>
        </w:rPr>
        <w:t xml:space="preserve">sh-ATP1A1 </w:t>
      </w:r>
      <w:r w:rsidRPr="008213A5">
        <w:t>cells</w:t>
      </w:r>
      <w:r w:rsidRPr="008213A5">
        <w:rPr>
          <w:rFonts w:hint="eastAsia"/>
        </w:rPr>
        <w:t>)</w:t>
      </w:r>
      <w:r w:rsidRPr="008213A5">
        <w:t xml:space="preserve"> were transfected with ATP1A1 cDNA to </w:t>
      </w:r>
      <w:r w:rsidRPr="008213A5">
        <w:rPr>
          <w:rFonts w:hint="eastAsia"/>
        </w:rPr>
        <w:t>recover</w:t>
      </w:r>
      <w:r w:rsidRPr="008213A5">
        <w:t xml:space="preserve"> </w:t>
      </w:r>
      <w:r w:rsidRPr="008213A5">
        <w:rPr>
          <w:rFonts w:hint="eastAsia"/>
        </w:rPr>
        <w:t>ATP1A1</w:t>
      </w:r>
      <w:r w:rsidRPr="008213A5">
        <w:t xml:space="preserve"> expression. We then examined GSC proliferation and survival</w:t>
      </w:r>
      <w:r w:rsidRPr="008213A5">
        <w:rPr>
          <w:rFonts w:hint="eastAsia"/>
        </w:rPr>
        <w:t xml:space="preserve"> by </w:t>
      </w:r>
      <w:r w:rsidRPr="008213A5">
        <w:t>CCK-8</w:t>
      </w:r>
      <w:r w:rsidRPr="008213A5">
        <w:rPr>
          <w:rFonts w:hint="eastAsia"/>
        </w:rPr>
        <w:t xml:space="preserve"> </w:t>
      </w:r>
      <w:r w:rsidRPr="008213A5">
        <w:t>(</w:t>
      </w:r>
      <w:r w:rsidRPr="008213A5">
        <w:rPr>
          <w:bCs/>
          <w:iCs/>
        </w:rPr>
        <w:t xml:space="preserve">Figure </w:t>
      </w:r>
      <w:r w:rsidR="00E02BDE">
        <w:rPr>
          <w:rFonts w:hint="eastAsia"/>
          <w:bCs/>
          <w:iCs/>
          <w:lang w:eastAsia="zh-CN"/>
        </w:rPr>
        <w:t>S</w:t>
      </w:r>
      <w:r w:rsidR="00E02BDE">
        <w:rPr>
          <w:rFonts w:hint="eastAsia"/>
          <w:bCs/>
          <w:iCs/>
          <w:lang w:eastAsia="zh-CN"/>
        </w:rPr>
        <w:t>2</w:t>
      </w:r>
      <w:r w:rsidR="00E02BDE" w:rsidRPr="008213A5">
        <w:rPr>
          <w:rFonts w:hint="eastAsia"/>
          <w:bCs/>
          <w:iCs/>
        </w:rPr>
        <w:t>A</w:t>
      </w:r>
      <w:r w:rsidRPr="008213A5">
        <w:t>)</w:t>
      </w:r>
      <w:r w:rsidRPr="008213A5">
        <w:rPr>
          <w:rFonts w:hint="eastAsia"/>
        </w:rPr>
        <w:t xml:space="preserve">, </w:t>
      </w:r>
      <w:proofErr w:type="spellStart"/>
      <w:r w:rsidRPr="008213A5">
        <w:t>BrdU</w:t>
      </w:r>
      <w:proofErr w:type="spellEnd"/>
      <w:r w:rsidRPr="008213A5">
        <w:t xml:space="preserve"> incorporation assays</w:t>
      </w:r>
      <w:r w:rsidRPr="008213A5">
        <w:rPr>
          <w:rFonts w:hint="eastAsia"/>
        </w:rPr>
        <w:t xml:space="preserve"> </w:t>
      </w:r>
      <w:r w:rsidRPr="008213A5">
        <w:t>(</w:t>
      </w:r>
      <w:r w:rsidRPr="008213A5">
        <w:rPr>
          <w:bCs/>
          <w:iCs/>
        </w:rPr>
        <w:t xml:space="preserve">Figure </w:t>
      </w:r>
      <w:r w:rsidR="00E02BDE">
        <w:rPr>
          <w:rFonts w:hint="eastAsia"/>
          <w:bCs/>
          <w:iCs/>
          <w:lang w:eastAsia="zh-CN"/>
        </w:rPr>
        <w:t>S</w:t>
      </w:r>
      <w:r w:rsidR="00E02BDE">
        <w:rPr>
          <w:rFonts w:hint="eastAsia"/>
          <w:bCs/>
          <w:iCs/>
          <w:lang w:eastAsia="zh-CN"/>
        </w:rPr>
        <w:t>2</w:t>
      </w:r>
      <w:r w:rsidR="00E02BDE" w:rsidRPr="008213A5">
        <w:rPr>
          <w:rFonts w:hint="eastAsia"/>
          <w:bCs/>
          <w:iCs/>
        </w:rPr>
        <w:t>B</w:t>
      </w:r>
      <w:r w:rsidRPr="008213A5">
        <w:t>),</w:t>
      </w:r>
      <w:r w:rsidRPr="008213A5">
        <w:rPr>
          <w:rFonts w:hint="eastAsia"/>
        </w:rPr>
        <w:t xml:space="preserve"> and </w:t>
      </w:r>
      <w:r w:rsidRPr="008213A5">
        <w:t>flow-cytometric analysis</w:t>
      </w:r>
      <w:r w:rsidRPr="008213A5">
        <w:rPr>
          <w:rFonts w:hint="eastAsia"/>
        </w:rPr>
        <w:t xml:space="preserve"> </w:t>
      </w:r>
      <w:r w:rsidRPr="008213A5">
        <w:t>(</w:t>
      </w:r>
      <w:r w:rsidRPr="008213A5">
        <w:rPr>
          <w:bCs/>
          <w:iCs/>
        </w:rPr>
        <w:t xml:space="preserve">Figure </w:t>
      </w:r>
      <w:r w:rsidR="00E02BDE">
        <w:rPr>
          <w:rFonts w:hint="eastAsia"/>
          <w:bCs/>
          <w:iCs/>
          <w:lang w:eastAsia="zh-CN"/>
        </w:rPr>
        <w:t>S</w:t>
      </w:r>
      <w:r w:rsidR="00E02BDE">
        <w:rPr>
          <w:rFonts w:hint="eastAsia"/>
          <w:bCs/>
          <w:iCs/>
          <w:lang w:eastAsia="zh-CN"/>
        </w:rPr>
        <w:t>2</w:t>
      </w:r>
      <w:r w:rsidR="00E02BDE" w:rsidRPr="008213A5">
        <w:rPr>
          <w:rFonts w:hint="eastAsia"/>
          <w:bCs/>
          <w:iCs/>
        </w:rPr>
        <w:t>C</w:t>
      </w:r>
      <w:r w:rsidRPr="008213A5">
        <w:t>)</w:t>
      </w:r>
      <w:r w:rsidRPr="008213A5">
        <w:rPr>
          <w:rFonts w:hint="eastAsia"/>
        </w:rPr>
        <w:t>.</w:t>
      </w:r>
      <w:r w:rsidRPr="008213A5">
        <w:t xml:space="preserve"> Cell</w:t>
      </w:r>
      <w:r w:rsidRPr="008213A5">
        <w:rPr>
          <w:rFonts w:hint="eastAsia"/>
        </w:rPr>
        <w:t xml:space="preserve"> </w:t>
      </w:r>
      <w:r w:rsidRPr="008213A5">
        <w:t xml:space="preserve">proliferation and survival were significantly higher </w:t>
      </w:r>
      <w:r w:rsidRPr="008213A5">
        <w:rPr>
          <w:rFonts w:hint="eastAsia"/>
        </w:rPr>
        <w:t xml:space="preserve">in </w:t>
      </w:r>
      <w:r w:rsidRPr="008213A5">
        <w:t>pCMV-ATP1A1</w:t>
      </w:r>
      <w:r w:rsidRPr="008213A5">
        <w:rPr>
          <w:rFonts w:hint="eastAsia"/>
        </w:rPr>
        <w:t xml:space="preserve"> </w:t>
      </w:r>
      <w:r w:rsidRPr="008213A5">
        <w:t xml:space="preserve">than in </w:t>
      </w:r>
      <w:r w:rsidRPr="008213A5">
        <w:rPr>
          <w:bCs/>
          <w:iCs/>
        </w:rPr>
        <w:t>sh-ATP1A1</w:t>
      </w:r>
      <w:r w:rsidRPr="008213A5">
        <w:t xml:space="preserve"> cells</w:t>
      </w:r>
      <w:r w:rsidRPr="008213A5">
        <w:rPr>
          <w:rFonts w:hint="eastAsia"/>
        </w:rPr>
        <w:t>.</w:t>
      </w:r>
      <w:r w:rsidRPr="008213A5">
        <w:t xml:space="preserve"> Based on these findings, we concluded that</w:t>
      </w:r>
      <w:r w:rsidRPr="008213A5">
        <w:rPr>
          <w:rFonts w:hint="eastAsia"/>
          <w:b/>
          <w:i/>
        </w:rPr>
        <w:t xml:space="preserve"> </w:t>
      </w:r>
      <w:r w:rsidRPr="008213A5">
        <w:rPr>
          <w:rFonts w:hint="eastAsia"/>
        </w:rPr>
        <w:t>r</w:t>
      </w:r>
      <w:r w:rsidRPr="008213A5">
        <w:t>e-transduction of ATP1A1 in the ATP1A1-knockdown cells restored</w:t>
      </w:r>
      <w:r w:rsidRPr="008213A5">
        <w:rPr>
          <w:rFonts w:hint="eastAsia"/>
        </w:rPr>
        <w:t xml:space="preserve"> cell </w:t>
      </w:r>
      <w:r w:rsidRPr="008213A5">
        <w:t>proliferation and viability</w:t>
      </w:r>
      <w:r w:rsidRPr="008213A5">
        <w:rPr>
          <w:rFonts w:hint="eastAsia"/>
        </w:rPr>
        <w:t xml:space="preserve">. </w:t>
      </w:r>
      <w:bookmarkStart w:id="0" w:name="_GoBack"/>
      <w:bookmarkEnd w:id="0"/>
    </w:p>
    <w:p w14:paraId="7B65BC41" w14:textId="77777777"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EB35BA" w15:done="0"/>
  <w15:commentEx w15:paraId="1914940D" w15:done="0"/>
  <w15:commentEx w15:paraId="45807763" w15:done="0"/>
  <w15:commentEx w15:paraId="6C70E16F" w15:done="0"/>
  <w15:commentEx w15:paraId="418562AC" w15:done="0"/>
  <w15:commentEx w15:paraId="35274A5C" w15:done="0"/>
  <w15:commentEx w15:paraId="3F5C7826" w15:done="0"/>
  <w15:commentEx w15:paraId="529C92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B35BA" w16cid:durableId="202949D1"/>
  <w16cid:commentId w16cid:paraId="1914940D" w16cid:durableId="2027BCBE"/>
  <w16cid:commentId w16cid:paraId="45807763" w16cid:durableId="2027B96E"/>
  <w16cid:commentId w16cid:paraId="6C70E16F" w16cid:durableId="2027BE87"/>
  <w16cid:commentId w16cid:paraId="418562AC" w16cid:durableId="2027BF78"/>
  <w16cid:commentId w16cid:paraId="35274A5C" w16cid:durableId="2027BFF1"/>
  <w16cid:commentId w16cid:paraId="3F5C7826" w16cid:durableId="201AEBB6"/>
  <w16cid:commentId w16cid:paraId="529C9255" w16cid:durableId="20294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5C10B" w14:textId="77777777" w:rsidR="00B774AA" w:rsidRDefault="00B774AA" w:rsidP="00117666">
      <w:pPr>
        <w:spacing w:after="0"/>
      </w:pPr>
      <w:r>
        <w:separator/>
      </w:r>
    </w:p>
  </w:endnote>
  <w:endnote w:type="continuationSeparator" w:id="0">
    <w:p w14:paraId="47BBE346" w14:textId="77777777" w:rsidR="00B774AA" w:rsidRDefault="00B774A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P4C4E59">
    <w:altName w:val="Times New Roman"/>
    <w:panose1 w:val="00000000000000000000"/>
    <w:charset w:val="00"/>
    <w:family w:val="roman"/>
    <w:notTrueType/>
    <w:pitch w:val="default"/>
  </w:font>
  <w:font w:name="AdvP4981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5F" w14:textId="77777777" w:rsidR="00995F6A"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02BDE">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02BDE">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6A35" w14:textId="77777777" w:rsidR="00995F6A"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02BDE">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02BDE">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CAFCE" w14:textId="77777777" w:rsidR="00B774AA" w:rsidRDefault="00B774AA" w:rsidP="00117666">
      <w:pPr>
        <w:spacing w:after="0"/>
      </w:pPr>
      <w:r>
        <w:separator/>
      </w:r>
    </w:p>
  </w:footnote>
  <w:footnote w:type="continuationSeparator" w:id="0">
    <w:p w14:paraId="06FD5CB6" w14:textId="77777777" w:rsidR="00B774AA" w:rsidRDefault="00B774AA"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8C6" w14:textId="77777777" w:rsidR="00995F6A" w:rsidRDefault="0093429D"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2BD9"/>
    <w:rsid w:val="0001436A"/>
    <w:rsid w:val="00034304"/>
    <w:rsid w:val="00035434"/>
    <w:rsid w:val="00044734"/>
    <w:rsid w:val="00052A14"/>
    <w:rsid w:val="000645C6"/>
    <w:rsid w:val="00077D53"/>
    <w:rsid w:val="0008519D"/>
    <w:rsid w:val="00097AE7"/>
    <w:rsid w:val="000C6AD7"/>
    <w:rsid w:val="000D0246"/>
    <w:rsid w:val="000E1CBE"/>
    <w:rsid w:val="000F1239"/>
    <w:rsid w:val="00105FD9"/>
    <w:rsid w:val="0011071E"/>
    <w:rsid w:val="00117666"/>
    <w:rsid w:val="001549D3"/>
    <w:rsid w:val="00160065"/>
    <w:rsid w:val="00177D84"/>
    <w:rsid w:val="0023753C"/>
    <w:rsid w:val="00255F53"/>
    <w:rsid w:val="00267D18"/>
    <w:rsid w:val="00274347"/>
    <w:rsid w:val="002868E2"/>
    <w:rsid w:val="002869C3"/>
    <w:rsid w:val="002936E4"/>
    <w:rsid w:val="002944E6"/>
    <w:rsid w:val="0029473A"/>
    <w:rsid w:val="002B4A57"/>
    <w:rsid w:val="002C74CA"/>
    <w:rsid w:val="003123F4"/>
    <w:rsid w:val="003544FB"/>
    <w:rsid w:val="003D2F2D"/>
    <w:rsid w:val="00401590"/>
    <w:rsid w:val="00447801"/>
    <w:rsid w:val="00452E9C"/>
    <w:rsid w:val="004735C8"/>
    <w:rsid w:val="004947A6"/>
    <w:rsid w:val="004961FF"/>
    <w:rsid w:val="004A448C"/>
    <w:rsid w:val="004C78D4"/>
    <w:rsid w:val="004D24EE"/>
    <w:rsid w:val="004F78FF"/>
    <w:rsid w:val="00517A89"/>
    <w:rsid w:val="005250F2"/>
    <w:rsid w:val="00593EEA"/>
    <w:rsid w:val="005A5EEE"/>
    <w:rsid w:val="006375C7"/>
    <w:rsid w:val="00645F68"/>
    <w:rsid w:val="00654E8F"/>
    <w:rsid w:val="00660D05"/>
    <w:rsid w:val="006820B1"/>
    <w:rsid w:val="006B7D14"/>
    <w:rsid w:val="006D06E7"/>
    <w:rsid w:val="006E2D82"/>
    <w:rsid w:val="00701727"/>
    <w:rsid w:val="0070566C"/>
    <w:rsid w:val="00714C50"/>
    <w:rsid w:val="00725A7D"/>
    <w:rsid w:val="00730441"/>
    <w:rsid w:val="007501BE"/>
    <w:rsid w:val="007643FA"/>
    <w:rsid w:val="00790BB3"/>
    <w:rsid w:val="007C206C"/>
    <w:rsid w:val="00816163"/>
    <w:rsid w:val="00817510"/>
    <w:rsid w:val="00817DD6"/>
    <w:rsid w:val="008213A5"/>
    <w:rsid w:val="0083759F"/>
    <w:rsid w:val="00882345"/>
    <w:rsid w:val="00885156"/>
    <w:rsid w:val="008C43C4"/>
    <w:rsid w:val="0090227A"/>
    <w:rsid w:val="00911048"/>
    <w:rsid w:val="009151AA"/>
    <w:rsid w:val="0092712E"/>
    <w:rsid w:val="0093429D"/>
    <w:rsid w:val="00943573"/>
    <w:rsid w:val="00964134"/>
    <w:rsid w:val="00966EBE"/>
    <w:rsid w:val="00970F7D"/>
    <w:rsid w:val="00984CFE"/>
    <w:rsid w:val="00994A3D"/>
    <w:rsid w:val="009A2821"/>
    <w:rsid w:val="009B77A7"/>
    <w:rsid w:val="009C2B12"/>
    <w:rsid w:val="009F4DBA"/>
    <w:rsid w:val="00A174D9"/>
    <w:rsid w:val="00A245ED"/>
    <w:rsid w:val="00A81CBB"/>
    <w:rsid w:val="00AA4D24"/>
    <w:rsid w:val="00AB6715"/>
    <w:rsid w:val="00B1671E"/>
    <w:rsid w:val="00B2275C"/>
    <w:rsid w:val="00B25EB8"/>
    <w:rsid w:val="00B37F4D"/>
    <w:rsid w:val="00B43C29"/>
    <w:rsid w:val="00B774AA"/>
    <w:rsid w:val="00BB68FA"/>
    <w:rsid w:val="00BC2E09"/>
    <w:rsid w:val="00BC2F7E"/>
    <w:rsid w:val="00BE3599"/>
    <w:rsid w:val="00BF475B"/>
    <w:rsid w:val="00C1128C"/>
    <w:rsid w:val="00C27426"/>
    <w:rsid w:val="00C52A7B"/>
    <w:rsid w:val="00C56BAF"/>
    <w:rsid w:val="00C679AA"/>
    <w:rsid w:val="00C75972"/>
    <w:rsid w:val="00C84321"/>
    <w:rsid w:val="00CD066B"/>
    <w:rsid w:val="00CE4FEE"/>
    <w:rsid w:val="00D060CF"/>
    <w:rsid w:val="00DB59C3"/>
    <w:rsid w:val="00DC259A"/>
    <w:rsid w:val="00DD1BDD"/>
    <w:rsid w:val="00DE23E8"/>
    <w:rsid w:val="00DF6652"/>
    <w:rsid w:val="00E02BDE"/>
    <w:rsid w:val="00E52377"/>
    <w:rsid w:val="00E537AD"/>
    <w:rsid w:val="00E64E17"/>
    <w:rsid w:val="00E866C9"/>
    <w:rsid w:val="00EA3D3C"/>
    <w:rsid w:val="00EB6664"/>
    <w:rsid w:val="00EC090A"/>
    <w:rsid w:val="00EC7EFD"/>
    <w:rsid w:val="00ED20B5"/>
    <w:rsid w:val="00EF6D55"/>
    <w:rsid w:val="00F1106E"/>
    <w:rsid w:val="00F46900"/>
    <w:rsid w:val="00F53517"/>
    <w:rsid w:val="00F61D89"/>
    <w:rsid w:val="00F6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AB6715"/>
    <w:rPr>
      <w:rFonts w:ascii="Times New Roman" w:eastAsia="Cambria" w:hAnsi="Times New Roman" w:cs="Times New Roman"/>
      <w:b/>
      <w:sz w:val="24"/>
      <w:szCs w:val="24"/>
    </w:rPr>
  </w:style>
  <w:style w:type="character" w:customStyle="1" w:styleId="2Char">
    <w:name w:val="标题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副标题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批注框文本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semiHidden/>
    <w:unhideWhenUsed/>
    <w:rsid w:val="00AB6715"/>
    <w:rPr>
      <w:sz w:val="16"/>
      <w:szCs w:val="16"/>
    </w:rPr>
  </w:style>
  <w:style w:type="paragraph" w:styleId="aa">
    <w:name w:val="annotation text"/>
    <w:basedOn w:val="a0"/>
    <w:link w:val="Char1"/>
    <w:unhideWhenUsed/>
    <w:rsid w:val="00AB6715"/>
    <w:rPr>
      <w:sz w:val="20"/>
      <w:szCs w:val="20"/>
    </w:rPr>
  </w:style>
  <w:style w:type="character" w:customStyle="1" w:styleId="Char1">
    <w:name w:val="批注文字 Char"/>
    <w:basedOn w:val="a1"/>
    <w:link w:val="aa"/>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批注主题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尾注文本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页脚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脚注文本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页眉 Char"/>
    <w:basedOn w:val="a1"/>
    <w:link w:val="af3"/>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标题 3 Char"/>
    <w:basedOn w:val="a1"/>
    <w:link w:val="3"/>
    <w:uiPriority w:val="2"/>
    <w:rsid w:val="00AB6715"/>
    <w:rPr>
      <w:rFonts w:ascii="Times New Roman" w:eastAsiaTheme="majorEastAsia" w:hAnsi="Times New Roman" w:cstheme="majorBidi"/>
      <w:b/>
      <w:sz w:val="24"/>
      <w:szCs w:val="24"/>
    </w:rPr>
  </w:style>
  <w:style w:type="character" w:customStyle="1" w:styleId="4Char">
    <w:name w:val="标题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标题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引用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标题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 w:type="character" w:customStyle="1" w:styleId="fontstyle01">
    <w:name w:val="fontstyle01"/>
    <w:rsid w:val="0092712E"/>
    <w:rPr>
      <w:rFonts w:ascii="AdvP4C4E59" w:hAnsi="AdvP4C4E59" w:hint="default"/>
      <w:b w:val="0"/>
      <w:bCs w:val="0"/>
      <w:i w:val="0"/>
      <w:iCs w:val="0"/>
      <w:color w:val="000000"/>
      <w:sz w:val="18"/>
      <w:szCs w:val="18"/>
    </w:rPr>
  </w:style>
  <w:style w:type="character" w:customStyle="1" w:styleId="fontstyle11">
    <w:name w:val="fontstyle11"/>
    <w:rsid w:val="0092712E"/>
    <w:rPr>
      <w:rFonts w:ascii="AdvP49811" w:hAnsi="AdvP49811"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AB6715"/>
    <w:rPr>
      <w:rFonts w:ascii="Times New Roman" w:eastAsia="Cambria" w:hAnsi="Times New Roman" w:cs="Times New Roman"/>
      <w:b/>
      <w:sz w:val="24"/>
      <w:szCs w:val="24"/>
    </w:rPr>
  </w:style>
  <w:style w:type="character" w:customStyle="1" w:styleId="2Char">
    <w:name w:val="标题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副标题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批注框文本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semiHidden/>
    <w:unhideWhenUsed/>
    <w:rsid w:val="00AB6715"/>
    <w:rPr>
      <w:sz w:val="16"/>
      <w:szCs w:val="16"/>
    </w:rPr>
  </w:style>
  <w:style w:type="paragraph" w:styleId="aa">
    <w:name w:val="annotation text"/>
    <w:basedOn w:val="a0"/>
    <w:link w:val="Char1"/>
    <w:unhideWhenUsed/>
    <w:rsid w:val="00AB6715"/>
    <w:rPr>
      <w:sz w:val="20"/>
      <w:szCs w:val="20"/>
    </w:rPr>
  </w:style>
  <w:style w:type="character" w:customStyle="1" w:styleId="Char1">
    <w:name w:val="批注文字 Char"/>
    <w:basedOn w:val="a1"/>
    <w:link w:val="aa"/>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批注主题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尾注文本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页脚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脚注文本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页眉 Char"/>
    <w:basedOn w:val="a1"/>
    <w:link w:val="af3"/>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标题 3 Char"/>
    <w:basedOn w:val="a1"/>
    <w:link w:val="3"/>
    <w:uiPriority w:val="2"/>
    <w:rsid w:val="00AB6715"/>
    <w:rPr>
      <w:rFonts w:ascii="Times New Roman" w:eastAsiaTheme="majorEastAsia" w:hAnsi="Times New Roman" w:cstheme="majorBidi"/>
      <w:b/>
      <w:sz w:val="24"/>
      <w:szCs w:val="24"/>
    </w:rPr>
  </w:style>
  <w:style w:type="character" w:customStyle="1" w:styleId="4Char">
    <w:name w:val="标题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标题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引用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标题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 w:type="character" w:customStyle="1" w:styleId="fontstyle01">
    <w:name w:val="fontstyle01"/>
    <w:rsid w:val="0092712E"/>
    <w:rPr>
      <w:rFonts w:ascii="AdvP4C4E59" w:hAnsi="AdvP4C4E59" w:hint="default"/>
      <w:b w:val="0"/>
      <w:bCs w:val="0"/>
      <w:i w:val="0"/>
      <w:iCs w:val="0"/>
      <w:color w:val="000000"/>
      <w:sz w:val="18"/>
      <w:szCs w:val="18"/>
    </w:rPr>
  </w:style>
  <w:style w:type="character" w:customStyle="1" w:styleId="fontstyle11">
    <w:name w:val="fontstyle11"/>
    <w:rsid w:val="0092712E"/>
    <w:rPr>
      <w:rFonts w:ascii="AdvP49811" w:hAnsi="AdvP49811"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D6ACA4-2533-426F-A4D9-1878DFA7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842</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ASUS</cp:lastModifiedBy>
  <cp:revision>43</cp:revision>
  <cp:lastPrinted>2013-10-03T12:51:00Z</cp:lastPrinted>
  <dcterms:created xsi:type="dcterms:W3CDTF">2018-11-23T08:58:00Z</dcterms:created>
  <dcterms:modified xsi:type="dcterms:W3CDTF">2019-04-03T10:36:00Z</dcterms:modified>
</cp:coreProperties>
</file>