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jpeg" ContentType="image/jpe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Supplementary information of "BayesPI-BAR2: a new Python package for predicting functional non-coding mutations in cancer patient cohorts"</w:t>
      </w:r>
    </w:p>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Kirill Batmanov, Jan Delabie, and Junbai Wang</w:t>
      </w:r>
    </w:p>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Supplementary Methods</w:t>
      </w:r>
    </w:p>
    <w:p>
      <w:pPr>
        <w:pStyle w:val="Normal"/>
        <w:spacing w:lineRule="auto" w:line="480"/>
        <w:rPr>
          <w:rFonts w:ascii="Times New Roman" w:hAnsi="Times New Roman" w:cs="Times New Roman"/>
          <w:b/>
          <w:b/>
          <w:sz w:val="24"/>
          <w:szCs w:val="24"/>
          <w:lang w:val="en-US"/>
        </w:rPr>
      </w:pPr>
      <w:r>
        <w:rPr>
          <w:rFonts w:cs="Times New Roman" w:ascii="Times New Roman" w:hAnsi="Times New Roman"/>
          <w:b/>
          <w:sz w:val="24"/>
          <w:szCs w:val="24"/>
          <w:lang w:val="en-US"/>
        </w:rPr>
        <w:t>1. Detailed description of BayesPI-BAR approach</w:t>
      </w:r>
    </w:p>
    <w:p>
      <w:pPr>
        <w:pStyle w:val="Normal"/>
        <w:spacing w:lineRule="auto" w:line="480"/>
        <w:jc w:val="both"/>
        <w:rPr/>
      </w:pPr>
      <w:r>
        <w:rPr>
          <w:rFonts w:cs="Times New Roman" w:ascii="Times New Roman" w:hAnsi="Times New Roman"/>
          <w:sz w:val="24"/>
          <w:szCs w:val="24"/>
          <w:lang w:val="en-US"/>
        </w:rPr>
        <w:t xml:space="preserve">BayesPI-BAR </w:t>
      </w:r>
      <w:r>
        <w:fldChar w:fldCharType="begin"/>
      </w:r>
      <w:r>
        <w:rPr/>
        <w:instrText>ADDIN EN.CITE &lt;EndNote&gt;&lt;Cite&gt;&lt;Author&gt;Wang&lt;/Author&gt;&lt;Year&gt;2015&lt;/Year&gt;&lt;RecNum&gt;4&lt;/RecNum&gt;&lt;DisplayText&gt;(Wang and Batmanov, 2015)&lt;/DisplayText&gt;&lt;record&gt;&lt;rec-number&gt;4&lt;/rec-number&gt;&lt;foreign-keys&gt;&lt;key app="EN" db-id="xaxefptwrz5e2sea9ed50peitvee5z9t0fed"&gt;4&lt;/key&gt;&lt;/foreign-keys&gt;&lt;ref-type name="Journal Article"&gt;17&lt;/ref-type&gt;&lt;contributors&gt;&lt;authors&gt;&lt;author&gt;Wang, J.&lt;/author&gt;&lt;author&gt;Batmanov, K.&lt;/author&gt;&lt;/authors&gt;&lt;/contributors&gt;&lt;auth-address&gt;Pathology Department, Oslo University Hospital-Norwegian Radium Hospital, Montebello 0310, Oslo, Norway junbai.wang@rr-research.no.&amp;#xD;Pathology Department, Oslo University Hospital-Norwegian Radium Hospital, Montebello 0310, Oslo, Norway.&lt;/auth-address&gt;&lt;titles&gt;&lt;title&gt;BayesPI-BAR: a new biophysical model for characterization of regulatory sequence variations&lt;/title&gt;&lt;secondary-title&gt;Nucleic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research&lt;/abbr-1&gt;&lt;/alt-periodical&gt;&lt;pages&gt;e147&lt;/pages&gt;&lt;volume&gt;43&lt;/volume&gt;&lt;number&gt;21&lt;/number&gt;&lt;dates&gt;&lt;year&gt;2015&lt;/year&gt;&lt;pub-dates&gt;&lt;date&gt;Dec 2&lt;/date&gt;&lt;/pub-dates&gt;&lt;/dates&gt;&lt;isbn&gt;1362-4962 (Electronic)&amp;#xD;0305-1048 (Linking)&lt;/isbn&gt;&lt;accession-num&gt;26202972&lt;/accession-num&gt;&lt;urls&gt;&lt;related-urls&gt;&lt;url&gt;http://www.ncbi.nlm.nih.gov/entrez/query.fcgi?cmd=Retrieve&amp;amp;db=PubMed&amp;amp;dopt=Citation&amp;amp;list_uids=26202972 &lt;/url&gt;&lt;/related-urls&gt;&lt;/urls&gt;&lt;language&gt;eng&lt;/language&gt;&lt;/record&gt;&lt;/Cite&gt;&lt;/EndNote&gt;</w:instrText>
      </w:r>
      <w:r>
        <w:rPr/>
        <w:fldChar w:fldCharType="separate"/>
      </w:r>
      <w:bookmarkStart w:id="0" w:name="__Fieldmark__9_90149830"/>
      <w:r>
        <w:rPr/>
      </w:r>
      <w:r>
        <w:rPr>
          <w:rFonts w:cs="Times New Roman" w:ascii="Times New Roman" w:hAnsi="Times New Roman"/>
          <w:sz w:val="24"/>
          <w:szCs w:val="24"/>
          <w:lang w:val="en-US"/>
        </w:rPr>
        <w:t>(</w:t>
      </w:r>
      <w:bookmarkStart w:id="1" w:name="__Fieldmark__6360_1974059121"/>
      <w:r>
        <w:rPr>
          <w:rFonts w:cs="Times New Roman" w:ascii="Times New Roman" w:hAnsi="Times New Roman"/>
          <w:sz w:val="24"/>
          <w:szCs w:val="24"/>
          <w:lang w:val="en-US"/>
        </w:rPr>
        <w:t>Wang and Batmanov, 2015)</w:t>
      </w:r>
      <w:r>
        <w:rPr/>
      </w:r>
      <w:r>
        <w:rPr/>
        <w:fldChar w:fldCharType="end"/>
      </w:r>
      <w:hyperlink w:anchor="_ENREF_3" w:tgtFrame="Wang, 2015 #4">
        <w:bookmarkEnd w:id="0"/>
        <w:bookmarkEnd w:id="1"/>
        <w:r>
          <w:rPr>
            <w:rStyle w:val="ListLabel4"/>
            <w:rFonts w:cs="Times New Roman" w:ascii="Times New Roman" w:hAnsi="Times New Roman"/>
            <w:sz w:val="24"/>
            <w:szCs w:val="24"/>
            <w:lang w:val="en-US"/>
          </w:rPr>
          <w:t xml:space="preserve"> method is used to evaluate the significance of TF binding affinity changes caused due to DNA sequence variants. It is based on an idea of earlier work </w:t>
        </w:r>
      </w:hyperlink>
      <w:r>
        <w:fldChar w:fldCharType="begin"/>
      </w:r>
      <w:r>
        <w:rPr/>
        <w:instrText>ADDIN EN.CITE &lt;EndNote&gt;&lt;Cite&gt;&lt;Author&gt;Wang&lt;/Author&gt;&lt;Year&gt;2015&lt;/Year&gt;&lt;RecNum&gt;10&lt;/RecNum&gt;&lt;DisplayText&gt;(Wang et al., 2015)&lt;/DisplayText&gt;&lt;record&gt;&lt;rec-number&gt;10&lt;/rec-number&gt;&lt;foreign-keys&gt;&lt;key app="EN" db-id="xaxefptwrz5e2sea9ed50peitvee5z9t0fed"&gt;10&lt;/key&gt;&lt;/foreign-keys&gt;&lt;ref-type name="Journal Article"&gt;17&lt;/ref-type&gt;&lt;contributors&gt;&lt;authors&gt;&lt;author&gt;Wang, J.&lt;/author&gt;&lt;author&gt;Malecka, A.&lt;/author&gt;&lt;author&gt;Trøenand, G.&lt;/author&gt;&lt;author&gt;Delabie, J.&lt;/author&gt;&lt;/authors&gt;&lt;/contributors&gt;&lt;titles&gt;&lt;title&gt;Comprehensive genome-wide transcription factor analysis reveals that a combination of high affinity and low affinity DNA binding is needed for human gene regulation &lt;/title&gt;&lt;secondary-title&gt;BMC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Genomics&lt;/abbr-1&gt;&lt;/alt-periodical&gt;&lt;volume&gt;16 (Suppl 7):S12&lt;/volume&gt;&lt;number&gt;(Suppl 7)&lt;/number&gt;&lt;section&gt;S12&lt;/section&gt;&lt;dates&gt;&lt;year&gt;2015&lt;/year&gt;&lt;pub-dates&gt;&lt;date&gt;June&lt;/date&gt;&lt;/pub-dates&gt;&lt;/dates&gt;&lt;isbn&gt;1471-2164&lt;/isbn&gt;&lt;urls&gt;&lt;/urls&gt;&lt;/record&gt;&lt;/Cite&gt;&lt;/EndNote&gt;</w:instrText>
      </w:r>
      <w:r>
        <w:rPr/>
        <w:fldChar w:fldCharType="separate"/>
      </w:r>
      <w:bookmarkStart w:id="2" w:name="__Fieldmark__17_90149830"/>
      <w:r>
        <w:rPr/>
      </w:r>
      <w:r>
        <w:rPr>
          <w:rFonts w:cs="Times New Roman" w:ascii="Times New Roman" w:hAnsi="Times New Roman"/>
          <w:sz w:val="24"/>
          <w:szCs w:val="24"/>
          <w:lang w:val="en-US"/>
        </w:rPr>
        <w:t>(</w:t>
      </w:r>
      <w:bookmarkStart w:id="3" w:name="__Fieldmark__6378_1974059121"/>
      <w:r>
        <w:rPr>
          <w:rFonts w:cs="Times New Roman" w:ascii="Times New Roman" w:hAnsi="Times New Roman"/>
          <w:sz w:val="24"/>
          <w:szCs w:val="24"/>
          <w:lang w:val="en-US"/>
        </w:rPr>
        <w:t>Wang et al., 2015)</w:t>
      </w:r>
      <w:r>
        <w:rPr/>
      </w:r>
      <w:r>
        <w:rPr/>
        <w:fldChar w:fldCharType="end"/>
      </w:r>
      <w:hyperlink w:anchor="_ENREF_4" w:tgtFrame="Wang, 2015 #10">
        <w:bookmarkEnd w:id="2"/>
        <w:bookmarkEnd w:id="3"/>
        <w:r>
          <w:rPr>
            <w:rStyle w:val="ListLabel4"/>
            <w:rFonts w:cs="Times New Roman" w:ascii="Times New Roman" w:hAnsi="Times New Roman"/>
            <w:sz w:val="24"/>
            <w:szCs w:val="24"/>
            <w:lang w:val="en-US"/>
          </w:rPr>
          <w:t xml:space="preserve"> for distinguishing direct versus indirect TF binding. There are two new quantities in the calculation: the </w:t>
        </w:r>
      </w:hyperlink>
      <w:r>
        <w:rPr>
          <w:rFonts w:cs="Times New Roman" w:ascii="Times New Roman" w:hAnsi="Times New Roman"/>
          <w:i/>
          <w:sz w:val="24"/>
          <w:szCs w:val="24"/>
          <w:lang w:val="en-US"/>
        </w:rPr>
        <w:t>differential binding affinity</w:t>
      </w:r>
      <w:r>
        <w:rPr>
          <w:rFonts w:cs="Times New Roman" w:ascii="Times New Roman" w:hAnsi="Times New Roman"/>
          <w:sz w:val="24"/>
          <w:szCs w:val="24"/>
          <w:lang w:val="en-US"/>
        </w:rPr>
        <w:t xml:space="preserve"> (</w:t>
      </w:r>
      <w:r>
        <w:rPr/>
      </w:r>
      <m:oMath xmlns:m="http://schemas.openxmlformats.org/officeDocument/2006/math">
        <m:r>
          <w:rPr>
            <w:rFonts w:ascii="Cambria Math" w:hAnsi="Cambria Math"/>
          </w:rPr>
          <m:t xml:space="preserve">dbA</m:t>
        </m:r>
      </m:oMath>
      <w:r>
        <w:rPr>
          <w:rFonts w:cs="Times New Roman" w:ascii="Times New Roman" w:hAnsi="Times New Roman"/>
          <w:sz w:val="24"/>
          <w:szCs w:val="24"/>
          <w:lang w:val="en-US"/>
        </w:rPr>
        <w:t>) and its corresponding P-value (</w:t>
      </w:r>
      <w:r>
        <w:rPr/>
      </w:r>
      <m:oMath xmlns:m="http://schemas.openxmlformats.org/officeDocument/2006/math">
        <m:sSub>
          <m:e>
            <m:r>
              <w:rPr>
                <w:rFonts w:ascii="Cambria Math" w:hAnsi="Cambria Math"/>
              </w:rPr>
              <m:t xml:space="preserve">P</m:t>
            </m:r>
          </m:e>
          <m:sub>
            <m:r>
              <w:rPr>
                <w:rFonts w:ascii="Cambria Math" w:hAnsi="Cambria Math"/>
              </w:rPr>
              <m:t xml:space="preserve">dbA</m:t>
            </m:r>
          </m:sub>
        </m:sSub>
      </m:oMath>
      <w:r>
        <w:rPr>
          <w:rFonts w:cs="Times New Roman" w:ascii="Times New Roman" w:hAnsi="Times New Roman"/>
          <w:sz w:val="24"/>
          <w:szCs w:val="24"/>
          <w:lang w:val="en-US"/>
        </w:rPr>
        <w:t>):</w:t>
      </w:r>
    </w:p>
    <w:p>
      <w:pPr>
        <w:pStyle w:val="Normal"/>
        <w:spacing w:lineRule="auto" w:line="480"/>
        <w:jc w:val="both"/>
        <w:rPr>
          <w:rFonts w:ascii="Times New Roman" w:hAnsi="Times New Roman" w:cs="Times New Roman"/>
          <w:sz w:val="24"/>
          <w:szCs w:val="24"/>
          <w:lang w:val="en-US"/>
        </w:rPr>
      </w:pPr>
      <w:r>
        <w:rPr/>
      </w:r>
      <m:oMath xmlns:m="http://schemas.openxmlformats.org/officeDocument/2006/math">
        <m:r>
          <w:rPr>
            <w:rFonts w:ascii="Cambria Math" w:hAnsi="Cambria Math"/>
          </w:rPr>
          <m:t xml:space="preserve">dbA</m:t>
        </m:r>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R</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S</m:t>
            </m:r>
          </m:e>
        </m:d>
        <m:r>
          <w:rPr>
            <w:rFonts w:ascii="Cambria Math" w:hAnsi="Cambria Math"/>
          </w:rPr>
          <m:t xml:space="preserve">−</m:t>
        </m:r>
        <m:f>
          <m:num>
            <m:r>
              <w:rPr>
                <w:rFonts w:ascii="Cambria Math" w:hAnsi="Cambria Math"/>
              </w:rPr>
              <m:t xml:space="preserve">1</m:t>
            </m:r>
          </m:num>
          <m:den>
            <m:r>
              <w:rPr>
                <w:rFonts w:ascii="Cambria Math" w:hAnsi="Cambria Math"/>
              </w:rPr>
              <m:t xml:space="preserve">R</m:t>
            </m:r>
          </m:den>
        </m:f>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R</m:t>
            </m:r>
          </m:sup>
          <m:e>
            <m:r>
              <w:rPr>
                <w:rFonts w:ascii="Cambria Math" w:hAnsi="Cambria Math"/>
              </w:rPr>
              <m:t xml:space="preserve">P</m:t>
            </m:r>
            <m:d>
              <m:dPr>
                <m:begChr m:val="("/>
                <m:endChr m:val=")"/>
              </m:dPr>
              <m:e>
                <m:r>
                  <m:rPr>
                    <m:lit/>
                    <m:nor/>
                  </m:rPr>
                  <w:rPr>
                    <w:rFonts w:ascii="Cambria Math" w:hAnsi="Cambria Math"/>
                  </w:rPr>
                  <m:t xml:space="preserve">shuffle</m:t>
                </m:r>
                <m:d>
                  <m:dPr>
                    <m:begChr m:val="("/>
                    <m:endChr m:val=")"/>
                  </m:dPr>
                  <m:e>
                    <m:r>
                      <w:rPr>
                        <w:rFonts w:ascii="Cambria Math" w:hAnsi="Cambria Math"/>
                      </w:rPr>
                      <m:t xml:space="preserve">S</m:t>
                    </m:r>
                  </m:e>
                </m:d>
              </m:e>
            </m:d>
          </m:e>
        </m:nary>
      </m:oMath>
    </w:p>
    <w:p>
      <w:pPr>
        <w:pStyle w:val="Normal"/>
        <w:spacing w:lineRule="auto" w:line="480"/>
        <w:jc w:val="both"/>
        <w:rPr>
          <w:rFonts w:ascii="Times New Roman" w:hAnsi="Times New Roman" w:cs="Times New Roman"/>
          <w:sz w:val="24"/>
          <w:szCs w:val="24"/>
          <w:lang w:val="en-US"/>
        </w:rPr>
      </w:pPr>
      <w:r>
        <w:rPr/>
      </w:r>
      <m:oMath xmlns:m="http://schemas.openxmlformats.org/officeDocument/2006/math">
        <m:sSub>
          <m:e>
            <m:r>
              <w:rPr>
                <w:rFonts w:ascii="Cambria Math" w:hAnsi="Cambria Math"/>
              </w:rPr>
              <m:t xml:space="preserve">P</m:t>
            </m:r>
          </m:e>
          <m:sub>
            <m:r>
              <w:rPr>
                <w:rFonts w:ascii="Cambria Math" w:hAnsi="Cambria Math"/>
              </w:rPr>
              <m:t xml:space="preserve">dbA</m:t>
            </m:r>
          </m:sub>
        </m:sSub>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R</m:t>
            </m:r>
          </m:e>
        </m:d>
        <m:r>
          <w:rPr>
            <w:rFonts w:ascii="Cambria Math" w:hAnsi="Cambria Math"/>
          </w:rPr>
          <m:t xml:space="preserve">=</m:t>
        </m:r>
        <m:f>
          <m:num>
            <m:r>
              <w:rPr>
                <w:rFonts w:ascii="Cambria Math" w:hAnsi="Cambria Math"/>
              </w:rPr>
              <m:t xml:space="preserve">1</m:t>
            </m:r>
          </m:num>
          <m:den>
            <m:r>
              <w:rPr>
                <w:rFonts w:ascii="Cambria Math" w:hAnsi="Cambria Math"/>
              </w:rPr>
              <m:t xml:space="preserve">R</m:t>
            </m:r>
          </m:den>
        </m:f>
        <m:sSub>
          <m:e>
            <m:r>
              <m:rPr>
                <m:lit/>
                <m:nor/>
              </m:rPr>
              <w:rPr>
                <w:rFonts w:ascii="Cambria Math" w:hAnsi="Cambria Math"/>
              </w:rPr>
              <m:t xml:space="preserve">count</m:t>
            </m:r>
          </m:e>
          <m:sub>
            <m:r>
              <w:rPr>
                <w:rFonts w:ascii="Cambria Math" w:hAnsi="Cambria Math"/>
              </w:rPr>
              <m:t xml:space="preserve">R</m:t>
            </m:r>
          </m:sub>
        </m:sSub>
        <m:d>
          <m:dPr>
            <m:begChr m:val="["/>
            <m:endChr m:val="]"/>
          </m:dPr>
          <m:e>
            <m:r>
              <w:rPr>
                <w:rFonts w:ascii="Cambria Math" w:hAnsi="Cambria Math"/>
              </w:rPr>
              <m:t xml:space="preserve">P</m:t>
            </m:r>
            <m:d>
              <m:dPr>
                <m:begChr m:val="("/>
                <m:endChr m:val=")"/>
              </m:dPr>
              <m:e>
                <m:r>
                  <w:rPr>
                    <w:rFonts w:ascii="Cambria Math" w:hAnsi="Cambria Math"/>
                  </w:rPr>
                  <m:t xml:space="preserve">S</m:t>
                </m:r>
              </m:e>
            </m:d>
            <m:r>
              <w:rPr>
                <w:rFonts w:ascii="Cambria Math" w:hAnsi="Cambria Math"/>
              </w:rPr>
              <m:t xml:space="preserve">&gt;</m:t>
            </m:r>
            <m:r>
              <w:rPr>
                <w:rFonts w:ascii="Cambria Math" w:hAnsi="Cambria Math"/>
              </w:rPr>
              <m:t xml:space="preserve">P</m:t>
            </m:r>
            <m:d>
              <m:dPr>
                <m:begChr m:val="("/>
                <m:endChr m:val=")"/>
              </m:dPr>
              <m:e>
                <m:r>
                  <m:rPr>
                    <m:lit/>
                    <m:nor/>
                  </m:rPr>
                  <w:rPr>
                    <w:rFonts w:ascii="Cambria Math" w:hAnsi="Cambria Math"/>
                  </w:rPr>
                  <m:t xml:space="preserve">shuffle</m:t>
                </m:r>
                <m:d>
                  <m:dPr>
                    <m:begChr m:val="("/>
                    <m:endChr m:val=")"/>
                  </m:dPr>
                  <m:e>
                    <m:r>
                      <w:rPr>
                        <w:rFonts w:ascii="Cambria Math" w:hAnsi="Cambria Math"/>
                      </w:rPr>
                      <m:t xml:space="preserve">S</m:t>
                    </m:r>
                  </m:e>
                </m:d>
              </m:e>
            </m:d>
          </m:e>
        </m:d>
      </m:oMath>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Here </w:t>
      </w:r>
      <w:r>
        <w:rPr/>
      </w:r>
      <m:oMath xmlns:m="http://schemas.openxmlformats.org/officeDocument/2006/math">
        <m:r>
          <w:rPr>
            <w:rFonts w:ascii="Cambria Math" w:hAnsi="Cambria Math"/>
          </w:rPr>
          <m:t xml:space="preserve">R</m:t>
        </m:r>
      </m:oMath>
      <w:r>
        <w:rPr>
          <w:rFonts w:cs="Times New Roman" w:ascii="Times New Roman" w:hAnsi="Times New Roman"/>
          <w:sz w:val="24"/>
          <w:szCs w:val="24"/>
          <w:lang w:val="en-US"/>
        </w:rPr>
        <w:t xml:space="preserve"> is the number of randomly shuffled samples, </w:t>
      </w: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S</m:t>
            </m:r>
          </m:e>
        </m:d>
      </m:oMath>
      <w:r>
        <w:rPr>
          <w:rFonts w:cs="Times New Roman" w:ascii="Times New Roman" w:hAnsi="Times New Roman"/>
          <w:sz w:val="24"/>
          <w:szCs w:val="24"/>
          <w:lang w:val="en-US"/>
        </w:rPr>
        <w:t xml:space="preserve"> is the TF-DNA binding probability that depends on </w:t>
      </w:r>
      <w:r>
        <w:rPr/>
      </w:r>
      <m:oMath xmlns:m="http://schemas.openxmlformats.org/officeDocument/2006/math">
        <m:r>
          <w:rPr>
            <w:rFonts w:ascii="Cambria Math" w:hAnsi="Cambria Math"/>
          </w:rPr>
          <m:t xml:space="preserve">w</m:t>
        </m:r>
      </m:oMath>
      <w:r>
        <w:rPr>
          <w:rFonts w:cs="Times New Roman" w:ascii="Times New Roman" w:hAnsi="Times New Roman"/>
          <w:sz w:val="24"/>
          <w:szCs w:val="24"/>
          <w:lang w:val="en-US"/>
        </w:rPr>
        <w:t xml:space="preserve"> and </w:t>
      </w:r>
      <w:r>
        <w:rPr/>
      </w:r>
      <m:oMath xmlns:m="http://schemas.openxmlformats.org/officeDocument/2006/math">
        <m:r>
          <w:rPr>
            <w:rFonts w:ascii="Cambria Math" w:hAnsi="Cambria Math"/>
          </w:rPr>
          <m:t xml:space="preserve">μ</m:t>
        </m:r>
      </m:oMath>
      <w:r>
        <w:rPr>
          <w:rFonts w:cs="Times New Roman" w:ascii="Times New Roman" w:hAnsi="Times New Roman"/>
          <w:sz w:val="24"/>
          <w:szCs w:val="24"/>
          <w:lang w:val="en-US"/>
        </w:rPr>
        <w:t xml:space="preserve">. </w:t>
      </w:r>
      <w:r>
        <w:rPr/>
      </w:r>
      <m:oMath xmlns:m="http://schemas.openxmlformats.org/officeDocument/2006/math">
        <m:r>
          <m:rPr>
            <m:lit/>
            <m:nor/>
          </m:rPr>
          <w:rPr>
            <w:rFonts w:ascii="Cambria Math" w:hAnsi="Cambria Math"/>
          </w:rPr>
          <m:t xml:space="preserve">shuffle</m:t>
        </m:r>
        <m:d>
          <m:dPr>
            <m:begChr m:val="("/>
            <m:endChr m:val=")"/>
          </m:dPr>
          <m:e>
            <m:r>
              <w:rPr>
                <w:rFonts w:ascii="Cambria Math" w:hAnsi="Cambria Math"/>
              </w:rPr>
              <m:t xml:space="preserve">S</m:t>
            </m:r>
          </m:e>
        </m:d>
      </m:oMath>
      <w:r>
        <w:rPr>
          <w:rFonts w:cs="Times New Roman" w:ascii="Times New Roman" w:hAnsi="Times New Roman"/>
          <w:sz w:val="24"/>
          <w:szCs w:val="24"/>
          <w:lang w:val="en-US"/>
        </w:rPr>
        <w:t xml:space="preserve"> is a function that randomly shuffles nucleotides in a sequence, and </w:t>
      </w:r>
      <w:r>
        <w:rPr/>
      </w:r>
      <m:oMath xmlns:m="http://schemas.openxmlformats.org/officeDocument/2006/math">
        <m:sSub>
          <m:e>
            <m:r>
              <m:rPr>
                <m:lit/>
                <m:nor/>
              </m:rPr>
              <w:rPr>
                <w:rFonts w:ascii="Cambria Math" w:hAnsi="Cambria Math"/>
              </w:rPr>
              <m:t xml:space="preserve">count</m:t>
            </m:r>
          </m:e>
          <m:sub>
            <m:r>
              <w:rPr>
                <w:rFonts w:ascii="Cambria Math" w:hAnsi="Cambria Math"/>
              </w:rPr>
              <m:t xml:space="preserve">R</m:t>
            </m:r>
          </m:sub>
        </m:sSub>
        <m:d>
          <m:dPr>
            <m:begChr m:val="["/>
            <m:endChr m:val="]"/>
          </m:dPr>
        </m:d>
      </m:oMath>
      <w:r>
        <w:rPr>
          <w:rFonts w:cs="Times New Roman" w:ascii="Times New Roman" w:hAnsi="Times New Roman"/>
          <w:sz w:val="24"/>
          <w:szCs w:val="24"/>
          <w:lang w:val="en-US"/>
        </w:rPr>
        <w:t xml:space="preserve"> is a function that counts how many times an argument is true in </w:t>
      </w:r>
      <w:r>
        <w:rPr/>
      </w:r>
      <m:oMath xmlns:m="http://schemas.openxmlformats.org/officeDocument/2006/math">
        <m:r>
          <w:rPr>
            <w:rFonts w:ascii="Cambria Math" w:hAnsi="Cambria Math"/>
          </w:rPr>
          <m:t xml:space="preserve">R</m:t>
        </m:r>
      </m:oMath>
      <w:r>
        <w:rPr>
          <w:rFonts w:cs="Times New Roman" w:ascii="Times New Roman" w:hAnsi="Times New Roman"/>
          <w:sz w:val="24"/>
          <w:szCs w:val="24"/>
          <w:lang w:val="en-US"/>
        </w:rPr>
        <w:t xml:space="preserve"> trials. It is assumed that the smaller the </w:t>
      </w:r>
      <w:r>
        <w:rPr/>
      </w:r>
      <m:oMath xmlns:m="http://schemas.openxmlformats.org/officeDocument/2006/math">
        <m:sSub>
          <m:e>
            <m:r>
              <w:rPr>
                <w:rFonts w:ascii="Cambria Math" w:hAnsi="Cambria Math"/>
              </w:rPr>
              <m:t xml:space="preserve">P</m:t>
            </m:r>
          </m:e>
          <m:sub>
            <m:r>
              <w:rPr>
                <w:rFonts w:ascii="Cambria Math" w:hAnsi="Cambria Math"/>
              </w:rPr>
              <m:t xml:space="preserve">dbA</m:t>
            </m:r>
          </m:sub>
        </m:sSub>
        <m:d>
          <m:dPr>
            <m:begChr m:val="("/>
            <m:endChr m:val=")"/>
          </m:dPr>
          <m:e>
            <m:sSub>
              <m:e>
                <m:r>
                  <w:rPr>
                    <w:rFonts w:ascii="Cambria Math" w:hAnsi="Cambria Math"/>
                  </w:rPr>
                  <m:t xml:space="preserve">S</m:t>
                </m:r>
              </m:e>
              <m:sub>
                <m:r>
                  <w:rPr>
                    <w:rFonts w:ascii="Cambria Math" w:hAnsi="Cambria Math"/>
                  </w:rPr>
                  <m:t xml:space="preserve">1</m:t>
                </m:r>
              </m:sub>
            </m:sSub>
            <m:r>
              <w:rPr>
                <w:rFonts w:ascii="Cambria Math" w:hAnsi="Cambria Math"/>
              </w:rPr>
              <m:t xml:space="preserve">,</m:t>
            </m:r>
            <m:r>
              <w:rPr>
                <w:rFonts w:ascii="Cambria Math" w:hAnsi="Cambria Math"/>
              </w:rPr>
              <m:t xml:space="preserve">R</m:t>
            </m:r>
          </m:e>
        </m:d>
      </m:oMath>
      <w:r>
        <w:rPr>
          <w:rFonts w:cs="Times New Roman" w:ascii="Times New Roman" w:hAnsi="Times New Roman"/>
          <w:sz w:val="24"/>
          <w:szCs w:val="24"/>
          <w:lang w:val="en-US"/>
        </w:rPr>
        <w:t xml:space="preserve"> the stronger the TF-DNA binding to sequence </w:t>
      </w:r>
      <w:r>
        <w:rPr/>
      </w:r>
      <m:oMath xmlns:m="http://schemas.openxmlformats.org/officeDocument/2006/math">
        <m:sSub>
          <m:e>
            <m:r>
              <w:rPr>
                <w:rFonts w:ascii="Cambria Math" w:hAnsi="Cambria Math"/>
              </w:rPr>
              <m:t xml:space="preserve">S</m:t>
            </m:r>
          </m:e>
          <m:sub>
            <m:r>
              <w:rPr>
                <w:rFonts w:ascii="Cambria Math" w:hAnsi="Cambria Math"/>
              </w:rPr>
              <m:t xml:space="preserve">1</m:t>
            </m:r>
          </m:sub>
        </m:sSub>
      </m:oMath>
      <w:r>
        <w:rPr>
          <w:rFonts w:cs="Times New Roman" w:ascii="Times New Roman" w:hAnsi="Times New Roman"/>
          <w:sz w:val="24"/>
          <w:szCs w:val="24"/>
          <w:lang w:val="en-US"/>
        </w:rPr>
        <w:t xml:space="preserve">. The </w:t>
      </w:r>
      <w:r>
        <w:rPr/>
      </w:r>
      <m:oMath xmlns:m="http://schemas.openxmlformats.org/officeDocument/2006/math">
        <m:r>
          <w:rPr>
            <w:rFonts w:ascii="Cambria Math" w:hAnsi="Cambria Math"/>
          </w:rPr>
          <m:t xml:space="preserve">dbA</m:t>
        </m:r>
        <m:d>
          <m:dPr>
            <m:begChr m:val="("/>
            <m:endChr m:val=")"/>
          </m:dPr>
          <m:e>
            <m:sSub>
              <m:e>
                <m:r>
                  <w:rPr>
                    <w:rFonts w:ascii="Cambria Math" w:hAnsi="Cambria Math"/>
                  </w:rPr>
                  <m:t xml:space="preserve">S</m:t>
                </m:r>
              </m:e>
              <m:sub>
                <m:r>
                  <w:rPr>
                    <w:rFonts w:ascii="Cambria Math" w:hAnsi="Cambria Math"/>
                  </w:rPr>
                  <m:t xml:space="preserve">1</m:t>
                </m:r>
              </m:sub>
            </m:sSub>
            <m:r>
              <w:rPr>
                <w:rFonts w:ascii="Cambria Math" w:hAnsi="Cambria Math"/>
              </w:rPr>
              <m:t xml:space="preserve">,</m:t>
            </m:r>
            <m:r>
              <w:rPr>
                <w:rFonts w:ascii="Cambria Math" w:hAnsi="Cambria Math"/>
              </w:rPr>
              <m:t xml:space="preserve">R</m:t>
            </m:r>
          </m:e>
        </m:d>
      </m:oMath>
      <w:r>
        <w:rPr>
          <w:rFonts w:cs="Times New Roman" w:ascii="Times New Roman" w:hAnsi="Times New Roman"/>
          <w:sz w:val="24"/>
          <w:szCs w:val="24"/>
          <w:lang w:val="en-US"/>
        </w:rPr>
        <w:t xml:space="preserve"> measures the strength of a TF-DNA binding when it is compared to that of the background model. </w:t>
      </w:r>
      <w:r>
        <w:rPr/>
      </w:r>
      <m:oMath xmlns:m="http://schemas.openxmlformats.org/officeDocument/2006/math">
        <m:r>
          <w:rPr>
            <w:rFonts w:ascii="Cambria Math" w:hAnsi="Cambria Math"/>
          </w:rPr>
          <m:t xml:space="preserve">R</m:t>
        </m:r>
      </m:oMath>
      <w:r>
        <w:rPr>
          <w:rFonts w:cs="Times New Roman" w:ascii="Times New Roman" w:hAnsi="Times New Roman"/>
          <w:sz w:val="24"/>
          <w:szCs w:val="24"/>
          <w:lang w:val="en-US"/>
        </w:rPr>
        <w:t xml:space="preserve"> controls the precision of estimations, which increases with increasing </w:t>
      </w:r>
      <w:r>
        <w:rPr/>
      </w:r>
      <m:oMath xmlns:m="http://schemas.openxmlformats.org/officeDocument/2006/math">
        <m:r>
          <w:rPr>
            <w:rFonts w:ascii="Cambria Math" w:hAnsi="Cambria Math"/>
          </w:rPr>
          <m:t xml:space="preserve">R</m:t>
        </m:r>
      </m:oMath>
      <w:r>
        <w:rPr>
          <w:rFonts w:cs="Times New Roman" w:ascii="Times New Roman" w:hAnsi="Times New Roman"/>
          <w:sz w:val="24"/>
          <w:szCs w:val="24"/>
          <w:lang w:val="en-US"/>
        </w:rPr>
        <w:t xml:space="preserve">. Usually,  </w:t>
      </w:r>
      <w:r>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10000</m:t>
        </m:r>
      </m:oMath>
      <w:r>
        <w:rPr>
          <w:rFonts w:cs="Times New Roman" w:ascii="Times New Roman" w:hAnsi="Times New Roman"/>
          <w:sz w:val="24"/>
          <w:szCs w:val="24"/>
          <w:lang w:val="en-US"/>
        </w:rPr>
        <w:t xml:space="preserve"> gives sufficient accuracy for the prediction.</w:t>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BayesPI-BAR computes an additional score, </w:t>
      </w:r>
      <w:r>
        <w:rPr>
          <w:rFonts w:cs="Times New Roman" w:ascii="Times New Roman" w:hAnsi="Times New Roman"/>
          <w:i/>
          <w:sz w:val="24"/>
          <w:szCs w:val="24"/>
          <w:lang w:val="en-US"/>
        </w:rPr>
        <w:t>shifted differential binding affinity</w:t>
      </w:r>
      <w:r>
        <w:rPr>
          <w:rFonts w:cs="Times New Roman" w:ascii="Times New Roman" w:hAnsi="Times New Roman"/>
          <w:sz w:val="24"/>
          <w:szCs w:val="24"/>
          <w:lang w:val="en-US"/>
        </w:rPr>
        <w:t xml:space="preserve"> (</w:t>
      </w:r>
      <w:r>
        <w:rPr/>
      </w:r>
      <m:oMath xmlns:m="http://schemas.openxmlformats.org/officeDocument/2006/math">
        <m:r>
          <w:rPr>
            <w:rFonts w:ascii="Cambria Math" w:hAnsi="Cambria Math"/>
          </w:rPr>
          <m:t xml:space="preserve">δdbA</m:t>
        </m:r>
      </m:oMath>
      <w:r>
        <w:rPr>
          <w:rFonts w:cs="Times New Roman" w:ascii="Times New Roman" w:hAnsi="Times New Roman"/>
          <w:sz w:val="24"/>
          <w:szCs w:val="24"/>
          <w:lang w:val="en-US"/>
        </w:rPr>
        <w:t>), for each sequence variant and TF:</w:t>
      </w:r>
    </w:p>
    <w:p>
      <w:pPr>
        <w:pStyle w:val="Normal"/>
        <w:spacing w:lineRule="auto" w:line="480"/>
        <w:jc w:val="both"/>
        <w:rPr>
          <w:rFonts w:ascii="Times New Roman" w:hAnsi="Times New Roman" w:cs="Times New Roman"/>
          <w:sz w:val="24"/>
          <w:szCs w:val="24"/>
        </w:rPr>
      </w:pPr>
      <w:r>
        <w:rPr/>
      </w:r>
      <m:oMath xmlns:m="http://schemas.openxmlformats.org/officeDocument/2006/math">
        <m:r>
          <w:rPr>
            <w:rFonts w:ascii="Cambria Math" w:hAnsi="Cambria Math"/>
          </w:rPr>
          <m:t xml:space="preserve">δdbA</m:t>
        </m:r>
        <m:d>
          <m:dPr>
            <m:begChr m:val="("/>
            <m:endChr m:val=")"/>
          </m:dPr>
          <m:e>
            <m:sSub>
              <m:e>
                <m:r>
                  <w:rPr>
                    <w:rFonts w:ascii="Cambria Math" w:hAnsi="Cambria Math"/>
                  </w:rPr>
                  <m:t xml:space="preserve">S</m:t>
                </m:r>
              </m:e>
              <m:sub>
                <m:r>
                  <w:rPr>
                    <w:rFonts w:ascii="Cambria Math" w:hAnsi="Cambria Math"/>
                  </w:rPr>
                  <m:t xml:space="preserve">ref</m:t>
                </m:r>
              </m:sub>
            </m:sSub>
            <m:r>
              <w:rPr>
                <w:rFonts w:ascii="Cambria Math" w:hAnsi="Cambria Math"/>
              </w:rPr>
              <m:t xml:space="preserve">,</m:t>
            </m:r>
            <m:sSub>
              <m:e>
                <m:r>
                  <w:rPr>
                    <w:rFonts w:ascii="Cambria Math" w:hAnsi="Cambria Math"/>
                  </w:rPr>
                  <m:t xml:space="preserve">S</m:t>
                </m:r>
              </m:e>
              <m:sub>
                <m:r>
                  <w:rPr>
                    <w:rFonts w:ascii="Cambria Math" w:hAnsi="Cambria Math"/>
                  </w:rPr>
                  <m:t xml:space="preserve">alt</m:t>
                </m:r>
              </m:sub>
            </m:sSub>
            <m:r>
              <w:rPr>
                <w:rFonts w:ascii="Cambria Math" w:hAnsi="Cambria Math"/>
              </w:rPr>
              <m:t xml:space="preserve">,</m:t>
            </m:r>
            <m:r>
              <w:rPr>
                <w:rFonts w:ascii="Cambria Math" w:hAnsi="Cambria Math"/>
              </w:rPr>
              <m:t xml:space="preserve">R</m:t>
            </m:r>
          </m:e>
        </m:d>
        <m:r>
          <w:rPr>
            <w:rFonts w:ascii="Cambria Math" w:hAnsi="Cambria Math"/>
          </w:rPr>
          <m:t xml:space="preserve">=</m:t>
        </m:r>
        <m:r>
          <w:rPr>
            <w:rFonts w:ascii="Cambria Math" w:hAnsi="Cambria Math"/>
          </w:rPr>
          <m:t xml:space="preserve">dbA</m:t>
        </m:r>
        <m:d>
          <m:dPr>
            <m:begChr m:val="("/>
            <m:endChr m:val=")"/>
          </m:dPr>
          <m:e>
            <m:sSub>
              <m:e>
                <m:r>
                  <w:rPr>
                    <w:rFonts w:ascii="Cambria Math" w:hAnsi="Cambria Math"/>
                  </w:rPr>
                  <m:t xml:space="preserve">S</m:t>
                </m:r>
              </m:e>
              <m:sub>
                <m:r>
                  <w:rPr>
                    <w:rFonts w:ascii="Cambria Math" w:hAnsi="Cambria Math"/>
                  </w:rPr>
                  <m:t xml:space="preserve">alt</m:t>
                </m:r>
              </m:sub>
            </m:sSub>
            <m:r>
              <w:rPr>
                <w:rFonts w:ascii="Cambria Math" w:hAnsi="Cambria Math"/>
              </w:rPr>
              <m:t xml:space="preserve">,</m:t>
            </m:r>
            <m:r>
              <w:rPr>
                <w:rFonts w:ascii="Cambria Math" w:hAnsi="Cambria Math"/>
              </w:rPr>
              <m:t xml:space="preserve">R</m:t>
            </m:r>
          </m:e>
        </m:d>
        <m:r>
          <w:rPr>
            <w:rFonts w:ascii="Cambria Math" w:hAnsi="Cambria Math"/>
          </w:rPr>
          <m:t xml:space="preserve">−</m:t>
        </m:r>
        <m:r>
          <w:rPr>
            <w:rFonts w:ascii="Cambria Math" w:hAnsi="Cambria Math"/>
          </w:rPr>
          <m:t xml:space="preserve">dbA</m:t>
        </m:r>
        <m:d>
          <m:dPr>
            <m:begChr m:val="("/>
            <m:endChr m:val=")"/>
          </m:dPr>
          <m:e>
            <m:sSub>
              <m:e>
                <m:r>
                  <w:rPr>
                    <w:rFonts w:ascii="Cambria Math" w:hAnsi="Cambria Math"/>
                  </w:rPr>
                  <m:t xml:space="preserve">S</m:t>
                </m:r>
              </m:e>
              <m:sub>
                <m:r>
                  <w:rPr>
                    <w:rFonts w:ascii="Cambria Math" w:hAnsi="Cambria Math"/>
                  </w:rPr>
                  <m:t xml:space="preserve">ref</m:t>
                </m:r>
              </m:sub>
            </m:sSub>
            <m:r>
              <w:rPr>
                <w:rFonts w:ascii="Cambria Math" w:hAnsi="Cambria Math"/>
              </w:rPr>
              <m:t xml:space="preserve">,</m:t>
            </m:r>
            <m:r>
              <w:rPr>
                <w:rFonts w:ascii="Cambria Math" w:hAnsi="Cambria Math"/>
              </w:rPr>
              <m:t xml:space="preserve">R</m:t>
            </m:r>
          </m:e>
        </m:d>
      </m:oMath>
    </w:p>
    <w:p>
      <w:pPr>
        <w:pStyle w:val="Normal"/>
        <w:spacing w:lineRule="auto" w:line="480"/>
        <w:jc w:val="both"/>
        <w:rPr>
          <w:rFonts w:ascii="Times New Roman" w:hAnsi="Times New Roman" w:cs="Times New Roman"/>
          <w:sz w:val="24"/>
          <w:szCs w:val="24"/>
          <w:lang w:val="en-US"/>
        </w:rPr>
      </w:pPr>
      <w:r>
        <w:rPr/>
      </w:r>
      <m:oMath xmlns:m="http://schemas.openxmlformats.org/officeDocument/2006/math">
        <m:sSub>
          <m:e>
            <m:r>
              <w:rPr>
                <w:rFonts w:ascii="Cambria Math" w:hAnsi="Cambria Math"/>
              </w:rPr>
              <m:t xml:space="preserve">S</m:t>
            </m:r>
          </m:e>
          <m:sub>
            <m:r>
              <w:rPr>
                <w:rFonts w:ascii="Cambria Math" w:hAnsi="Cambria Math"/>
              </w:rPr>
              <m:t xml:space="preserve">ref</m:t>
            </m:r>
          </m:sub>
        </m:sSub>
      </m:oMath>
      <w:r>
        <w:rPr>
          <w:rFonts w:cs="Times New Roman" w:ascii="Times New Roman" w:hAnsi="Times New Roman"/>
          <w:sz w:val="24"/>
          <w:szCs w:val="24"/>
          <w:lang w:val="en-US"/>
        </w:rPr>
        <w:t xml:space="preserve">, </w:t>
      </w:r>
      <w:r>
        <w:rPr/>
      </w:r>
      <m:oMath xmlns:m="http://schemas.openxmlformats.org/officeDocument/2006/math">
        <m:sSub>
          <m:e>
            <m:r>
              <w:rPr>
                <w:rFonts w:ascii="Cambria Math" w:hAnsi="Cambria Math"/>
              </w:rPr>
              <m:t xml:space="preserve">S</m:t>
            </m:r>
          </m:e>
          <m:sub>
            <m:r>
              <w:rPr>
                <w:rFonts w:ascii="Cambria Math" w:hAnsi="Cambria Math"/>
              </w:rPr>
              <m:t xml:space="preserve">alt</m:t>
            </m:r>
          </m:sub>
        </m:sSub>
      </m:oMath>
      <w:r>
        <w:rPr>
          <w:rFonts w:cs="Times New Roman" w:ascii="Times New Roman" w:hAnsi="Times New Roman"/>
          <w:sz w:val="24"/>
          <w:szCs w:val="24"/>
          <w:lang w:val="en-US"/>
        </w:rPr>
        <w:t xml:space="preserve"> represent the reference and alternate sequences, respectively. Here, if any </w:t>
      </w:r>
      <w:r>
        <w:rPr/>
      </w:r>
      <m:oMath xmlns:m="http://schemas.openxmlformats.org/officeDocument/2006/math">
        <m:sSub>
          <m:e>
            <m:r>
              <w:rPr>
                <w:rFonts w:ascii="Cambria Math" w:hAnsi="Cambria Math"/>
              </w:rPr>
              <m:t xml:space="preserve">P</m:t>
            </m:r>
          </m:e>
          <m:sub>
            <m:r>
              <w:rPr>
                <w:rFonts w:ascii="Cambria Math" w:hAnsi="Cambria Math"/>
              </w:rPr>
              <m:t xml:space="preserve">dbA</m:t>
            </m:r>
          </m:sub>
        </m:sSub>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R</m:t>
            </m:r>
          </m:e>
        </m:d>
        <m:r>
          <w:rPr>
            <w:rFonts w:ascii="Cambria Math" w:hAnsi="Cambria Math"/>
          </w:rPr>
          <m:t xml:space="preserve">&lt;</m:t>
        </m:r>
        <m:r>
          <w:rPr>
            <w:rFonts w:ascii="Cambria Math" w:hAnsi="Cambria Math"/>
          </w:rPr>
          <m:t xml:space="preserve">0.1</m:t>
        </m:r>
      </m:oMath>
      <w:r>
        <w:rPr>
          <w:rFonts w:cs="Times New Roman" w:ascii="Times New Roman" w:hAnsi="Times New Roman"/>
          <w:sz w:val="24"/>
          <w:szCs w:val="24"/>
          <w:lang w:val="en-US"/>
        </w:rPr>
        <w:t xml:space="preserve"> then the corresponding  </w:t>
      </w:r>
      <w:r>
        <w:rPr/>
      </w:r>
      <m:oMath xmlns:m="http://schemas.openxmlformats.org/officeDocument/2006/math">
        <m:r>
          <w:rPr>
            <w:rFonts w:ascii="Cambria Math" w:hAnsi="Cambria Math"/>
          </w:rPr>
          <m:t xml:space="preserve">dbA</m:t>
        </m:r>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R</m:t>
            </m:r>
          </m:e>
        </m:d>
      </m:oMath>
      <w:r>
        <w:rPr>
          <w:rFonts w:cs="Times New Roman" w:ascii="Times New Roman" w:hAnsi="Times New Roman"/>
          <w:sz w:val="24"/>
          <w:szCs w:val="24"/>
          <w:lang w:val="en-US"/>
        </w:rPr>
        <w:t xml:space="preserve"> will be replaced by </w:t>
      </w:r>
      <w:r>
        <w:rPr/>
      </w:r>
      <m:oMath xmlns:m="http://schemas.openxmlformats.org/officeDocument/2006/math">
        <m:r>
          <w:rPr>
            <w:rFonts w:ascii="Cambria Math" w:hAnsi="Cambria Math"/>
          </w:rPr>
          <m:t xml:space="preserve">0</m:t>
        </m:r>
      </m:oMath>
      <w:r>
        <w:rPr>
          <w:rFonts w:cs="Times New Roman" w:ascii="Times New Roman" w:hAnsi="Times New Roman"/>
          <w:sz w:val="24"/>
          <w:szCs w:val="24"/>
          <w:lang w:val="en-US"/>
        </w:rPr>
        <w:t xml:space="preserve">. Negative </w:t>
      </w:r>
      <w:r>
        <w:rPr/>
      </w:r>
      <m:oMath xmlns:m="http://schemas.openxmlformats.org/officeDocument/2006/math">
        <m:r>
          <w:rPr>
            <w:rFonts w:ascii="Cambria Math" w:hAnsi="Cambria Math"/>
          </w:rPr>
          <m:t xml:space="preserve">dbA</m:t>
        </m:r>
      </m:oMath>
      <w:r>
        <w:rPr>
          <w:rFonts w:cs="Times New Roman" w:ascii="Times New Roman" w:hAnsi="Times New Roman"/>
          <w:sz w:val="24"/>
          <w:szCs w:val="24"/>
          <w:lang w:val="en-US"/>
        </w:rPr>
        <w:t xml:space="preserve"> values are also replaced by </w:t>
      </w:r>
      <w:r>
        <w:rPr/>
      </w:r>
      <m:oMath xmlns:m="http://schemas.openxmlformats.org/officeDocument/2006/math">
        <m:r>
          <w:rPr>
            <w:rFonts w:ascii="Cambria Math" w:hAnsi="Cambria Math"/>
          </w:rPr>
          <m:t xml:space="preserve">0</m:t>
        </m:r>
      </m:oMath>
      <w:r>
        <w:rPr>
          <w:rFonts w:cs="Times New Roman" w:ascii="Times New Roman" w:hAnsi="Times New Roman"/>
          <w:sz w:val="24"/>
          <w:szCs w:val="24"/>
          <w:lang w:val="en-US"/>
        </w:rPr>
        <w:t xml:space="preserve"> because no binding for background sequences is assumed. </w:t>
      </w:r>
      <w:r>
        <w:rPr/>
      </w:r>
      <m:oMath xmlns:m="http://schemas.openxmlformats.org/officeDocument/2006/math">
        <m:r>
          <w:rPr>
            <w:rFonts w:ascii="Cambria Math" w:hAnsi="Cambria Math"/>
          </w:rPr>
          <m:t xml:space="preserve">δdbA</m:t>
        </m:r>
      </m:oMath>
      <w:r>
        <w:rPr>
          <w:rFonts w:cs="Times New Roman" w:ascii="Times New Roman" w:hAnsi="Times New Roman"/>
          <w:sz w:val="24"/>
          <w:szCs w:val="24"/>
          <w:lang w:val="en-US"/>
        </w:rPr>
        <w:t xml:space="preserve"> measures the difference between the reference and the alternate sequences. There can be altogether three different scenarios in calculation of shifted differential binding affinity, with each case inferring a different result. In first case, if  </w:t>
      </w:r>
      <w:r>
        <w:rPr/>
      </w:r>
      <m:oMath xmlns:m="http://schemas.openxmlformats.org/officeDocument/2006/math">
        <m:r>
          <w:rPr>
            <w:rFonts w:ascii="Cambria Math" w:hAnsi="Cambria Math"/>
          </w:rPr>
          <m:t xml:space="preserve">δdbA</m:t>
        </m:r>
        <m:r>
          <w:rPr>
            <w:rFonts w:ascii="Cambria Math" w:hAnsi="Cambria Math"/>
          </w:rPr>
          <m:t xml:space="preserve">&gt;</m:t>
        </m:r>
        <m:r>
          <w:rPr>
            <w:rFonts w:ascii="Cambria Math" w:hAnsi="Cambria Math"/>
          </w:rPr>
          <m:t xml:space="preserve">0</m:t>
        </m:r>
      </m:oMath>
      <w:r>
        <w:rPr>
          <w:rFonts w:cs="Times New Roman" w:ascii="Times New Roman" w:hAnsi="Times New Roman"/>
          <w:sz w:val="24"/>
          <w:szCs w:val="24"/>
          <w:lang w:val="en-US"/>
        </w:rPr>
        <w:t xml:space="preserve">, then there is an increase in binding affinity of the alternate sequence as compared to that of the reference sequence. In other words, it may indicate creation of a new binding site for the TF or an increasing binding affinity for an existing weak binding site. In second case, if </w:t>
      </w:r>
      <w:r>
        <w:rPr/>
      </w:r>
      <m:oMath xmlns:m="http://schemas.openxmlformats.org/officeDocument/2006/math">
        <m:r>
          <w:rPr>
            <w:rFonts w:ascii="Cambria Math" w:hAnsi="Cambria Math"/>
          </w:rPr>
          <m:t xml:space="preserve">δdbA</m:t>
        </m:r>
        <m:r>
          <w:rPr>
            <w:rFonts w:ascii="Cambria Math" w:hAnsi="Cambria Math"/>
          </w:rPr>
          <m:t xml:space="preserve">&lt;</m:t>
        </m:r>
        <m:r>
          <w:rPr>
            <w:rFonts w:ascii="Cambria Math" w:hAnsi="Cambria Math"/>
          </w:rPr>
          <m:t xml:space="preserve">0</m:t>
        </m:r>
      </m:oMath>
      <w:r>
        <w:rPr>
          <w:rFonts w:cs="Times New Roman" w:ascii="Times New Roman" w:hAnsi="Times New Roman"/>
          <w:sz w:val="24"/>
          <w:szCs w:val="24"/>
          <w:lang w:val="en-US"/>
        </w:rPr>
        <w:t xml:space="preserve">, then an existing binding site is disrupted or destroyed by the variant. In third case, if both reference and alternate </w:t>
      </w:r>
      <w:r>
        <w:rPr/>
      </w:r>
      <m:oMath xmlns:m="http://schemas.openxmlformats.org/officeDocument/2006/math">
        <m:r>
          <w:rPr>
            <w:rFonts w:ascii="Cambria Math" w:hAnsi="Cambria Math"/>
          </w:rPr>
          <m:t xml:space="preserve">dbA</m:t>
        </m:r>
      </m:oMath>
      <w:r>
        <w:rPr>
          <w:rFonts w:cs="Times New Roman" w:ascii="Times New Roman" w:hAnsi="Times New Roman"/>
          <w:sz w:val="24"/>
          <w:szCs w:val="24"/>
          <w:lang w:val="en-US"/>
        </w:rPr>
        <w:t xml:space="preserve"> are zero then </w:t>
      </w:r>
      <w:r>
        <w:rPr/>
      </w:r>
      <m:oMath xmlns:m="http://schemas.openxmlformats.org/officeDocument/2006/math">
        <m:r>
          <w:rPr>
            <w:rFonts w:ascii="Cambria Math" w:hAnsi="Cambria Math"/>
          </w:rPr>
          <m:t xml:space="preserve">δdbA</m:t>
        </m:r>
      </m:oMath>
      <w:r>
        <w:rPr>
          <w:rFonts w:cs="Times New Roman" w:ascii="Times New Roman" w:hAnsi="Times New Roman"/>
          <w:sz w:val="24"/>
          <w:szCs w:val="24"/>
          <w:lang w:val="en-US"/>
        </w:rPr>
        <w:t xml:space="preserve"> will also be zero, which means the sequence variant does not have an impact on TF binding affinity. In the new package, BayesPI-BAR is reimplemented in Python with an efficient parallel computation algorithm instead of original slow R scripts.</w:t>
      </w:r>
    </w:p>
    <w:p>
      <w:pPr>
        <w:pStyle w:val="Normal"/>
        <w:jc w:val="both"/>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 xml:space="preserve"> </w:t>
      </w:r>
    </w:p>
    <w:p>
      <w:pPr>
        <w:pStyle w:val="Normal"/>
        <w:jc w:val="both"/>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2. BayesPI-BAR2 Package architecture</w:t>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BayesPI-BAR2 package contains a set of command line tools written in Python 2, which can be executed manually step by step. Alternatively, the whole pipeline can be executed automatically by a script </w:t>
      </w:r>
      <w:r>
        <w:rPr>
          <w:rFonts w:cs="Times New Roman" w:ascii="Times New Roman" w:hAnsi="Times New Roman"/>
          <w:i/>
          <w:sz w:val="24"/>
          <w:szCs w:val="24"/>
          <w:lang w:val="en-US"/>
        </w:rPr>
        <w:t>bayespi_bar2_pipeline.py</w:t>
      </w:r>
      <w:r>
        <w:rPr>
          <w:rFonts w:cs="Times New Roman" w:ascii="Times New Roman" w:hAnsi="Times New Roman"/>
          <w:sz w:val="24"/>
          <w:szCs w:val="24"/>
          <w:lang w:val="en-US"/>
        </w:rPr>
        <w:t>. The package reads files with simple text-based tab separated value (TSV) format. Each command line tool corresponds to a step of the pipeline that is described in Materials and Methods section. It runs in following order:</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differential_expression.py</w:t>
      </w:r>
      <w:r>
        <w:rPr>
          <w:rFonts w:cs="Times New Roman" w:ascii="Times New Roman" w:hAnsi="Times New Roman"/>
          <w:sz w:val="24"/>
          <w:szCs w:val="24"/>
          <w:lang w:val="en-US"/>
        </w:rPr>
        <w:t>: identifying a set of differentially expressed genes. Input: two sets of RNA-Seq gene expression data files, one for patients and the other for normal controls; the length of each gene in the reference genome must be provided. Output: a list of differentially expressed genes.</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gene_regions.py</w:t>
      </w:r>
      <w:r>
        <w:rPr>
          <w:rFonts w:cs="Times New Roman" w:ascii="Times New Roman" w:hAnsi="Times New Roman"/>
          <w:sz w:val="24"/>
          <w:szCs w:val="24"/>
          <w:lang w:val="en-US"/>
        </w:rPr>
        <w:t>: selecting DNA regions near TSS of differentially expressed genes. Input: a list of differentially expressed genes and a gene annotation file (GTF format). Output: a BED file with selected regions of interest.</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mussd.py</w:t>
      </w:r>
      <w:r>
        <w:rPr>
          <w:rFonts w:cs="Times New Roman" w:ascii="Times New Roman" w:hAnsi="Times New Roman"/>
          <w:sz w:val="24"/>
          <w:szCs w:val="24"/>
          <w:lang w:val="en-US"/>
        </w:rPr>
        <w:t>: running MuSSD algorithm to find patient mutation hot regions. Input: a Variant Call Format (VCF) file with somatic mutations for each patient, reference genome, regions of interest from the step 2. Optionally, VCF files with germline variants can be provided as well, in which case they will be used to generate personal reference sequences for every patient. Output: text files with the information of patient mutation blocks; for each patient mutation block, it creates a BED file which contains mutation location, a FASTA file with reference sequence, a FASTA file with mutated alternate sequences of each patient, and a TSV file listing all mutations in the block; finally, a summary information of all blocks, mutations, and patients.</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highly_mutated_blocks.py</w:t>
      </w:r>
      <w:r>
        <w:rPr>
          <w:rFonts w:cs="Times New Roman" w:ascii="Times New Roman" w:hAnsi="Times New Roman"/>
          <w:sz w:val="24"/>
          <w:szCs w:val="24"/>
          <w:lang w:val="en-US"/>
        </w:rPr>
        <w:t>: identifying significantly mutated patient mutation blocks based on random expectation by chance. This is an additional filter if there are too many patient mutation blocks recovered by MuSSD. Input: results from step 3. Output: a name list of highly mutated patient mutation blocks.</w:t>
      </w:r>
    </w:p>
    <w:p>
      <w:pPr>
        <w:pStyle w:val="ListParagraph"/>
        <w:numPr>
          <w:ilvl w:val="0"/>
          <w:numId w:val="1"/>
        </w:numPr>
        <w:spacing w:lineRule="auto" w:line="480"/>
        <w:jc w:val="both"/>
        <w:rPr/>
      </w:pPr>
      <w:r>
        <w:rPr>
          <w:rFonts w:cs="Times New Roman" w:ascii="Times New Roman" w:hAnsi="Times New Roman"/>
          <w:i/>
          <w:sz w:val="24"/>
          <w:szCs w:val="24"/>
          <w:lang w:val="en-US"/>
        </w:rPr>
        <w:t>bayespi_bar.py</w:t>
      </w:r>
      <w:r>
        <w:rPr>
          <w:rFonts w:cs="Times New Roman" w:ascii="Times New Roman" w:hAnsi="Times New Roman"/>
          <w:sz w:val="24"/>
          <w:szCs w:val="24"/>
          <w:lang w:val="en-US"/>
        </w:rPr>
        <w:t xml:space="preserve">: a new implementation of BayesPI-BAR algorithm. Input:  reference/alternate sequence pairs (a pair of FASTA files); a set of position weight </w:t>
      </w:r>
      <w:r>
        <w:rPr>
          <w:rFonts w:cs="Times New Roman" w:ascii="Times New Roman" w:hAnsi="Times New Roman"/>
          <w:sz w:val="24"/>
          <w:szCs w:val="24"/>
          <w:lang w:val="en-US"/>
        </w:rPr>
        <w:t>matrices</w:t>
      </w:r>
      <w:r>
        <w:rPr>
          <w:rFonts w:cs="Times New Roman" w:ascii="Times New Roman" w:hAnsi="Times New Roman"/>
          <w:sz w:val="24"/>
          <w:szCs w:val="24"/>
          <w:lang w:val="en-US"/>
        </w:rPr>
        <w:t xml:space="preserve"> (PWMs) for TFs of interest (a default set of 1772 PWMs from </w:t>
      </w:r>
      <w:r>
        <w:fldChar w:fldCharType="begin"/>
      </w:r>
      <w:r>
        <w:rPr/>
        <w:instrText>ADDIN EN.CITE &lt;EndNote&gt;&lt;Cite&gt;&lt;Author&gt;Kheradpour&lt;/Author&gt;&lt;Year&gt;2014&lt;/Year&gt;&lt;RecNum&gt;14&lt;/RecNum&gt;&lt;DisplayText&gt;(Kheradpour and Kellis, 2014)&lt;/DisplayText&gt;&lt;record&gt;&lt;rec-number&gt;14&lt;/rec-number&gt;&lt;foreign-keys&gt;&lt;key app="EN" db-id="xaxefptwrz5e2sea9ed50peitvee5z9t0fed"&gt;14&lt;/key&gt;&lt;/foreign-keys&gt;&lt;ref-type name="Journal Article"&gt;17&lt;/ref-type&gt;&lt;contributors&gt;&lt;authors&gt;&lt;author&gt;Kheradpour, P.&lt;/author&gt;&lt;author&gt;Kellis, M.&lt;/author&gt;&lt;/authors&gt;&lt;/contributors&gt;&lt;auth-address&gt;Computer Science and Artificial Intelligence Laboratory, Massachusetts Institute of Technology, 32 Vassar St, Cambridge, MA 02139, USA and Broad Institute of MIT and Harvard, 7 Cambridge Center, Cambridge, MA 02139, USA.&lt;/auth-address&gt;&lt;titles&gt;&lt;title&gt;Systematic discovery and characterization of regulatory motifs in ENCODE TF binding experiments&lt;/title&gt;&lt;secondary-title&gt;Nucleic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research&lt;/abbr-1&gt;&lt;/alt-periodical&gt;&lt;pages&gt;2976-87&lt;/pages&gt;&lt;volume&gt;42&lt;/volume&gt;&lt;number&gt;5&lt;/number&gt;&lt;keywords&gt;&lt;keyword&gt;Binding Sites&lt;/keyword&gt;&lt;keyword&gt;Cell Line&lt;/keyword&gt;&lt;keyword&gt;Chromatin Immunoprecipitation&lt;/keyword&gt;&lt;keyword&gt;Evolution, Molecular&lt;/keyword&gt;&lt;keyword&gt;Humans&lt;/keyword&gt;&lt;keyword&gt;Nucleotide Motifs&lt;/keyword&gt;&lt;keyword&gt;*Regulatory Elements, Transcriptional&lt;/keyword&gt;&lt;keyword&gt;Sequence Analysis, DNA&lt;/keyword&gt;&lt;keyword&gt;Transcription Factors/*metabolism&lt;/keyword&gt;&lt;/keywords&gt;&lt;dates&gt;&lt;year&gt;2014&lt;/year&gt;&lt;pub-dates&gt;&lt;date&gt;Mar&lt;/date&gt;&lt;/pub-dates&gt;&lt;/dates&gt;&lt;isbn&gt;1362-4962 (Electronic)&amp;#xD;0305-1048 (Linking)&lt;/isbn&gt;&lt;accession-num&gt;24335146&lt;/accession-num&gt;&lt;urls&gt;&lt;related-urls&gt;&lt;url&gt;http://www.ncbi.nlm.nih.gov/pubmed/24335146&lt;/url&gt;&lt;/related-urls&gt;&lt;/urls&gt;&lt;custom2&gt;3950668&lt;/custom2&gt;&lt;electronic-resource-num&gt;10.1093/nar/gkt1249&lt;/electronic-resource-num&gt;&lt;language&gt;eng&lt;/language&gt;&lt;/record&gt;&lt;/Cite&gt;&lt;/EndNote&gt;</w:instrText>
      </w:r>
      <w:r>
        <w:rPr/>
        <w:fldChar w:fldCharType="separate"/>
      </w:r>
      <w:bookmarkStart w:id="4" w:name="__Fieldmark__137_90149830"/>
      <w:r>
        <w:rPr/>
      </w:r>
      <w:r>
        <w:rPr>
          <w:rFonts w:cs="Times New Roman" w:ascii="Times New Roman" w:hAnsi="Times New Roman"/>
          <w:sz w:val="24"/>
          <w:szCs w:val="24"/>
          <w:lang w:val="en-US"/>
        </w:rPr>
        <w:t>(</w:t>
      </w:r>
      <w:bookmarkStart w:id="5" w:name="__Fieldmark__6594_1974059121"/>
      <w:r>
        <w:rPr>
          <w:rFonts w:cs="Times New Roman" w:ascii="Times New Roman" w:hAnsi="Times New Roman"/>
          <w:sz w:val="24"/>
          <w:szCs w:val="24"/>
          <w:lang w:val="en-US"/>
        </w:rPr>
        <w:t>Kheradpour and Kellis, 2014)</w:t>
      </w:r>
      <w:r>
        <w:rPr/>
      </w:r>
      <w:r>
        <w:rPr/>
        <w:fldChar w:fldCharType="end"/>
      </w:r>
      <w:hyperlink w:anchor="_ENREF_1" w:tgtFrame="Kheradpour, 2014 #14">
        <w:bookmarkEnd w:id="4"/>
        <w:bookmarkEnd w:id="5"/>
        <w:r>
          <w:rPr>
            <w:rStyle w:val="ListLabel4"/>
            <w:rFonts w:cs="Times New Roman" w:ascii="Times New Roman" w:hAnsi="Times New Roman"/>
            <w:sz w:val="24"/>
            <w:szCs w:val="24"/>
            <w:lang w:val="en-US"/>
          </w:rPr>
          <w:t xml:space="preserve"> is included in the package), which are in BayesPI MLP format. Output: a table of </w:t>
        </w:r>
        <w:r>
          <w:rPr/>
        </w:r>
        <m:oMath xmlns:m="http://schemas.openxmlformats.org/officeDocument/2006/math">
          <m:r>
            <w:rPr>
              <w:rFonts w:ascii="Cambria Math" w:hAnsi="Cambria Math"/>
            </w:rPr>
            <m:t xml:space="preserve">δdbA</m:t>
          </m:r>
        </m:oMath>
      </w:hyperlink>
      <w:r>
        <w:rPr>
          <w:rFonts w:cs="Times New Roman" w:ascii="Times New Roman" w:hAnsi="Times New Roman"/>
          <w:sz w:val="24"/>
          <w:szCs w:val="24"/>
          <w:lang w:val="en-US"/>
        </w:rPr>
        <w:t xml:space="preserve"> scores for each PWM in every patient-specific mutation block. </w:t>
      </w:r>
    </w:p>
    <w:p>
      <w:pPr>
        <w:pStyle w:val="ListParagraph"/>
        <w:numPr>
          <w:ilvl w:val="0"/>
          <w:numId w:val="1"/>
        </w:numPr>
        <w:spacing w:lineRule="auto" w:line="480"/>
        <w:jc w:val="both"/>
        <w:rPr/>
      </w:pPr>
      <w:r>
        <w:rPr>
          <w:rFonts w:cs="Times New Roman" w:ascii="Times New Roman" w:hAnsi="Times New Roman"/>
          <w:i/>
          <w:sz w:val="24"/>
          <w:szCs w:val="24"/>
          <w:lang w:val="en-US"/>
        </w:rPr>
        <w:t>choose_background_parameters.py</w:t>
      </w:r>
      <w:r>
        <w:rPr>
          <w:rFonts w:cs="Times New Roman" w:ascii="Times New Roman" w:hAnsi="Times New Roman"/>
          <w:sz w:val="24"/>
          <w:szCs w:val="24"/>
          <w:lang w:val="en-US"/>
        </w:rPr>
        <w:t xml:space="preserve">: computing background mutation model. Input: results from </w:t>
      </w:r>
      <w:r>
        <w:rPr>
          <w:rFonts w:cs="Times New Roman" w:ascii="Times New Roman" w:hAnsi="Times New Roman"/>
          <w:i/>
          <w:sz w:val="24"/>
          <w:szCs w:val="24"/>
          <w:lang w:val="en-US"/>
        </w:rPr>
        <w:t>mussd.py</w:t>
      </w:r>
      <w:r>
        <w:rPr>
          <w:rFonts w:cs="Times New Roman" w:ascii="Times New Roman" w:hAnsi="Times New Roman"/>
          <w:sz w:val="24"/>
          <w:szCs w:val="24"/>
          <w:lang w:val="en-US"/>
        </w:rPr>
        <w:t xml:space="preserve">, the regions of interest, the reference genome, and a set of PWMs that was used in step 5. Optionally, a mutation signature file can be provided, which specifies the probability for mutations in each possible k-mer. If it is provided, the background mutations will be generated according to the given probability distribution; otherwise all possible mutations will have equal probabilities. Another option for background generation is to directly provide a set of background mutations, which normally will be derived from tumor samples. If these mutations are given, they will be randomly sampled to generate background mutation blocks. Only mutations located inside regions of interest are used. Output: creates a shell script that calls </w:t>
      </w:r>
      <w:r>
        <w:rPr>
          <w:rFonts w:cs="Times New Roman" w:ascii="Times New Roman" w:hAnsi="Times New Roman"/>
          <w:i/>
          <w:sz w:val="24"/>
          <w:szCs w:val="24"/>
          <w:lang w:val="en-US"/>
        </w:rPr>
        <w:t>bayespi_bar.py</w:t>
      </w:r>
      <w:r>
        <w:rPr>
          <w:rFonts w:cs="Times New Roman" w:ascii="Times New Roman" w:hAnsi="Times New Roman"/>
          <w:sz w:val="24"/>
          <w:szCs w:val="24"/>
          <w:lang w:val="en-US"/>
        </w:rPr>
        <w:t xml:space="preserve"> to compute </w:t>
      </w:r>
      <w:r>
        <w:rPr/>
      </w:r>
      <m:oMath xmlns:m="http://schemas.openxmlformats.org/officeDocument/2006/math">
        <m:r>
          <w:rPr>
            <w:rFonts w:ascii="Cambria Math" w:hAnsi="Cambria Math"/>
          </w:rPr>
          <m:t xml:space="preserve">δdbA</m:t>
        </m:r>
      </m:oMath>
      <w:r>
        <w:rPr>
          <w:rFonts w:cs="Times New Roman" w:ascii="Times New Roman" w:hAnsi="Times New Roman"/>
          <w:sz w:val="24"/>
          <w:szCs w:val="24"/>
          <w:lang w:val="en-US"/>
        </w:rPr>
        <w:t xml:space="preserve"> scores in random background model; after executing the shell script, a table of </w:t>
      </w:r>
      <w:r>
        <w:rPr/>
      </w:r>
      <m:oMath xmlns:m="http://schemas.openxmlformats.org/officeDocument/2006/math">
        <m:r>
          <w:rPr>
            <w:rFonts w:ascii="Cambria Math" w:hAnsi="Cambria Math"/>
          </w:rPr>
          <m:t xml:space="preserve">δdbA</m:t>
        </m:r>
      </m:oMath>
      <w:r>
        <w:rPr>
          <w:rFonts w:cs="Times New Roman" w:ascii="Times New Roman" w:hAnsi="Times New Roman"/>
          <w:sz w:val="24"/>
          <w:szCs w:val="24"/>
          <w:lang w:val="en-US"/>
        </w:rPr>
        <w:t xml:space="preserve"> scores for each PWM in background model is produced.</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affinity_change_significance_test.py</w:t>
      </w:r>
      <w:r>
        <w:rPr>
          <w:rFonts w:cs="Times New Roman" w:ascii="Times New Roman" w:hAnsi="Times New Roman"/>
          <w:sz w:val="24"/>
          <w:szCs w:val="24"/>
          <w:lang w:val="en-US"/>
        </w:rPr>
        <w:t xml:space="preserve">: testing significance of TF binding affinity changes between the patient blocks and the background mutation model. Input: a pair of </w:t>
      </w:r>
      <w:r>
        <w:rPr>
          <w:rFonts w:cs="Times New Roman" w:ascii="Times New Roman" w:hAnsi="Times New Roman"/>
          <w:i/>
          <w:sz w:val="24"/>
          <w:szCs w:val="24"/>
          <w:lang w:val="en-US"/>
        </w:rPr>
        <w:t>bayespi_bar.py</w:t>
      </w:r>
      <w:r>
        <w:rPr>
          <w:rFonts w:cs="Times New Roman" w:ascii="Times New Roman" w:hAnsi="Times New Roman"/>
          <w:sz w:val="24"/>
          <w:szCs w:val="24"/>
          <w:lang w:val="en-US"/>
        </w:rPr>
        <w:t xml:space="preserve"> results (one for a patient mutation block, and the other for a background model). Output: a TSV file containing a table of significantly affected TFs in the patient block.</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filter_results_by_gene_expression.py</w:t>
      </w:r>
      <w:r>
        <w:rPr>
          <w:rFonts w:cs="Times New Roman" w:ascii="Times New Roman" w:hAnsi="Times New Roman"/>
          <w:sz w:val="24"/>
          <w:szCs w:val="24"/>
          <w:lang w:val="en-US"/>
        </w:rPr>
        <w:t>: removing predicted TFs with very low gene expression. Input: a table of significantly affected TFs and their gene expression file. Output: a table of remaining TFs after the filtration.</w:t>
      </w:r>
    </w:p>
    <w:p>
      <w:pPr>
        <w:pStyle w:val="ListParagraph"/>
        <w:numPr>
          <w:ilvl w:val="0"/>
          <w:numId w:val="1"/>
        </w:numPr>
        <w:spacing w:lineRule="auto" w:line="480"/>
        <w:jc w:val="both"/>
        <w:rPr>
          <w:rFonts w:ascii="Times New Roman" w:hAnsi="Times New Roman" w:cs="Times New Roman"/>
          <w:i/>
          <w:i/>
          <w:sz w:val="24"/>
          <w:szCs w:val="24"/>
          <w:lang w:val="en-US"/>
        </w:rPr>
      </w:pPr>
      <w:r>
        <w:rPr>
          <w:rFonts w:cs="Times New Roman" w:ascii="Times New Roman" w:hAnsi="Times New Roman"/>
          <w:i/>
          <w:sz w:val="24"/>
          <w:szCs w:val="24"/>
          <w:lang w:val="en-US"/>
        </w:rPr>
        <w:t>plot_result.py</w:t>
      </w:r>
      <w:r>
        <w:rPr>
          <w:rFonts w:cs="Times New Roman" w:ascii="Times New Roman" w:hAnsi="Times New Roman"/>
          <w:sz w:val="24"/>
          <w:szCs w:val="24"/>
          <w:lang w:val="en-US"/>
        </w:rPr>
        <w:t xml:space="preserve">: creating a summary plot of predicted mutation block such as Figure 3. Inputs: the background and foreground results from </w:t>
      </w:r>
      <w:r>
        <w:rPr>
          <w:rFonts w:cs="Times New Roman" w:ascii="Times New Roman" w:hAnsi="Times New Roman"/>
          <w:i/>
          <w:sz w:val="24"/>
          <w:szCs w:val="24"/>
          <w:lang w:val="en-US"/>
        </w:rPr>
        <w:t>bayespi_bar.py</w:t>
      </w:r>
      <w:r>
        <w:rPr>
          <w:rFonts w:cs="Times New Roman" w:ascii="Times New Roman" w:hAnsi="Times New Roman"/>
          <w:sz w:val="24"/>
          <w:szCs w:val="24"/>
          <w:lang w:val="en-US"/>
        </w:rPr>
        <w:t xml:space="preserve"> and a table of significantly affected TFs. Output: a heat map in PNG format.</w:t>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BayesPI-BAR2 package also provides simple error checking, logging, and it consolidates the pipeline parameters in one place. A description of command line options can be obtained by typing the </w:t>
      </w:r>
      <w:r>
        <w:rPr>
          <w:rFonts w:cs="Times New Roman" w:ascii="Times New Roman" w:hAnsi="Times New Roman"/>
          <w:i/>
          <w:sz w:val="24"/>
          <w:szCs w:val="24"/>
          <w:lang w:val="en-US"/>
        </w:rPr>
        <w:t>--help</w:t>
      </w:r>
      <w:r>
        <w:rPr>
          <w:rFonts w:cs="Times New Roman" w:ascii="Times New Roman" w:hAnsi="Times New Roman"/>
          <w:sz w:val="24"/>
          <w:szCs w:val="24"/>
          <w:lang w:val="en-US"/>
        </w:rPr>
        <w:t xml:space="preserve"> option. All input and output data are text files, which are easy to inspect and modify (e.g. filter). The default script, </w:t>
      </w:r>
      <w:r>
        <w:rPr>
          <w:rFonts w:cs="Times New Roman" w:ascii="Times New Roman" w:hAnsi="Times New Roman"/>
          <w:i/>
          <w:sz w:val="24"/>
          <w:szCs w:val="24"/>
          <w:lang w:val="en-US"/>
        </w:rPr>
        <w:t>bayespi_bar2_pipeline.py</w:t>
      </w:r>
      <w:r>
        <w:rPr>
          <w:rFonts w:cs="Times New Roman" w:ascii="Times New Roman" w:hAnsi="Times New Roman"/>
          <w:sz w:val="24"/>
          <w:szCs w:val="24"/>
          <w:lang w:val="en-US"/>
        </w:rPr>
        <w:t>, runs the whole pipeline in the sequence. An evaluation of the genome-wide skin cancer data was performed by this script.</w:t>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b/>
          <w:b/>
          <w:sz w:val="24"/>
          <w:szCs w:val="24"/>
          <w:lang w:val="en-US"/>
        </w:rPr>
      </w:pPr>
      <w:r>
        <w:rPr>
          <w:rFonts w:cs="Times New Roman" w:ascii="Times New Roman" w:hAnsi="Times New Roman"/>
          <w:b/>
          <w:sz w:val="24"/>
          <w:szCs w:val="24"/>
          <w:lang w:val="en-US"/>
        </w:rPr>
        <w:t>3. User guide of BayesPI-BAR2 Python package</w:t>
      </w:r>
    </w:p>
    <w:p>
      <w:pPr>
        <w:pStyle w:val="Normal"/>
        <w:spacing w:lineRule="auto" w:line="480"/>
        <w:jc w:val="both"/>
        <w:rPr/>
      </w:pPr>
      <w:r>
        <w:rPr>
          <w:rFonts w:cs="Times New Roman" w:ascii="Times New Roman" w:hAnsi="Times New Roman"/>
          <w:sz w:val="24"/>
          <w:szCs w:val="24"/>
          <w:lang w:val="en-US"/>
        </w:rPr>
        <w:t xml:space="preserve">To apply BayesPI-BAR2 package on real mutation dataset, following files are needed: one VCF file per patient containing somatic mutations (BayesPI-BAR2 accepts only SNVs), gene expression data for patients (e.g., RNA-Seq count files), normal control gene expression data, a reference genome FASTA file, and a gene annotation GTF file. Then, a user should provide the paths of input data and adjust pipeline parameters at the beginning of the pipeline script file, </w:t>
      </w:r>
      <w:r>
        <w:rPr>
          <w:rFonts w:cs="Times New Roman" w:ascii="Times New Roman" w:hAnsi="Times New Roman"/>
          <w:i/>
          <w:sz w:val="24"/>
          <w:szCs w:val="24"/>
          <w:lang w:val="en-US"/>
        </w:rPr>
        <w:t>bayespi_bar2_pipeline.py</w:t>
      </w:r>
      <w:r>
        <w:rPr>
          <w:rFonts w:cs="Times New Roman" w:ascii="Times New Roman" w:hAnsi="Times New Roman"/>
          <w:sz w:val="24"/>
          <w:szCs w:val="24"/>
          <w:lang w:val="en-US"/>
        </w:rPr>
        <w:t>. No proficiency in Python programming is needed for modifying the script, because it has a simple structure and is commented in all places that may need to be modified. Once the pipeline file is ready, it can be run by typing “</w:t>
      </w:r>
      <w:r>
        <w:rPr>
          <w:rFonts w:cs="Times New Roman" w:ascii="Times New Roman" w:hAnsi="Times New Roman"/>
          <w:i/>
          <w:sz w:val="24"/>
          <w:szCs w:val="24"/>
          <w:lang w:val="en-US"/>
        </w:rPr>
        <w:t>python bayespi_bar2_pipeline.py</w:t>
      </w:r>
      <w:r>
        <w:rPr>
          <w:rFonts w:cs="Times New Roman" w:ascii="Times New Roman" w:hAnsi="Times New Roman"/>
          <w:sz w:val="24"/>
          <w:szCs w:val="24"/>
          <w:lang w:val="en-US"/>
        </w:rPr>
        <w:t xml:space="preserve">” in the terminal. The pipeline will write a text log to track the progress and errors (e.g., missing input data). The package is designed to be robust against interruptions: for example, if the pipeline stops at some point, it can be restarted again from the place where it had been stopped. In BayesPI-BAR2 Python package, there is also a demo script to reproduce all results from analyzing skin cancer data. First, a script file </w:t>
      </w:r>
      <w:r>
        <w:rPr>
          <w:rFonts w:cs="Times New Roman" w:ascii="Times New Roman" w:hAnsi="Times New Roman"/>
          <w:i/>
          <w:sz w:val="24"/>
          <w:szCs w:val="24"/>
          <w:lang w:val="en-US"/>
        </w:rPr>
        <w:t>get_and_preprocess_data.py</w:t>
      </w:r>
      <w:r>
        <w:rPr>
          <w:rFonts w:cs="Times New Roman" w:ascii="Times New Roman" w:hAnsi="Times New Roman"/>
          <w:sz w:val="24"/>
          <w:szCs w:val="24"/>
          <w:lang w:val="en-US"/>
        </w:rPr>
        <w:t xml:space="preserve"> will automatically download the skin cancer dataset, the reference genome data, and prepare the input files. Then, the demo script can be run without any modifications. More detailed user guide, including usage information for each tool in the package, is available at the website </w:t>
      </w:r>
      <w:hyperlink r:id="rId2">
        <w:r>
          <w:rPr>
            <w:rStyle w:val="InternetLink"/>
            <w:rFonts w:cs="Times New Roman" w:ascii="Times New Roman" w:hAnsi="Times New Roman"/>
            <w:sz w:val="24"/>
            <w:szCs w:val="24"/>
            <w:lang w:val="en-US"/>
          </w:rPr>
          <w:t>http://folk.uio.no/junbaiw/BayesPI-BAR2/</w:t>
        </w:r>
      </w:hyperlink>
      <w:r>
        <w:rPr>
          <w:rFonts w:cs="Times New Roman" w:ascii="Times New Roman" w:hAnsi="Times New Roman"/>
          <w:sz w:val="24"/>
          <w:szCs w:val="24"/>
          <w:lang w:val="en-US"/>
        </w:rPr>
        <w:t>.</w:t>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b/>
          <w:b/>
          <w:sz w:val="28"/>
          <w:szCs w:val="28"/>
          <w:lang w:val="en-US"/>
        </w:rPr>
      </w:pPr>
      <w:r>
        <w:rPr>
          <w:rFonts w:cs="Times New Roman" w:ascii="Times New Roman" w:hAnsi="Times New Roman"/>
          <w:b/>
          <w:sz w:val="28"/>
          <w:szCs w:val="28"/>
          <w:lang w:val="en-US"/>
        </w:rPr>
        <w:t xml:space="preserve">Supplementary Results </w:t>
      </w:r>
    </w:p>
    <w:p>
      <w:pPr>
        <w:pStyle w:val="Normal"/>
        <w:spacing w:lineRule="auto" w:line="480"/>
        <w:jc w:val="both"/>
        <w:rPr>
          <w:rFonts w:ascii="Times New Roman" w:hAnsi="Times New Roman" w:cs="Times New Roman"/>
          <w:b/>
          <w:b/>
          <w:sz w:val="24"/>
          <w:szCs w:val="24"/>
          <w:lang w:val="en-US"/>
        </w:rPr>
      </w:pPr>
      <w:r>
        <w:rPr>
          <w:rFonts w:cs="Times New Roman" w:ascii="Times New Roman" w:hAnsi="Times New Roman"/>
          <w:b/>
          <w:sz w:val="24"/>
          <w:szCs w:val="24"/>
          <w:lang w:val="en-US"/>
        </w:rPr>
        <w:t>1. Supplementary Results of Skin cancer study</w:t>
      </w:r>
    </w:p>
    <w:p>
      <w:pPr>
        <w:pStyle w:val="Normal"/>
        <w:spacing w:lineRule="auto" w:line="480"/>
        <w:jc w:val="both"/>
        <w:rPr/>
      </w:pPr>
      <w:r>
        <w:rPr>
          <w:rFonts w:cs="Times New Roman" w:ascii="Times New Roman" w:hAnsi="Times New Roman"/>
          <w:sz w:val="24"/>
          <w:szCs w:val="24"/>
          <w:lang w:val="en-US"/>
        </w:rPr>
        <w:t xml:space="preserve">Among genes with mutation blocks, there are two which were previously reported having regulatory mutations in melanoma: </w:t>
      </w:r>
      <w:r>
        <w:rPr>
          <w:rFonts w:cs="Times New Roman" w:ascii="Times New Roman" w:hAnsi="Times New Roman"/>
          <w:i/>
          <w:sz w:val="24"/>
          <w:szCs w:val="24"/>
          <w:lang w:val="en-US"/>
        </w:rPr>
        <w:t>SHDH</w:t>
      </w:r>
      <w:r>
        <w:rPr>
          <w:rFonts w:cs="Times New Roman" w:ascii="Times New Roman" w:hAnsi="Times New Roman"/>
          <w:sz w:val="24"/>
          <w:szCs w:val="24"/>
          <w:lang w:val="en-US"/>
        </w:rPr>
        <w:t xml:space="preserve"> </w:t>
      </w:r>
      <w:r>
        <w:fldChar w:fldCharType="begin"/>
      </w:r>
      <w:r>
        <w:rPr/>
        <w:instrText>ADDIN EN.CITE</w:instrText>
      </w:r>
      <w:r>
        <w:rPr/>
        <w:fldChar w:fldCharType="separate"/>
      </w:r>
      <w:bookmarkStart w:id="6" w:name="__Fieldmark__216_90149830"/>
      <w:r>
        <w:rPr/>
      </w:r>
      <w:r>
        <w:rPr/>
      </w:r>
      <w:r>
        <w:rPr/>
        <w:fldChar w:fldCharType="end"/>
      </w:r>
      <w:r>
        <w:fldChar w:fldCharType="begin"/>
      </w:r>
      <w:r>
        <w:rPr/>
        <w:instrText>ADDIN EN.CITE.DATA</w:instrText>
      </w:r>
      <w:r>
        <w:rPr/>
        <w:fldChar w:fldCharType="separate"/>
      </w:r>
      <w:bookmarkStart w:id="7" w:name="__Fieldmark__6690_1974059121"/>
      <w:bookmarkStart w:id="8" w:name="__Fieldmark__219_90149830"/>
      <w:bookmarkEnd w:id="6"/>
      <w:r>
        <w:rPr/>
      </w:r>
      <w:r>
        <w:rPr>
          <w:rFonts w:cs="Times New Roman" w:ascii="Times New Roman" w:hAnsi="Times New Roman"/>
          <w:sz w:val="24"/>
          <w:szCs w:val="24"/>
          <w:lang w:val="en-US"/>
        </w:rPr>
        <w:t>(</w:t>
      </w:r>
      <w:bookmarkStart w:id="9" w:name="__Fieldmark__6689_1974059121"/>
      <w:r>
        <w:rPr>
          <w:rFonts w:cs="Times New Roman" w:ascii="Times New Roman" w:hAnsi="Times New Roman"/>
          <w:sz w:val="24"/>
          <w:szCs w:val="24"/>
          <w:lang w:val="en-US"/>
        </w:rPr>
        <w:t>Weinhold et al., 2014)</w:t>
      </w:r>
      <w:r>
        <w:rPr/>
      </w:r>
      <w:r>
        <w:rPr/>
        <w:fldChar w:fldCharType="end"/>
      </w:r>
      <w:hyperlink w:anchor="_ENREF_5" w:tgtFrame="Weinhold, 2014 #6">
        <w:bookmarkEnd w:id="7"/>
        <w:bookmarkEnd w:id="8"/>
        <w:bookmarkEnd w:id="9"/>
        <w:r>
          <w:rPr>
            <w:rStyle w:val="ListLabel4"/>
            <w:rFonts w:cs="Times New Roman" w:ascii="Times New Roman" w:hAnsi="Times New Roman"/>
            <w:sz w:val="24"/>
            <w:szCs w:val="24"/>
            <w:lang w:val="en-US"/>
          </w:rPr>
          <w:t xml:space="preserve"> and </w:t>
        </w:r>
      </w:hyperlink>
      <w:r>
        <w:rPr>
          <w:rFonts w:cs="Times New Roman" w:ascii="Times New Roman" w:hAnsi="Times New Roman"/>
          <w:i/>
          <w:sz w:val="24"/>
          <w:szCs w:val="24"/>
          <w:lang w:val="en-US"/>
        </w:rPr>
        <w:t>NDUFB9</w:t>
      </w:r>
      <w:r>
        <w:rPr>
          <w:rFonts w:cs="Times New Roman" w:ascii="Times New Roman" w:hAnsi="Times New Roman"/>
          <w:sz w:val="24"/>
          <w:szCs w:val="24"/>
          <w:lang w:val="en-US"/>
        </w:rPr>
        <w:t xml:space="preserve"> </w:t>
      </w:r>
      <w:r>
        <w:fldChar w:fldCharType="begin"/>
      </w:r>
      <w:r>
        <w:rPr/>
        <w:instrText>ADDIN EN.CITE</w:instrText>
      </w:r>
      <w:r>
        <w:rPr/>
        <w:fldChar w:fldCharType="separate"/>
      </w:r>
      <w:bookmarkStart w:id="10" w:name="__Fieldmark__230_90149830"/>
      <w:r>
        <w:rPr/>
      </w:r>
      <w:r>
        <w:rPr/>
      </w:r>
      <w:r>
        <w:rPr/>
        <w:fldChar w:fldCharType="end"/>
      </w:r>
      <w:r>
        <w:fldChar w:fldCharType="begin"/>
      </w:r>
      <w:r>
        <w:rPr/>
        <w:instrText>ADDIN EN.CITE.DATA</w:instrText>
      </w:r>
      <w:r>
        <w:rPr/>
        <w:fldChar w:fldCharType="separate"/>
      </w:r>
      <w:bookmarkStart w:id="11" w:name="__Fieldmark__6704_1974059121"/>
      <w:bookmarkStart w:id="12" w:name="__Fieldmark__233_90149830"/>
      <w:bookmarkEnd w:id="10"/>
      <w:r>
        <w:rPr/>
      </w:r>
      <w:r>
        <w:rPr>
          <w:rFonts w:cs="Times New Roman" w:ascii="Times New Roman" w:hAnsi="Times New Roman"/>
          <w:sz w:val="24"/>
          <w:szCs w:val="24"/>
          <w:lang w:val="en-US"/>
        </w:rPr>
        <w:t>(</w:t>
      </w:r>
      <w:bookmarkStart w:id="13" w:name="__Fieldmark__6703_1974059121"/>
      <w:r>
        <w:rPr>
          <w:rFonts w:cs="Times New Roman" w:ascii="Times New Roman" w:hAnsi="Times New Roman"/>
          <w:sz w:val="24"/>
          <w:szCs w:val="24"/>
          <w:lang w:val="en-US"/>
        </w:rPr>
        <w:t>Poulos et al., 2015)</w:t>
      </w:r>
      <w:r>
        <w:rPr/>
      </w:r>
      <w:r>
        <w:rPr/>
        <w:fldChar w:fldCharType="end"/>
      </w:r>
      <w:hyperlink w:anchor="_ENREF_2" w:tgtFrame="Poulos, 2015 #18">
        <w:bookmarkEnd w:id="11"/>
        <w:bookmarkEnd w:id="12"/>
        <w:bookmarkEnd w:id="13"/>
        <w:r>
          <w:rPr>
            <w:rStyle w:val="ListLabel4"/>
            <w:rFonts w:cs="Times New Roman" w:ascii="Times New Roman" w:hAnsi="Times New Roman"/>
            <w:sz w:val="24"/>
            <w:szCs w:val="24"/>
            <w:lang w:val="en-US"/>
          </w:rPr>
          <w:t>. However, occurrence rates of mutations in promoters of these two genes are low in the current dataset (12 patients, &lt;5%), we did not investigate these genes further.</w:t>
        </w:r>
      </w:hyperlink>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b/>
          <w:b/>
          <w:sz w:val="28"/>
          <w:szCs w:val="28"/>
          <w:lang w:val="en-US"/>
        </w:rPr>
      </w:pPr>
      <w:r>
        <w:rPr>
          <w:rFonts w:cs="Times New Roman" w:ascii="Times New Roman" w:hAnsi="Times New Roman"/>
          <w:b/>
          <w:sz w:val="28"/>
          <w:szCs w:val="28"/>
          <w:lang w:val="en-US"/>
        </w:rPr>
        <w:t xml:space="preserve">Supplementary Figures </w:t>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b/>
          <w:sz w:val="24"/>
          <w:szCs w:val="24"/>
          <w:lang w:val="en-US"/>
        </w:rPr>
        <w:t>Supplementary Figure 1.</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Results of new BayesPI-BAR2 package - TFs significantly affected by skin cancer somatic mutations in the TERT promoter mutation block</w:t>
      </w:r>
      <w:r>
        <w:rPr>
          <w:rFonts w:cs="Times New Roman" w:ascii="Times New Roman" w:hAnsi="Times New Roman"/>
          <w:sz w:val="24"/>
          <w:szCs w:val="24"/>
          <w:lang w:val="en-US"/>
        </w:rPr>
        <w:t>. The heatmap displays the distribution of predicted TF binding effects of TERT promoter somatic SNVs across 58 skin cancer patients. The columns represent patients, the rows represent predicted significantly affected TFs, and the color represents the binding effect size. Reduced binding is shown in blue and increased binding in orange. The color shade represents the log</w:t>
      </w:r>
      <w:r>
        <w:rPr>
          <w:rFonts w:cs="Times New Roman" w:ascii="Times New Roman" w:hAnsi="Times New Roman"/>
          <w:sz w:val="24"/>
          <w:szCs w:val="24"/>
          <w:vertAlign w:val="subscript"/>
          <w:lang w:val="en-US"/>
        </w:rPr>
        <w:t>10</w:t>
      </w:r>
      <w:r>
        <w:rPr>
          <w:rFonts w:cs="Times New Roman" w:ascii="Times New Roman" w:hAnsi="Times New Roman"/>
          <w:sz w:val="24"/>
          <w:szCs w:val="24"/>
          <w:lang w:val="en-US"/>
        </w:rPr>
        <w:t>-scaled fraction of background δdbA values which are more extreme than the observed δdbA of a patient, which is an indication of effect size. The darker cells the larger effect. Some TFs are represented by multiple PWM models, their instances are indicated by a number in parentheses. Only significantly affected TFs (Wilcoxon rank-sum test P value &lt; 0.001 after Bonferroni correction) are shown. The following TFs belong to the ETS family (Gutierrez-Hartmann et al., 2007): GABPα, ELF4, ETV5, ELK1, ETS1, SPI1, SPIB. Here, background mutation signature in BayesPI-BAR2 is generated based on "signature 7" (UV light damage, skin cancers) from COSMIC (https://cancer.sanger.ac.uk/cosmic/signatures), which with large numbers of CC&gt;TT dinucleotide mutations at dipyrimidines.</w:t>
      </w:r>
    </w:p>
    <w:p>
      <w:pPr>
        <w:pStyle w:val="Normal"/>
        <w:spacing w:lineRule="auto" w:line="480"/>
        <w:jc w:val="both"/>
        <w:rPr>
          <w:rFonts w:ascii="Times New Roman" w:hAnsi="Times New Roman" w:cs="Times New Roman"/>
          <w:sz w:val="24"/>
          <w:szCs w:val="24"/>
          <w:lang w:val="en-US"/>
        </w:rPr>
      </w:pPr>
      <w:r>
        <w:rPr/>
        <w:drawing>
          <wp:inline distT="0" distB="0" distL="0" distR="0">
            <wp:extent cx="5760720" cy="43205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5760720" cy="4320540"/>
                    </a:xfrm>
                    <a:prstGeom prst="rect">
                      <a:avLst/>
                    </a:prstGeom>
                  </pic:spPr>
                </pic:pic>
              </a:graphicData>
            </a:graphic>
          </wp:inline>
        </w:drawing>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480"/>
        <w:jc w:val="both"/>
        <w:rPr/>
      </w:pPr>
      <w:r>
        <w:rPr>
          <w:rFonts w:cs="Times New Roman" w:ascii="Times New Roman" w:hAnsi="Times New Roman"/>
          <w:b/>
          <w:sz w:val="24"/>
          <w:szCs w:val="24"/>
          <w:lang w:val="en-US"/>
        </w:rPr>
        <w:t>Supplementary Figure 2.</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Results of new BayesPI-BAR2 package - TFs significantly affected by skin cancer somatic mutations in the TERT promoter mutation block</w:t>
      </w:r>
      <w:r>
        <w:rPr>
          <w:rFonts w:cs="Times New Roman" w:ascii="Times New Roman" w:hAnsi="Times New Roman"/>
          <w:sz w:val="24"/>
          <w:szCs w:val="24"/>
          <w:lang w:val="en-US"/>
        </w:rPr>
        <w:t>. The heatmap displays the distribution of predicted TF binding effects of TERT promoter somatic SNVs across 58 skin cancer patients. The columns represent patients, the rows represent predicted significantly affected TFs, and the color represents the binding effect size. Reduced binding is shown in blue and increased binding in orange. The color shade represents the log</w:t>
      </w:r>
      <w:r>
        <w:rPr>
          <w:rFonts w:cs="Times New Roman" w:ascii="Times New Roman" w:hAnsi="Times New Roman"/>
          <w:sz w:val="24"/>
          <w:szCs w:val="24"/>
          <w:vertAlign w:val="subscript"/>
          <w:lang w:val="en-US"/>
        </w:rPr>
        <w:t>10</w:t>
      </w:r>
      <w:r>
        <w:rPr>
          <w:rFonts w:cs="Times New Roman" w:ascii="Times New Roman" w:hAnsi="Times New Roman"/>
          <w:sz w:val="24"/>
          <w:szCs w:val="24"/>
          <w:lang w:val="en-US"/>
        </w:rPr>
        <w:t>-scaled fraction of background δdbA values which are more extreme than the observed δdbA of a patient, which is an indication of effect size. The darker cells the larger effect. Some TFs are represented by multiple PWM models, their instances are indicated by a number in parentheses. Only significantly affected TFs (Wilcoxon rank-sum test P value &lt; 0.001 after Bonferroni correction) are shown. The following TFs belong to the ETS family (Gutierrez-Hartmann et al., 2007): GABPα, ELF4, ETV5, ELK1, ETS1, SPI1, SPIB. Here, the uniform background mutation signature is used.</w:t>
      </w:r>
    </w:p>
    <w:p>
      <w:pPr>
        <w:pStyle w:val="Normal"/>
        <w:spacing w:lineRule="auto" w:line="480"/>
        <w:jc w:val="both"/>
        <w:rPr/>
      </w:pPr>
      <w:r>
        <w:rPr/>
        <w:drawing>
          <wp:inline distT="0" distB="0" distL="19050" distR="0">
            <wp:extent cx="5760720" cy="4320540"/>
            <wp:effectExtent l="0" t="0" r="0" b="0"/>
            <wp:docPr id="2" name="Picture 2" descr="new_figure_3_result_plot_tert_uniform_bg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_figure_3_result_plot_tert_uniform_bg2000.jpg"/>
                    <pic:cNvPicPr>
                      <a:picLocks noChangeAspect="1" noChangeArrowheads="1"/>
                    </pic:cNvPicPr>
                  </pic:nvPicPr>
                  <pic:blipFill>
                    <a:blip r:embed="rId4"/>
                    <a:stretch>
                      <a:fillRect/>
                    </a:stretch>
                  </pic:blipFill>
                  <pic:spPr bwMode="auto">
                    <a:xfrm>
                      <a:off x="0" y="0"/>
                      <a:ext cx="5760720" cy="4320540"/>
                    </a:xfrm>
                    <a:prstGeom prst="rect">
                      <a:avLst/>
                    </a:prstGeom>
                  </pic:spPr>
                </pic:pic>
              </a:graphicData>
            </a:graphic>
          </wp:inline>
        </w:drawing>
      </w:r>
    </w:p>
    <w:p>
      <w:pPr>
        <w:pStyle w:val="Normal"/>
        <w:rPr>
          <w:rFonts w:ascii="Times New Roman" w:hAnsi="Times New Roman" w:cs="Times New Roman"/>
          <w:b/>
          <w:b/>
          <w:sz w:val="28"/>
          <w:szCs w:val="28"/>
          <w:lang w:val="en-US"/>
        </w:rPr>
      </w:pPr>
      <w:r>
        <w:rPr>
          <w:rFonts w:cs="Times New Roman" w:ascii="Times New Roman" w:hAnsi="Times New Roman"/>
          <w:b/>
          <w:sz w:val="28"/>
          <w:szCs w:val="28"/>
          <w:lang w:val="en-US"/>
        </w:rPr>
        <w:t>References</w:t>
      </w:r>
    </w:p>
    <w:p>
      <w:pPr>
        <w:pStyle w:val="Normal"/>
        <w:spacing w:lineRule="auto" w:line="240" w:before="0" w:after="0"/>
        <w:ind w:left="720" w:hanging="720"/>
        <w:rPr/>
      </w:pPr>
      <w:r>
        <w:fldChar w:fldCharType="begin"/>
      </w:r>
      <w:r>
        <w:rPr/>
        <w:instrText>ADDIN EN.REFLIST</w:instrText>
      </w:r>
      <w:r>
        <w:rPr/>
        <w:fldChar w:fldCharType="separate"/>
      </w:r>
      <w:bookmarkStart w:id="14" w:name="__Fieldmark__309_90149830"/>
      <w:r>
        <w:rPr/>
      </w:r>
      <w:r>
        <w:rPr>
          <w:rFonts w:cs="Times New Roman"/>
          <w:szCs w:val="24"/>
          <w:lang w:val="en-US"/>
        </w:rPr>
        <w:t>K</w:t>
      </w:r>
      <w:bookmarkStart w:id="15" w:name="__Fieldmark__6778_1974059121"/>
      <w:r>
        <w:rPr>
          <w:rFonts w:cs="Times New Roman"/>
          <w:szCs w:val="24"/>
          <w:lang w:val="en-US"/>
        </w:rPr>
        <w:t>h</w:t>
      </w:r>
      <w:bookmarkStart w:id="16" w:name="_ENREF_1"/>
      <w:r>
        <w:rPr>
          <w:rFonts w:cs="Times New Roman"/>
          <w:szCs w:val="24"/>
          <w:lang w:val="en-US"/>
        </w:rPr>
        <w:t xml:space="preserve">eradpour, P., and Kellis, M. (2014). Systematic discovery and characterization of regulatory motifs in ENCODE TF binding experiments. </w:t>
      </w:r>
      <w:r>
        <w:rPr>
          <w:rFonts w:cs="Times New Roman"/>
          <w:i/>
          <w:szCs w:val="24"/>
          <w:lang w:val="en-US"/>
        </w:rPr>
        <w:t>Nucleic Acids Res</w:t>
      </w:r>
      <w:r>
        <w:rPr>
          <w:rFonts w:cs="Times New Roman"/>
          <w:szCs w:val="24"/>
          <w:lang w:val="en-US"/>
        </w:rPr>
        <w:t xml:space="preserve"> 42</w:t>
      </w:r>
      <w:r>
        <w:rPr>
          <w:rFonts w:cs="Times New Roman"/>
          <w:b/>
          <w:szCs w:val="24"/>
          <w:lang w:val="en-US"/>
        </w:rPr>
        <w:t>,</w:t>
      </w:r>
      <w:r>
        <w:rPr>
          <w:rFonts w:cs="Times New Roman"/>
          <w:szCs w:val="24"/>
          <w:lang w:val="en-US"/>
        </w:rPr>
        <w:t xml:space="preserve"> 2976-2987.</w:t>
      </w:r>
      <w:r>
        <w:rPr/>
      </w:r>
      <w:r>
        <w:rPr/>
        <w:fldChar w:fldCharType="end"/>
      </w:r>
      <w:bookmarkEnd w:id="14"/>
      <w:bookmarkEnd w:id="15"/>
      <w:bookmarkEnd w:id="16"/>
    </w:p>
    <w:p>
      <w:pPr>
        <w:pStyle w:val="Normal"/>
        <w:spacing w:lineRule="auto" w:line="240" w:before="0" w:after="0"/>
        <w:ind w:left="720" w:hanging="720"/>
        <w:rPr>
          <w:rFonts w:ascii="Calibri" w:hAnsi="Calibri" w:cs="Times New Roman"/>
          <w:szCs w:val="24"/>
          <w:lang w:val="en-US"/>
        </w:rPr>
      </w:pPr>
      <w:bookmarkStart w:id="17" w:name="_ENREF_2"/>
      <w:r>
        <w:rPr>
          <w:rFonts w:cs="Times New Roman"/>
          <w:szCs w:val="24"/>
          <w:lang w:val="en-US"/>
        </w:rPr>
        <w:t xml:space="preserve">Poulos, R.C., Thoms, J.A., Shah, A., Beck, D., Pimanda, J.E., and Wong, J.W. (2015). Systematic Screening of Promoter Regions Pinpoints Functional Cis-Regulatory Mutations in a Cutaneous Melanoma Genome. </w:t>
      </w:r>
      <w:r>
        <w:rPr>
          <w:rFonts w:cs="Times New Roman"/>
          <w:i/>
          <w:szCs w:val="24"/>
          <w:lang w:val="en-US"/>
        </w:rPr>
        <w:t>Mol Cancer Res</w:t>
      </w:r>
      <w:r>
        <w:rPr>
          <w:rFonts w:cs="Times New Roman"/>
          <w:szCs w:val="24"/>
          <w:lang w:val="en-US"/>
        </w:rPr>
        <w:t xml:space="preserve"> 13</w:t>
      </w:r>
      <w:r>
        <w:rPr>
          <w:rFonts w:cs="Times New Roman"/>
          <w:b/>
          <w:szCs w:val="24"/>
          <w:lang w:val="en-US"/>
        </w:rPr>
        <w:t>,</w:t>
      </w:r>
      <w:r>
        <w:rPr>
          <w:rFonts w:cs="Times New Roman"/>
          <w:szCs w:val="24"/>
          <w:lang w:val="en-US"/>
        </w:rPr>
        <w:t xml:space="preserve"> 1218-1226.</w:t>
      </w:r>
      <w:bookmarkEnd w:id="17"/>
    </w:p>
    <w:p>
      <w:pPr>
        <w:pStyle w:val="Normal"/>
        <w:spacing w:lineRule="auto" w:line="240" w:before="0" w:after="0"/>
        <w:ind w:left="720" w:hanging="720"/>
        <w:rPr>
          <w:lang w:val="en-US"/>
        </w:rPr>
      </w:pPr>
      <w:bookmarkStart w:id="18" w:name="_ENREF_3"/>
      <w:r>
        <w:rPr>
          <w:rFonts w:cs="Times New Roman"/>
          <w:szCs w:val="24"/>
          <w:lang w:val="en-US"/>
        </w:rPr>
        <w:t xml:space="preserve">Wang, J., and Batmanov, K. (2015). BayesPI-BAR: a new biophysical model for characterization of regulatory sequence variations. </w:t>
      </w:r>
      <w:r>
        <w:rPr>
          <w:rFonts w:cs="Times New Roman"/>
          <w:i/>
          <w:szCs w:val="24"/>
          <w:lang w:val="en-US"/>
        </w:rPr>
        <w:t>Nucleic Acids Res</w:t>
      </w:r>
      <w:r>
        <w:rPr>
          <w:rFonts w:cs="Times New Roman"/>
          <w:szCs w:val="24"/>
          <w:lang w:val="en-US"/>
        </w:rPr>
        <w:t xml:space="preserve"> 43</w:t>
      </w:r>
      <w:r>
        <w:rPr>
          <w:rFonts w:cs="Times New Roman"/>
          <w:b/>
          <w:szCs w:val="24"/>
          <w:lang w:val="en-US"/>
        </w:rPr>
        <w:t>,</w:t>
      </w:r>
      <w:r>
        <w:rPr>
          <w:rFonts w:cs="Times New Roman"/>
          <w:szCs w:val="24"/>
          <w:lang w:val="en-US"/>
        </w:rPr>
        <w:t xml:space="preserve"> e147.</w:t>
      </w:r>
      <w:bookmarkEnd w:id="18"/>
    </w:p>
    <w:p>
      <w:pPr>
        <w:pStyle w:val="Normal"/>
        <w:spacing w:lineRule="auto" w:line="240" w:before="0" w:after="0"/>
        <w:ind w:left="720" w:hanging="720"/>
        <w:rPr>
          <w:rFonts w:ascii="Calibri" w:hAnsi="Calibri" w:cs="Times New Roman"/>
          <w:szCs w:val="24"/>
          <w:lang w:val="en-US"/>
        </w:rPr>
      </w:pPr>
      <w:bookmarkStart w:id="19" w:name="_ENREF_4"/>
      <w:r>
        <w:rPr>
          <w:rFonts w:cs="Times New Roman"/>
          <w:szCs w:val="24"/>
          <w:lang w:val="en-US"/>
        </w:rPr>
        <w:t xml:space="preserve">Wang, J., Malecka, A., Trøenand, G., and Delabie, J. (2015). Comprehensive genome-wide transcription factor analysis reveals that a combination of high affinity and low affinity DNA binding is needed for human gene regulation </w:t>
      </w:r>
      <w:r>
        <w:rPr>
          <w:rFonts w:cs="Times New Roman"/>
          <w:i/>
          <w:szCs w:val="24"/>
          <w:lang w:val="en-US"/>
        </w:rPr>
        <w:t>BMC Genomics</w:t>
      </w:r>
      <w:r>
        <w:rPr>
          <w:rFonts w:cs="Times New Roman"/>
          <w:szCs w:val="24"/>
          <w:lang w:val="en-US"/>
        </w:rPr>
        <w:t xml:space="preserve"> 16 (Suppl 7):S12.</w:t>
      </w:r>
      <w:bookmarkEnd w:id="19"/>
    </w:p>
    <w:p>
      <w:pPr>
        <w:pStyle w:val="Normal"/>
        <w:spacing w:lineRule="auto" w:line="240"/>
        <w:ind w:left="720" w:hanging="720"/>
        <w:rPr>
          <w:rFonts w:ascii="Calibri" w:hAnsi="Calibri" w:cs="Times New Roman"/>
          <w:szCs w:val="24"/>
          <w:lang w:val="en-US"/>
        </w:rPr>
      </w:pPr>
      <w:bookmarkStart w:id="20" w:name="_ENREF_5"/>
      <w:r>
        <w:rPr>
          <w:rFonts w:cs="Times New Roman"/>
          <w:szCs w:val="24"/>
          <w:lang w:val="en-US"/>
        </w:rPr>
        <w:t xml:space="preserve">Weinhold, N., Jacobsen, A., Schultz, N., Sander, C., and Lee, W. (2014). Genome-wide analysis of noncoding regulatory mutations in cancer. </w:t>
      </w:r>
      <w:r>
        <w:rPr>
          <w:rFonts w:cs="Times New Roman"/>
          <w:i/>
          <w:szCs w:val="24"/>
          <w:lang w:val="en-US"/>
        </w:rPr>
        <w:t>Nat Genet</w:t>
      </w:r>
      <w:r>
        <w:rPr>
          <w:rFonts w:cs="Times New Roman"/>
          <w:szCs w:val="24"/>
          <w:lang w:val="en-US"/>
        </w:rPr>
        <w:t xml:space="preserve"> 46</w:t>
      </w:r>
      <w:r>
        <w:rPr>
          <w:rFonts w:cs="Times New Roman"/>
          <w:b/>
          <w:szCs w:val="24"/>
          <w:lang w:val="en-US"/>
        </w:rPr>
        <w:t>,</w:t>
      </w:r>
      <w:r>
        <w:rPr>
          <w:rFonts w:cs="Times New Roman"/>
          <w:szCs w:val="24"/>
          <w:lang w:val="en-US"/>
        </w:rPr>
        <w:t xml:space="preserve"> 1160-1165.</w:t>
      </w:r>
      <w:bookmarkEnd w:id="20"/>
    </w:p>
    <w:p>
      <w:pPr>
        <w:pStyle w:val="Normal"/>
        <w:spacing w:lineRule="auto" w:line="240"/>
        <w:rPr>
          <w:rFonts w:ascii="Calibri" w:hAnsi="Calibri" w:cs="Times New Roman"/>
          <w:szCs w:val="24"/>
          <w:lang w:val="en-US"/>
        </w:rPr>
      </w:pPr>
      <w:r>
        <w:rPr>
          <w:rFonts w:cs="Times New Roman"/>
          <w:szCs w:val="24"/>
          <w:lang w:val="en-US"/>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00" w:hanging="360"/>
      </w:pPr>
      <w:rPr>
        <w:sz w:val="24"/>
        <w:i w:val="false"/>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nb-NO" w:eastAsia="nb-NO"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164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nb-NO" w:eastAsia="nb-NO" w:bidi="ar-SA"/>
    </w:rPr>
  </w:style>
  <w:style w:type="character" w:styleId="DefaultParagraphFont" w:default="1">
    <w:name w:val="Default Paragraph Font"/>
    <w:uiPriority w:val="1"/>
    <w:semiHidden/>
    <w:unhideWhenUsed/>
    <w:qFormat/>
    <w:rPr/>
  </w:style>
  <w:style w:type="character" w:styleId="ListParagraphChar" w:customStyle="1">
    <w:name w:val="List Paragraph Char"/>
    <w:basedOn w:val="DefaultParagraphFont"/>
    <w:link w:val="ListParagraph"/>
    <w:uiPriority w:val="34"/>
    <w:qFormat/>
    <w:rsid w:val="00332366"/>
    <w:rPr>
      <w:rFonts w:eastAsia="" w:eastAsiaTheme="minorEastAsia"/>
      <w:lang w:val="en-GB" w:eastAsia="en-GB"/>
    </w:rPr>
  </w:style>
  <w:style w:type="character" w:styleId="BalloonTextChar" w:customStyle="1">
    <w:name w:val="Balloon Text Char"/>
    <w:basedOn w:val="DefaultParagraphFont"/>
    <w:link w:val="BalloonText"/>
    <w:uiPriority w:val="99"/>
    <w:semiHidden/>
    <w:qFormat/>
    <w:rsid w:val="00332366"/>
    <w:rPr>
      <w:rFonts w:ascii="Tahoma" w:hAnsi="Tahoma" w:cs="Tahoma"/>
      <w:sz w:val="16"/>
      <w:szCs w:val="16"/>
    </w:rPr>
  </w:style>
  <w:style w:type="character" w:styleId="InternetLink" w:customStyle="1">
    <w:name w:val="Internet Link"/>
    <w:basedOn w:val="DefaultParagraphFont"/>
    <w:uiPriority w:val="99"/>
    <w:unhideWhenUsed/>
    <w:rsid w:val="003f7a17"/>
    <w:rPr>
      <w:color w:val="0000FF" w:themeColor="hyperlink"/>
      <w:u w:val="single"/>
    </w:rPr>
  </w:style>
  <w:style w:type="character" w:styleId="ListLabel1" w:customStyle="1">
    <w:name w:val="ListLabel 1"/>
    <w:qFormat/>
    <w:rsid w:val="00045e1a"/>
    <w:rPr>
      <w:rFonts w:ascii="Times New Roman" w:hAnsi="Times New Roman"/>
      <w:i w:val="false"/>
      <w:sz w:val="24"/>
    </w:rPr>
  </w:style>
  <w:style w:type="character" w:styleId="ListLabel2" w:customStyle="1">
    <w:name w:val="ListLabel 2"/>
    <w:qFormat/>
    <w:rsid w:val="00045e1a"/>
    <w:rPr>
      <w:rFonts w:ascii="Times New Roman" w:hAnsi="Times New Roman" w:cs="Times New Roman"/>
      <w:sz w:val="24"/>
      <w:szCs w:val="24"/>
      <w:lang w:val="en-US"/>
    </w:rPr>
  </w:style>
  <w:style w:type="character" w:styleId="ListLabel3">
    <w:name w:val="ListLabel 3"/>
    <w:qFormat/>
    <w:rPr>
      <w:rFonts w:ascii="Times New Roman" w:hAnsi="Times New Roman"/>
      <w:i w:val="false"/>
      <w:sz w:val="24"/>
    </w:rPr>
  </w:style>
  <w:style w:type="character" w:styleId="ListLabel4">
    <w:name w:val="ListLabel 4"/>
    <w:qFormat/>
    <w:rPr>
      <w:rFonts w:ascii="Times New Roman" w:hAnsi="Times New Roman" w:cs="Times New Roman"/>
      <w:sz w:val="24"/>
      <w:szCs w:val="24"/>
      <w:lang w:val="en-US"/>
    </w:rPr>
  </w:style>
  <w:style w:type="character" w:styleId="ListLabel5">
    <w:name w:val="ListLabel 5"/>
    <w:qFormat/>
    <w:rPr>
      <w:rFonts w:ascii="Times New Roman" w:hAnsi="Times New Roman" w:cs="Times New Roman"/>
      <w:sz w:val="24"/>
      <w:szCs w:val="24"/>
      <w:lang w:val="en-US"/>
    </w:rPr>
  </w:style>
  <w:style w:type="paragraph" w:styleId="Heading" w:customStyle="1">
    <w:name w:val="Heading"/>
    <w:basedOn w:val="Normal"/>
    <w:next w:val="TextBody"/>
    <w:qFormat/>
    <w:rsid w:val="00045e1a"/>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rsid w:val="00045e1a"/>
    <w:pPr>
      <w:spacing w:before="0" w:after="140"/>
    </w:pPr>
    <w:rPr/>
  </w:style>
  <w:style w:type="paragraph" w:styleId="List">
    <w:name w:val="List"/>
    <w:basedOn w:val="TextBody"/>
    <w:rsid w:val="00045e1a"/>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045e1a"/>
    <w:pPr>
      <w:suppressLineNumbers/>
    </w:pPr>
    <w:rPr>
      <w:rFonts w:cs="Lohit Devanagari"/>
    </w:rPr>
  </w:style>
  <w:style w:type="paragraph" w:styleId="Caption1">
    <w:name w:val="caption"/>
    <w:basedOn w:val="Normal"/>
    <w:qFormat/>
    <w:rsid w:val="00045e1a"/>
    <w:pPr>
      <w:suppressLineNumbers/>
      <w:spacing w:before="120" w:after="120"/>
    </w:pPr>
    <w:rPr>
      <w:rFonts w:cs="Lohit Devanagari"/>
      <w:i/>
      <w:iCs/>
      <w:sz w:val="24"/>
      <w:szCs w:val="24"/>
    </w:rPr>
  </w:style>
  <w:style w:type="paragraph" w:styleId="ListParagraph">
    <w:name w:val="List Paragraph"/>
    <w:basedOn w:val="Normal"/>
    <w:link w:val="ListParagraphChar"/>
    <w:uiPriority w:val="34"/>
    <w:qFormat/>
    <w:rsid w:val="00332366"/>
    <w:pPr>
      <w:spacing w:before="0" w:after="200"/>
      <w:ind w:left="720" w:hanging="0"/>
      <w:contextualSpacing/>
    </w:pPr>
    <w:rPr>
      <w:lang w:val="en-GB" w:eastAsia="en-GB"/>
    </w:rPr>
  </w:style>
  <w:style w:type="paragraph" w:styleId="BalloonText">
    <w:name w:val="Balloon Text"/>
    <w:basedOn w:val="Normal"/>
    <w:link w:val="BalloonTextChar"/>
    <w:uiPriority w:val="99"/>
    <w:semiHidden/>
    <w:unhideWhenUsed/>
    <w:qFormat/>
    <w:rsid w:val="0033236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lk.uio.no/junbaiw/BayesPI-BAR2/"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Application>LibreOffice/6.0.7.3$Linux_X86_64 LibreOffice_project/00m0$Build-3</Application>
  <Pages>9</Pages>
  <Words>1928</Words>
  <Characters>10728</Characters>
  <CharactersWithSpaces>12624</CharactersWithSpaces>
  <Paragraphs>40</Paragraphs>
  <Company>OUS HF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2019-02-04T14:45:00Z</dcterms:created>
  <dc:creator>junwan</dc:creator>
  <dc:description/>
  <dc:language>en-US</dc:language>
  <cp:lastModifiedBy/>
  <dcterms:modified xsi:type="dcterms:W3CDTF">2019-03-21T10:22:20Z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OUS HF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