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bookmarkStart w:id="0" w:name="_Hlk7372096"/>
      <w:r w:rsidRPr="001549D3">
        <w:t>Supplementary Material</w:t>
      </w:r>
    </w:p>
    <w:bookmarkEnd w:id="0"/>
    <w:p w14:paraId="1104D196" w14:textId="1BE8C006" w:rsidR="00817DD6" w:rsidRPr="001549D3" w:rsidRDefault="006545A8" w:rsidP="0001436A">
      <w:pPr>
        <w:pStyle w:val="Title"/>
      </w:pPr>
      <w:r w:rsidRPr="006545A8">
        <w:t>Semiparametric estimation of task-based dynamic functional connectivity on the population level</w:t>
      </w:r>
    </w:p>
    <w:p w14:paraId="5A3C4948" w14:textId="58FFC1BF" w:rsidR="006545A8" w:rsidRPr="006545A8" w:rsidRDefault="006545A8" w:rsidP="006545A8">
      <w:pPr>
        <w:spacing w:before="240"/>
        <w:rPr>
          <w:rFonts w:cs="Times New Roman"/>
          <w:b/>
          <w:szCs w:val="24"/>
        </w:rPr>
      </w:pPr>
      <w:r w:rsidRPr="006545A8">
        <w:rPr>
          <w:rFonts w:cs="Times New Roman"/>
          <w:b/>
          <w:szCs w:val="24"/>
        </w:rPr>
        <w:t>Maria A Kudela</w:t>
      </w:r>
      <w:r w:rsidRPr="006545A8">
        <w:rPr>
          <w:rFonts w:cs="Times New Roman"/>
          <w:b/>
          <w:szCs w:val="24"/>
          <w:vertAlign w:val="superscript"/>
        </w:rPr>
        <w:t>1</w:t>
      </w:r>
      <w:r w:rsidRPr="006545A8">
        <w:rPr>
          <w:rFonts w:cs="Times New Roman"/>
          <w:b/>
          <w:szCs w:val="24"/>
        </w:rPr>
        <w:t>, Mario Dzemidzic</w:t>
      </w:r>
      <w:r w:rsidRPr="006545A8">
        <w:rPr>
          <w:rFonts w:cs="Times New Roman"/>
          <w:b/>
          <w:szCs w:val="24"/>
          <w:vertAlign w:val="superscript"/>
        </w:rPr>
        <w:t>2,4</w:t>
      </w:r>
      <w:r w:rsidRPr="006545A8">
        <w:rPr>
          <w:rFonts w:cs="Times New Roman"/>
          <w:b/>
          <w:szCs w:val="24"/>
        </w:rPr>
        <w:t>, Brandon G Oberlin</w:t>
      </w:r>
      <w:r w:rsidRPr="006545A8">
        <w:rPr>
          <w:rFonts w:cs="Times New Roman"/>
          <w:b/>
          <w:szCs w:val="24"/>
          <w:vertAlign w:val="superscript"/>
        </w:rPr>
        <w:t>2,3</w:t>
      </w:r>
      <w:r w:rsidR="00FB6980">
        <w:rPr>
          <w:rFonts w:cs="Times New Roman"/>
          <w:b/>
          <w:szCs w:val="24"/>
        </w:rPr>
        <w:t xml:space="preserve">, </w:t>
      </w:r>
      <w:proofErr w:type="spellStart"/>
      <w:r w:rsidR="004948BC">
        <w:rPr>
          <w:rFonts w:cs="Times New Roman"/>
          <w:b/>
          <w:szCs w:val="24"/>
        </w:rPr>
        <w:t>Zi</w:t>
      </w:r>
      <w:r w:rsidR="00FB6980">
        <w:rPr>
          <w:rFonts w:cs="Times New Roman"/>
          <w:b/>
          <w:szCs w:val="24"/>
        </w:rPr>
        <w:t>k</w:t>
      </w:r>
      <w:r w:rsidR="004948BC">
        <w:rPr>
          <w:rFonts w:cs="Times New Roman"/>
          <w:b/>
          <w:szCs w:val="24"/>
        </w:rPr>
        <w:t>a</w:t>
      </w:r>
      <w:r w:rsidR="00FB6980">
        <w:rPr>
          <w:rFonts w:cs="Times New Roman"/>
          <w:b/>
          <w:szCs w:val="24"/>
        </w:rPr>
        <w:t>i</w:t>
      </w:r>
      <w:proofErr w:type="spellEnd"/>
      <w:r w:rsidR="00FB6980">
        <w:rPr>
          <w:rFonts w:cs="Times New Roman"/>
          <w:b/>
          <w:szCs w:val="24"/>
        </w:rPr>
        <w:t xml:space="preserve"> Lin</w:t>
      </w:r>
      <w:r w:rsidR="00FB6980">
        <w:rPr>
          <w:rFonts w:cs="Times New Roman"/>
          <w:b/>
          <w:szCs w:val="24"/>
          <w:vertAlign w:val="superscript"/>
        </w:rPr>
        <w:t>3</w:t>
      </w:r>
      <w:r w:rsidR="0075681B" w:rsidRPr="006545A8">
        <w:rPr>
          <w:rFonts w:cs="Times New Roman"/>
          <w:b/>
          <w:szCs w:val="24"/>
        </w:rPr>
        <w:t>,</w:t>
      </w:r>
      <w:r w:rsidRPr="006545A8">
        <w:rPr>
          <w:rFonts w:cs="Times New Roman"/>
          <w:b/>
          <w:szCs w:val="24"/>
        </w:rPr>
        <w:t xml:space="preserve"> </w:t>
      </w:r>
      <w:r w:rsidRPr="006545A8">
        <w:rPr>
          <w:rFonts w:cs="Times New Roman"/>
          <w:b/>
          <w:bCs/>
          <w:szCs w:val="24"/>
        </w:rPr>
        <w:t>Joaquín Go</w:t>
      </w:r>
      <w:r w:rsidRPr="006545A8">
        <w:rPr>
          <w:rFonts w:ascii="Calibri" w:hAnsi="Calibri" w:cs="Calibri"/>
          <w:b/>
          <w:szCs w:val="24"/>
        </w:rPr>
        <w:t>ñ</w:t>
      </w:r>
      <w:r w:rsidRPr="006545A8">
        <w:rPr>
          <w:rFonts w:cs="Times New Roman"/>
          <w:b/>
          <w:bCs/>
          <w:szCs w:val="24"/>
        </w:rPr>
        <w:t>i</w:t>
      </w:r>
      <w:r w:rsidRPr="006545A8">
        <w:rPr>
          <w:rFonts w:cs="Times New Roman"/>
          <w:b/>
          <w:szCs w:val="24"/>
          <w:vertAlign w:val="superscript"/>
        </w:rPr>
        <w:t>5,6,7</w:t>
      </w:r>
      <w:r w:rsidRPr="006545A8">
        <w:rPr>
          <w:rFonts w:cs="Times New Roman"/>
          <w:b/>
          <w:szCs w:val="24"/>
        </w:rPr>
        <w:t>, David A Kareken</w:t>
      </w:r>
      <w:r w:rsidRPr="006545A8">
        <w:rPr>
          <w:rFonts w:cs="Times New Roman"/>
          <w:b/>
          <w:szCs w:val="24"/>
          <w:vertAlign w:val="superscript"/>
        </w:rPr>
        <w:t>2,3,4</w:t>
      </w:r>
      <w:r w:rsidRPr="006545A8">
        <w:rPr>
          <w:rFonts w:cs="Times New Roman"/>
          <w:b/>
          <w:szCs w:val="24"/>
        </w:rPr>
        <w:t xml:space="preserve">, </w:t>
      </w:r>
      <w:proofErr w:type="spellStart"/>
      <w:r w:rsidRPr="006545A8">
        <w:rPr>
          <w:rFonts w:cs="Times New Roman"/>
          <w:b/>
          <w:szCs w:val="24"/>
        </w:rPr>
        <w:t>Jaroslaw</w:t>
      </w:r>
      <w:proofErr w:type="spellEnd"/>
      <w:r w:rsidRPr="006545A8">
        <w:rPr>
          <w:rFonts w:cs="Times New Roman"/>
          <w:b/>
          <w:szCs w:val="24"/>
        </w:rPr>
        <w:t xml:space="preserve"> Harezlak</w:t>
      </w:r>
      <w:r w:rsidRPr="006545A8">
        <w:rPr>
          <w:rFonts w:cs="Times New Roman"/>
          <w:b/>
          <w:szCs w:val="24"/>
          <w:vertAlign w:val="superscript"/>
        </w:rPr>
        <w:t>8*</w:t>
      </w:r>
    </w:p>
    <w:p w14:paraId="0C8DED4F" w14:textId="0515370B" w:rsidR="002868E2" w:rsidRPr="00994A3D" w:rsidRDefault="002868E2" w:rsidP="006545A8">
      <w:pPr>
        <w:spacing w:before="240" w:after="0"/>
        <w:rPr>
          <w:rFonts w:cs="Times New Roman"/>
        </w:rPr>
      </w:pPr>
      <w:r w:rsidRPr="00994A3D">
        <w:rPr>
          <w:rFonts w:cs="Times New Roman"/>
          <w:b/>
        </w:rPr>
        <w:t xml:space="preserve">* Correspondence: </w:t>
      </w:r>
      <w:proofErr w:type="spellStart"/>
      <w:r w:rsidR="006545A8" w:rsidRPr="006545A8">
        <w:rPr>
          <w:rFonts w:cs="Times New Roman"/>
        </w:rPr>
        <w:t>Jaroslaw</w:t>
      </w:r>
      <w:proofErr w:type="spellEnd"/>
      <w:r w:rsidR="006545A8" w:rsidRPr="006545A8">
        <w:rPr>
          <w:rFonts w:cs="Times New Roman"/>
        </w:rPr>
        <w:t xml:space="preserve"> </w:t>
      </w:r>
      <w:proofErr w:type="spellStart"/>
      <w:r w:rsidR="006545A8" w:rsidRPr="006545A8">
        <w:rPr>
          <w:rFonts w:cs="Times New Roman"/>
        </w:rPr>
        <w:t>Harezlak</w:t>
      </w:r>
      <w:proofErr w:type="spellEnd"/>
      <w:r w:rsidR="006545A8">
        <w:rPr>
          <w:rFonts w:cs="Times New Roman"/>
        </w:rPr>
        <w:t xml:space="preserve">, </w:t>
      </w:r>
      <w:r w:rsidR="006545A8" w:rsidRPr="006545A8">
        <w:rPr>
          <w:rFonts w:cs="Times New Roman"/>
        </w:rPr>
        <w:t>harezlak@iu.edu</w:t>
      </w:r>
    </w:p>
    <w:p w14:paraId="3BD5A427" w14:textId="4641DCE1" w:rsidR="00EA3D3C" w:rsidRPr="00994A3D" w:rsidRDefault="00F308E7" w:rsidP="00F308E7">
      <w:pPr>
        <w:pStyle w:val="Heading1"/>
      </w:pPr>
      <w:r w:rsidRPr="00F308E7">
        <w:t>Multiple comparison correction</w:t>
      </w:r>
    </w:p>
    <w:p w14:paraId="1294818A" w14:textId="30A81CC6" w:rsidR="00F308E7" w:rsidRPr="00F308E7" w:rsidRDefault="00F308E7" w:rsidP="00F308E7">
      <w:pPr>
        <w:spacing w:before="100" w:beforeAutospacing="1" w:after="100" w:afterAutospacing="1"/>
        <w:jc w:val="both"/>
        <w:rPr>
          <w:rFonts w:eastAsia="Times New Roman" w:cs="Times New Roman"/>
          <w:szCs w:val="24"/>
          <w:lang w:val="en-GB" w:eastAsia="en-GB"/>
        </w:rPr>
      </w:pPr>
      <w:r w:rsidRPr="00F308E7">
        <w:rPr>
          <w:rFonts w:cs="Times New Roman"/>
          <w:szCs w:val="24"/>
        </w:rPr>
        <w:t xml:space="preserve">In this study, we estimated pairwise associations between 248 brain regions and tested their significance accounting for multiple comparisons.  We applied a commonly used false discovery rate (FDR) correction developed by </w:t>
      </w:r>
      <w:proofErr w:type="spellStart"/>
      <w:r w:rsidRPr="00F308E7">
        <w:rPr>
          <w:rFonts w:cs="Times New Roman"/>
          <w:szCs w:val="24"/>
        </w:rPr>
        <w:t>Benjamini</w:t>
      </w:r>
      <w:proofErr w:type="spellEnd"/>
      <w:r w:rsidRPr="00F308E7">
        <w:rPr>
          <w:rFonts w:cs="Times New Roman"/>
          <w:szCs w:val="24"/>
        </w:rPr>
        <w:t xml:space="preserve"> &amp; </w:t>
      </w:r>
      <w:proofErr w:type="spellStart"/>
      <w:r w:rsidRPr="00F308E7">
        <w:rPr>
          <w:rFonts w:cs="Times New Roman"/>
          <w:szCs w:val="24"/>
        </w:rPr>
        <w:t>Yekutieli</w:t>
      </w:r>
      <w:proofErr w:type="spellEnd"/>
      <w:r w:rsidRPr="00F308E7">
        <w:rPr>
          <w:rFonts w:cs="Times New Roman"/>
          <w:szCs w:val="24"/>
        </w:rPr>
        <w:t xml:space="preserve"> (2001) and compared the results using another popular, more stringent family-wise error (FWE) rate correction (</w:t>
      </w:r>
      <w:proofErr w:type="spellStart"/>
      <w:r w:rsidRPr="00F308E7">
        <w:rPr>
          <w:rFonts w:cs="Times New Roman"/>
          <w:szCs w:val="24"/>
        </w:rPr>
        <w:t>Bretz</w:t>
      </w:r>
      <w:proofErr w:type="spellEnd"/>
      <w:r w:rsidRPr="00F308E7">
        <w:rPr>
          <w:rFonts w:cs="Times New Roman"/>
          <w:szCs w:val="24"/>
        </w:rPr>
        <w:t xml:space="preserve"> et al. 2010).  The significance criterion for bo</w:t>
      </w:r>
      <w:r w:rsidR="00A10C55">
        <w:rPr>
          <w:rFonts w:cs="Times New Roman"/>
          <w:szCs w:val="24"/>
        </w:rPr>
        <w:t>th methods was set at</w:t>
      </w:r>
      <w:r w:rsidR="00A56CB6">
        <w:rPr>
          <w:rFonts w:cs="Times New Roman"/>
          <w:szCs w:val="24"/>
        </w:rPr>
        <w:t xml:space="preserve"> corrected</w:t>
      </w:r>
      <w:r w:rsidR="00A10C55">
        <w:rPr>
          <w:rFonts w:cs="Times New Roman"/>
          <w:szCs w:val="24"/>
        </w:rPr>
        <w:t xml:space="preserve"> p</w:t>
      </w:r>
      <w:r w:rsidRPr="00F308E7">
        <w:rPr>
          <w:rFonts w:cs="Times New Roman"/>
          <w:szCs w:val="24"/>
        </w:rPr>
        <w:t xml:space="preserve"> &lt; 0.05</w:t>
      </w:r>
      <w:bookmarkStart w:id="1" w:name="_GoBack"/>
      <w:bookmarkEnd w:id="1"/>
      <w:r w:rsidRPr="00F308E7">
        <w:rPr>
          <w:rFonts w:cs="Times New Roman"/>
          <w:szCs w:val="24"/>
        </w:rPr>
        <w:t>.  The number of significant associations as a function of the proportion value for both methods is presented in Supple</w:t>
      </w:r>
      <w:r w:rsidR="007414BB">
        <w:rPr>
          <w:rFonts w:cs="Times New Roman"/>
          <w:szCs w:val="24"/>
        </w:rPr>
        <w:t>mentary Figure</w:t>
      </w:r>
      <w:r w:rsidR="00A10C55">
        <w:rPr>
          <w:rFonts w:cs="Times New Roman"/>
          <w:szCs w:val="24"/>
        </w:rPr>
        <w:t>s</w:t>
      </w:r>
      <w:r w:rsidR="007414BB">
        <w:rPr>
          <w:rFonts w:cs="Times New Roman"/>
          <w:szCs w:val="24"/>
        </w:rPr>
        <w:t xml:space="preserve"> 1 and 2. </w:t>
      </w:r>
      <w:r w:rsidRPr="00F308E7">
        <w:rPr>
          <w:rFonts w:cs="Times New Roman"/>
          <w:szCs w:val="24"/>
        </w:rPr>
        <w:t>As expected, both multiple comparison adjustment methods showed number of significant association decreasing with the increasing proportion level.  The FDR correction for strongly correlated fMRI data was slightly less conservative than the Bonferroni correction, but the resulting number of significant associations was very similar.</w:t>
      </w:r>
    </w:p>
    <w:p w14:paraId="663A5336" w14:textId="77777777" w:rsidR="00F308E7" w:rsidRPr="00C371D2" w:rsidRDefault="00F308E7" w:rsidP="00F308E7">
      <w:pPr>
        <w:spacing w:before="240"/>
        <w:rPr>
          <w:rFonts w:cs="Times New Roman"/>
        </w:rPr>
      </w:pPr>
      <w:r w:rsidRPr="00C371D2">
        <w:rPr>
          <w:rFonts w:cs="Times New Roman"/>
          <w:noProof/>
        </w:rPr>
        <w:drawing>
          <wp:inline distT="0" distB="0" distL="0" distR="0" wp14:anchorId="08B84FF6" wp14:editId="21E0360F">
            <wp:extent cx="4840605" cy="2944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0605" cy="2944495"/>
                    </a:xfrm>
                    <a:prstGeom prst="rect">
                      <a:avLst/>
                    </a:prstGeom>
                    <a:noFill/>
                  </pic:spPr>
                </pic:pic>
              </a:graphicData>
            </a:graphic>
          </wp:inline>
        </w:drawing>
      </w:r>
    </w:p>
    <w:p w14:paraId="669734C7" w14:textId="19852DDC" w:rsidR="00F308E7" w:rsidRPr="00C371D2" w:rsidRDefault="00F308E7" w:rsidP="00F308E7">
      <w:pPr>
        <w:spacing w:before="240"/>
        <w:rPr>
          <w:rFonts w:cs="Times New Roman"/>
        </w:rPr>
      </w:pPr>
      <w:r w:rsidRPr="00C371D2">
        <w:rPr>
          <w:rFonts w:cs="Times New Roman"/>
          <w:b/>
          <w:szCs w:val="24"/>
        </w:rPr>
        <w:t>Supplementary Figure</w:t>
      </w:r>
      <w:r w:rsidRPr="00C371D2">
        <w:rPr>
          <w:rFonts w:cs="Times New Roman"/>
        </w:rPr>
        <w:t xml:space="preserve"> 1.  Number of significant associations for beer flavor versus a leve</w:t>
      </w:r>
      <w:r w:rsidR="00A10C55">
        <w:rPr>
          <w:rFonts w:cs="Times New Roman"/>
        </w:rPr>
        <w:t>l of proportion for FDR and FWE</w:t>
      </w:r>
      <w:r w:rsidRPr="00C371D2">
        <w:rPr>
          <w:rFonts w:cs="Times New Roman"/>
        </w:rPr>
        <w:t xml:space="preserve"> corrections (</w:t>
      </w:r>
      <w:r w:rsidR="00BF6722">
        <w:rPr>
          <w:rFonts w:cs="Times New Roman"/>
        </w:rPr>
        <w:t xml:space="preserve">red </w:t>
      </w:r>
      <w:r w:rsidRPr="00C371D2">
        <w:rPr>
          <w:rFonts w:cs="Times New Roman"/>
        </w:rPr>
        <w:t xml:space="preserve">and </w:t>
      </w:r>
      <w:r w:rsidR="00BF6722">
        <w:rPr>
          <w:rFonts w:cs="Times New Roman"/>
        </w:rPr>
        <w:t>blue</w:t>
      </w:r>
      <w:r w:rsidRPr="00C371D2">
        <w:rPr>
          <w:rFonts w:cs="Times New Roman"/>
        </w:rPr>
        <w:t xml:space="preserve"> line, respectively).</w:t>
      </w:r>
    </w:p>
    <w:p w14:paraId="51D0A14A" w14:textId="77777777" w:rsidR="00F308E7" w:rsidRPr="00C371D2" w:rsidRDefault="00F308E7" w:rsidP="00F308E7">
      <w:pPr>
        <w:spacing w:before="240"/>
        <w:rPr>
          <w:rFonts w:cs="Times New Roman"/>
        </w:rPr>
      </w:pPr>
    </w:p>
    <w:p w14:paraId="4BC87C68" w14:textId="77777777" w:rsidR="00F308E7" w:rsidRPr="00C371D2" w:rsidRDefault="00F308E7" w:rsidP="00F308E7">
      <w:pPr>
        <w:spacing w:before="240"/>
        <w:rPr>
          <w:rFonts w:cs="Times New Roman"/>
        </w:rPr>
      </w:pPr>
    </w:p>
    <w:p w14:paraId="65598A87" w14:textId="77777777" w:rsidR="00F308E7" w:rsidRPr="00C371D2" w:rsidRDefault="00F308E7" w:rsidP="00F308E7">
      <w:pPr>
        <w:spacing w:before="240"/>
        <w:rPr>
          <w:rFonts w:cs="Times New Roman"/>
        </w:rPr>
      </w:pPr>
      <w:r w:rsidRPr="00C371D2">
        <w:rPr>
          <w:rFonts w:cs="Times New Roman"/>
          <w:noProof/>
        </w:rPr>
        <w:drawing>
          <wp:inline distT="0" distB="0" distL="0" distR="0" wp14:anchorId="31869EF0" wp14:editId="148C2D97">
            <wp:extent cx="4846955" cy="2840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955" cy="2840990"/>
                    </a:xfrm>
                    <a:prstGeom prst="rect">
                      <a:avLst/>
                    </a:prstGeom>
                    <a:noFill/>
                  </pic:spPr>
                </pic:pic>
              </a:graphicData>
            </a:graphic>
          </wp:inline>
        </w:drawing>
      </w:r>
    </w:p>
    <w:p w14:paraId="7B65BC41" w14:textId="5B528464" w:rsidR="00DE23E8" w:rsidRPr="007414BB" w:rsidRDefault="00F308E7" w:rsidP="007414BB">
      <w:pPr>
        <w:spacing w:before="240"/>
        <w:jc w:val="both"/>
        <w:rPr>
          <w:rFonts w:cs="Times New Roman"/>
        </w:rPr>
      </w:pPr>
      <w:r w:rsidRPr="00C371D2">
        <w:rPr>
          <w:rFonts w:cs="Times New Roman"/>
          <w:b/>
          <w:szCs w:val="24"/>
        </w:rPr>
        <w:t>Supplementary Figure</w:t>
      </w:r>
      <w:r w:rsidRPr="00C371D2">
        <w:rPr>
          <w:rFonts w:cs="Times New Roman"/>
          <w:b/>
        </w:rPr>
        <w:t xml:space="preserve"> </w:t>
      </w:r>
      <w:r w:rsidRPr="00C371D2">
        <w:rPr>
          <w:rFonts w:cs="Times New Roman"/>
        </w:rPr>
        <w:t>2.  Number of significant associations for the flavor difference between beer and Gatorade as a function of the p</w:t>
      </w:r>
      <w:r w:rsidR="00A10C55">
        <w:rPr>
          <w:rFonts w:cs="Times New Roman"/>
        </w:rPr>
        <w:t>roportion level for FDR and FWE</w:t>
      </w:r>
      <w:r w:rsidRPr="00C371D2">
        <w:rPr>
          <w:rFonts w:cs="Times New Roman"/>
        </w:rPr>
        <w:t xml:space="preserve"> corrections (</w:t>
      </w:r>
      <w:r w:rsidR="00BF6722">
        <w:rPr>
          <w:rFonts w:cs="Times New Roman"/>
        </w:rPr>
        <w:t>red</w:t>
      </w:r>
      <w:r>
        <w:rPr>
          <w:rFonts w:cs="Times New Roman"/>
        </w:rPr>
        <w:t xml:space="preserve"> and </w:t>
      </w:r>
      <w:r w:rsidR="00BF6722">
        <w:rPr>
          <w:rFonts w:cs="Times New Roman"/>
        </w:rPr>
        <w:t>blue</w:t>
      </w:r>
      <w:r>
        <w:rPr>
          <w:rFonts w:cs="Times New Roman"/>
        </w:rPr>
        <w:t xml:space="preserve"> line, respectively).</w:t>
      </w:r>
    </w:p>
    <w:p w14:paraId="5A1D553E" w14:textId="57235668" w:rsidR="007414BB" w:rsidRDefault="00CA15A5" w:rsidP="009554AE">
      <w:pPr>
        <w:pStyle w:val="Heading1"/>
      </w:pPr>
      <w:r>
        <w:t>Comparison of</w:t>
      </w:r>
      <w:r w:rsidR="00286D81">
        <w:t xml:space="preserve"> the population level </w:t>
      </w:r>
      <w:proofErr w:type="spellStart"/>
      <w:r w:rsidR="00286D81">
        <w:t>dFC</w:t>
      </w:r>
      <w:proofErr w:type="spellEnd"/>
      <w:r w:rsidR="00286D81">
        <w:t xml:space="preserve"> estimate</w:t>
      </w:r>
      <w:r w:rsidR="00AC55BF">
        <w:t xml:space="preserve"> results</w:t>
      </w:r>
      <w:r w:rsidR="00286D81">
        <w:t xml:space="preserve"> </w:t>
      </w:r>
      <w:r w:rsidR="004F4D0F">
        <w:t xml:space="preserve">when using </w:t>
      </w:r>
      <w:r w:rsidR="003F0FA8">
        <w:t xml:space="preserve">bootstrap-based </w:t>
      </w:r>
      <w:r>
        <w:t xml:space="preserve">and </w:t>
      </w:r>
      <w:r w:rsidR="007414BB" w:rsidRPr="007414BB">
        <w:t xml:space="preserve">the </w:t>
      </w:r>
      <w:r w:rsidR="007414BB">
        <w:t xml:space="preserve">regular </w:t>
      </w:r>
      <w:r w:rsidR="007414BB" w:rsidRPr="007414BB">
        <w:t>sliding window approac</w:t>
      </w:r>
      <w:r w:rsidR="007414BB">
        <w:t>h</w:t>
      </w:r>
      <w:r w:rsidR="003F0FA8">
        <w:t xml:space="preserve"> for subject-level </w:t>
      </w:r>
      <w:proofErr w:type="spellStart"/>
      <w:r w:rsidR="006800B8">
        <w:t>dFC</w:t>
      </w:r>
      <w:proofErr w:type="spellEnd"/>
      <w:r w:rsidR="006800B8">
        <w:t xml:space="preserve"> </w:t>
      </w:r>
      <w:r w:rsidR="003F0FA8">
        <w:t>estimation</w:t>
      </w:r>
    </w:p>
    <w:p w14:paraId="4A37E4F7" w14:textId="29BFD1D5" w:rsidR="005822AA" w:rsidRDefault="007A3008" w:rsidP="007A3008">
      <w:pPr>
        <w:spacing w:before="100" w:beforeAutospacing="1" w:after="100" w:afterAutospacing="1"/>
        <w:rPr>
          <w:rFonts w:eastAsia="Times New Roman" w:cs="Times New Roman"/>
          <w:szCs w:val="24"/>
        </w:rPr>
      </w:pPr>
      <w:r>
        <w:rPr>
          <w:rFonts w:eastAsia="Times New Roman" w:cs="Times New Roman"/>
          <w:szCs w:val="24"/>
        </w:rPr>
        <w:t>W</w:t>
      </w:r>
      <w:r w:rsidRPr="00B65B60">
        <w:rPr>
          <w:rFonts w:eastAsia="Times New Roman" w:cs="Times New Roman"/>
          <w:szCs w:val="24"/>
        </w:rPr>
        <w:t xml:space="preserve">e </w:t>
      </w:r>
      <w:r w:rsidR="006800B8">
        <w:rPr>
          <w:rFonts w:eastAsia="Times New Roman" w:cs="Times New Roman"/>
          <w:szCs w:val="24"/>
        </w:rPr>
        <w:t xml:space="preserve">also </w:t>
      </w:r>
      <w:r w:rsidR="00793128">
        <w:rPr>
          <w:rFonts w:eastAsia="Times New Roman" w:cs="Times New Roman"/>
          <w:szCs w:val="24"/>
        </w:rPr>
        <w:t>compare</w:t>
      </w:r>
      <w:r w:rsidR="006800B8">
        <w:rPr>
          <w:rFonts w:eastAsia="Times New Roman" w:cs="Times New Roman"/>
          <w:szCs w:val="24"/>
        </w:rPr>
        <w:t>d</w:t>
      </w:r>
      <w:r w:rsidRPr="00B65B60">
        <w:rPr>
          <w:rFonts w:eastAsia="Times New Roman" w:cs="Times New Roman"/>
          <w:szCs w:val="24"/>
        </w:rPr>
        <w:t xml:space="preserve"> </w:t>
      </w:r>
      <w:r w:rsidR="008C78E9">
        <w:rPr>
          <w:rFonts w:eastAsia="Times New Roman" w:cs="Times New Roman"/>
          <w:szCs w:val="24"/>
        </w:rPr>
        <w:t>population-level</w:t>
      </w:r>
      <w:r w:rsidR="00A33339">
        <w:rPr>
          <w:rFonts w:eastAsia="Times New Roman" w:cs="Times New Roman"/>
          <w:szCs w:val="24"/>
        </w:rPr>
        <w:t xml:space="preserve"> </w:t>
      </w:r>
      <w:r w:rsidR="001E246D">
        <w:rPr>
          <w:rFonts w:eastAsia="Times New Roman" w:cs="Times New Roman"/>
          <w:szCs w:val="24"/>
        </w:rPr>
        <w:t xml:space="preserve">results for a set of </w:t>
      </w:r>
      <w:r w:rsidR="001E246D" w:rsidRPr="001E246D">
        <w:rPr>
          <w:rFonts w:eastAsia="Times New Roman" w:cs="Times New Roman"/>
          <w:i/>
          <w:szCs w:val="24"/>
        </w:rPr>
        <w:t>a priori</w:t>
      </w:r>
      <w:r w:rsidR="001E246D">
        <w:rPr>
          <w:rFonts w:eastAsia="Times New Roman" w:cs="Times New Roman"/>
          <w:szCs w:val="24"/>
        </w:rPr>
        <w:t xml:space="preserve"> regions</w:t>
      </w:r>
      <w:r w:rsidR="00A33339">
        <w:rPr>
          <w:rFonts w:eastAsia="Times New Roman" w:cs="Times New Roman"/>
          <w:szCs w:val="24"/>
        </w:rPr>
        <w:t xml:space="preserve"> </w:t>
      </w:r>
      <w:r w:rsidR="001E246D">
        <w:rPr>
          <w:rFonts w:eastAsia="Times New Roman" w:cs="Times New Roman"/>
          <w:szCs w:val="24"/>
        </w:rPr>
        <w:t>of interest</w:t>
      </w:r>
      <w:r w:rsidR="001E246D" w:rsidRPr="00B65B60">
        <w:rPr>
          <w:rFonts w:eastAsia="Times New Roman" w:cs="Times New Roman"/>
          <w:szCs w:val="24"/>
        </w:rPr>
        <w:t xml:space="preserve"> </w:t>
      </w:r>
      <w:r w:rsidR="001E246D">
        <w:rPr>
          <w:rFonts w:eastAsia="Times New Roman" w:cs="Times New Roman"/>
          <w:szCs w:val="24"/>
        </w:rPr>
        <w:t>(as presented in</w:t>
      </w:r>
      <w:r w:rsidR="001E246D" w:rsidRPr="00B65B60">
        <w:rPr>
          <w:rFonts w:eastAsia="Times New Roman" w:cs="Times New Roman"/>
          <w:szCs w:val="24"/>
        </w:rPr>
        <w:t xml:space="preserve"> Figure 6</w:t>
      </w:r>
      <w:r w:rsidR="001E246D">
        <w:rPr>
          <w:rFonts w:eastAsia="Times New Roman" w:cs="Times New Roman"/>
          <w:szCs w:val="24"/>
        </w:rPr>
        <w:t xml:space="preserve">) </w:t>
      </w:r>
      <w:r w:rsidR="00AC55BF">
        <w:rPr>
          <w:rFonts w:eastAsia="Times New Roman" w:cs="Times New Roman"/>
          <w:szCs w:val="24"/>
        </w:rPr>
        <w:t xml:space="preserve">when </w:t>
      </w:r>
      <w:r w:rsidR="004F4D0F">
        <w:rPr>
          <w:rFonts w:eastAsia="Times New Roman" w:cs="Times New Roman"/>
          <w:szCs w:val="24"/>
        </w:rPr>
        <w:t xml:space="preserve">subject-specific </w:t>
      </w:r>
      <w:proofErr w:type="spellStart"/>
      <w:r w:rsidR="004F4D0F">
        <w:rPr>
          <w:rFonts w:eastAsia="Times New Roman" w:cs="Times New Roman"/>
          <w:szCs w:val="24"/>
        </w:rPr>
        <w:t>dFC</w:t>
      </w:r>
      <w:proofErr w:type="spellEnd"/>
      <w:r w:rsidR="004F4D0F">
        <w:rPr>
          <w:rFonts w:eastAsia="Times New Roman" w:cs="Times New Roman"/>
          <w:szCs w:val="24"/>
        </w:rPr>
        <w:t xml:space="preserve"> </w:t>
      </w:r>
      <w:r w:rsidR="00AC55BF">
        <w:rPr>
          <w:rFonts w:eastAsia="Times New Roman" w:cs="Times New Roman"/>
          <w:szCs w:val="24"/>
        </w:rPr>
        <w:t xml:space="preserve">estimates </w:t>
      </w:r>
      <w:r w:rsidR="004F4D0F">
        <w:rPr>
          <w:rFonts w:eastAsia="Times New Roman" w:cs="Times New Roman"/>
          <w:szCs w:val="24"/>
        </w:rPr>
        <w:t xml:space="preserve">in step </w:t>
      </w:r>
      <w:r w:rsidR="00FB6980">
        <w:rPr>
          <w:rFonts w:eastAsia="Times New Roman" w:cs="Times New Roman"/>
          <w:szCs w:val="24"/>
        </w:rPr>
        <w:t>one</w:t>
      </w:r>
      <w:r w:rsidR="004F4D0F">
        <w:rPr>
          <w:rFonts w:eastAsia="Times New Roman" w:cs="Times New Roman"/>
          <w:szCs w:val="24"/>
        </w:rPr>
        <w:t xml:space="preserve"> </w:t>
      </w:r>
      <w:r w:rsidR="00681D20">
        <w:rPr>
          <w:rFonts w:eastAsia="Times New Roman" w:cs="Times New Roman"/>
          <w:szCs w:val="24"/>
        </w:rPr>
        <w:t xml:space="preserve">of </w:t>
      </w:r>
      <w:r w:rsidR="00BF6722">
        <w:rPr>
          <w:rFonts w:eastAsia="Times New Roman" w:cs="Times New Roman"/>
          <w:szCs w:val="24"/>
        </w:rPr>
        <w:t xml:space="preserve">the </w:t>
      </w:r>
      <w:r w:rsidR="00681D20">
        <w:rPr>
          <w:rFonts w:eastAsia="Times New Roman" w:cs="Times New Roman"/>
          <w:szCs w:val="24"/>
        </w:rPr>
        <w:t xml:space="preserve">proposed algorithm </w:t>
      </w:r>
      <w:r w:rsidR="00AC55BF">
        <w:rPr>
          <w:rFonts w:eastAsia="Times New Roman" w:cs="Times New Roman"/>
          <w:szCs w:val="24"/>
        </w:rPr>
        <w:t>were obtained using a</w:t>
      </w:r>
      <w:r w:rsidR="004F4D0F">
        <w:rPr>
          <w:rFonts w:eastAsia="Times New Roman" w:cs="Times New Roman"/>
          <w:szCs w:val="24"/>
        </w:rPr>
        <w:t xml:space="preserve"> </w:t>
      </w:r>
      <w:r w:rsidR="00AC55BF">
        <w:rPr>
          <w:rFonts w:eastAsia="Times New Roman" w:cs="Times New Roman"/>
          <w:szCs w:val="24"/>
        </w:rPr>
        <w:t xml:space="preserve">bootstrap-based </w:t>
      </w:r>
      <w:r w:rsidR="004F4D0F">
        <w:rPr>
          <w:rFonts w:eastAsia="Times New Roman" w:cs="Times New Roman"/>
          <w:szCs w:val="24"/>
        </w:rPr>
        <w:t xml:space="preserve">algorithm </w:t>
      </w:r>
      <w:r w:rsidR="00AC55BF">
        <w:rPr>
          <w:rFonts w:eastAsia="Times New Roman" w:cs="Times New Roman"/>
          <w:szCs w:val="24"/>
        </w:rPr>
        <w:t xml:space="preserve">and when applying </w:t>
      </w:r>
      <w:r w:rsidR="00A33339">
        <w:rPr>
          <w:rFonts w:eastAsia="Times New Roman" w:cs="Times New Roman"/>
          <w:szCs w:val="24"/>
        </w:rPr>
        <w:t>the regular sliding window approach</w:t>
      </w:r>
      <w:r w:rsidR="003C27A6">
        <w:rPr>
          <w:rFonts w:eastAsia="Times New Roman" w:cs="Times New Roman"/>
          <w:szCs w:val="24"/>
        </w:rPr>
        <w:t xml:space="preserve"> only (RSWO)</w:t>
      </w:r>
      <w:r w:rsidRPr="00B65B60">
        <w:rPr>
          <w:rFonts w:eastAsia="Times New Roman" w:cs="Times New Roman"/>
          <w:szCs w:val="24"/>
        </w:rPr>
        <w:t>.</w:t>
      </w:r>
      <w:r>
        <w:rPr>
          <w:rFonts w:eastAsia="Times New Roman" w:cs="Times New Roman"/>
          <w:szCs w:val="24"/>
        </w:rPr>
        <w:t xml:space="preserve"> </w:t>
      </w:r>
      <w:r w:rsidR="00AC55BF">
        <w:rPr>
          <w:rFonts w:eastAsia="Times New Roman" w:cs="Times New Roman"/>
          <w:szCs w:val="24"/>
        </w:rPr>
        <w:t>T</w:t>
      </w:r>
      <w:r w:rsidR="001E246D">
        <w:rPr>
          <w:rFonts w:eastAsia="Times New Roman" w:cs="Times New Roman"/>
          <w:szCs w:val="24"/>
        </w:rPr>
        <w:t xml:space="preserve">he </w:t>
      </w:r>
      <w:r w:rsidR="00CA15A5">
        <w:rPr>
          <w:rFonts w:eastAsia="Times New Roman" w:cs="Times New Roman"/>
          <w:szCs w:val="24"/>
        </w:rPr>
        <w:t xml:space="preserve">window </w:t>
      </w:r>
      <w:r w:rsidR="001E246D">
        <w:rPr>
          <w:rFonts w:eastAsia="Times New Roman" w:cs="Times New Roman"/>
          <w:szCs w:val="24"/>
        </w:rPr>
        <w:t>length</w:t>
      </w:r>
      <w:r w:rsidR="00AC55BF">
        <w:rPr>
          <w:rFonts w:eastAsia="Times New Roman" w:cs="Times New Roman"/>
          <w:szCs w:val="24"/>
        </w:rPr>
        <w:t xml:space="preserve"> was identical in both approaches</w:t>
      </w:r>
      <w:r w:rsidR="001E246D">
        <w:rPr>
          <w:rFonts w:eastAsia="Times New Roman" w:cs="Times New Roman"/>
          <w:szCs w:val="24"/>
        </w:rPr>
        <w:t xml:space="preserve">. </w:t>
      </w:r>
      <w:r w:rsidRPr="00B65B60">
        <w:rPr>
          <w:rFonts w:eastAsia="Times New Roman" w:cs="Times New Roman"/>
          <w:szCs w:val="24"/>
        </w:rPr>
        <w:t xml:space="preserve">In general, </w:t>
      </w:r>
      <w:r>
        <w:rPr>
          <w:rFonts w:eastAsia="Times New Roman" w:cs="Times New Roman"/>
          <w:szCs w:val="24"/>
        </w:rPr>
        <w:t xml:space="preserve">two </w:t>
      </w:r>
      <w:r w:rsidRPr="00B65B60">
        <w:rPr>
          <w:rFonts w:eastAsia="Times New Roman" w:cs="Times New Roman"/>
          <w:szCs w:val="24"/>
        </w:rPr>
        <w:t>method</w:t>
      </w:r>
      <w:r>
        <w:rPr>
          <w:rFonts w:eastAsia="Times New Roman" w:cs="Times New Roman"/>
          <w:szCs w:val="24"/>
        </w:rPr>
        <w:t>s</w:t>
      </w:r>
      <w:r w:rsidRPr="00B65B60">
        <w:rPr>
          <w:rFonts w:eastAsia="Times New Roman" w:cs="Times New Roman"/>
          <w:szCs w:val="24"/>
        </w:rPr>
        <w:t xml:space="preserve"> </w:t>
      </w:r>
      <w:r>
        <w:rPr>
          <w:rFonts w:eastAsia="Times New Roman" w:cs="Times New Roman"/>
          <w:szCs w:val="24"/>
        </w:rPr>
        <w:t>yield</w:t>
      </w:r>
      <w:r w:rsidR="00CA15A5">
        <w:rPr>
          <w:rFonts w:eastAsia="Times New Roman" w:cs="Times New Roman"/>
          <w:szCs w:val="24"/>
        </w:rPr>
        <w:t>ed</w:t>
      </w:r>
      <w:r>
        <w:rPr>
          <w:rFonts w:eastAsia="Times New Roman" w:cs="Times New Roman"/>
          <w:szCs w:val="24"/>
        </w:rPr>
        <w:t xml:space="preserve"> very similar results</w:t>
      </w:r>
      <w:r w:rsidR="001E246D">
        <w:rPr>
          <w:rFonts w:eastAsia="Times New Roman" w:cs="Times New Roman"/>
          <w:szCs w:val="24"/>
        </w:rPr>
        <w:t xml:space="preserve">. Proposed bootstrap-based approach detected significant associations for 16 out of 21 pairwise comparisons </w:t>
      </w:r>
      <w:r w:rsidR="001E246D" w:rsidRPr="00B65B60">
        <w:rPr>
          <w:rFonts w:eastAsia="Times New Roman" w:cs="Times New Roman"/>
          <w:szCs w:val="24"/>
        </w:rPr>
        <w:t>during the beer scans</w:t>
      </w:r>
      <w:r w:rsidR="0075681B">
        <w:rPr>
          <w:rFonts w:eastAsia="Times New Roman" w:cs="Times New Roman"/>
          <w:szCs w:val="24"/>
        </w:rPr>
        <w:t>, while</w:t>
      </w:r>
      <w:r w:rsidR="003C27A6">
        <w:rPr>
          <w:rFonts w:eastAsia="Times New Roman" w:cs="Times New Roman"/>
          <w:szCs w:val="24"/>
        </w:rPr>
        <w:t xml:space="preserve"> </w:t>
      </w:r>
      <w:r w:rsidR="0075681B">
        <w:rPr>
          <w:rFonts w:eastAsia="Times New Roman" w:cs="Times New Roman"/>
          <w:szCs w:val="24"/>
        </w:rPr>
        <w:t>t</w:t>
      </w:r>
      <w:r w:rsidR="001E246D">
        <w:rPr>
          <w:rFonts w:eastAsia="Times New Roman" w:cs="Times New Roman"/>
          <w:szCs w:val="24"/>
        </w:rPr>
        <w:t xml:space="preserve">he </w:t>
      </w:r>
      <w:r w:rsidR="006226A0">
        <w:rPr>
          <w:rFonts w:eastAsia="Times New Roman" w:cs="Times New Roman"/>
          <w:szCs w:val="24"/>
        </w:rPr>
        <w:t xml:space="preserve">RSWO </w:t>
      </w:r>
      <w:r w:rsidR="001E246D">
        <w:rPr>
          <w:rFonts w:eastAsia="Times New Roman" w:cs="Times New Roman"/>
          <w:szCs w:val="24"/>
        </w:rPr>
        <w:t xml:space="preserve">approach detected </w:t>
      </w:r>
      <w:r w:rsidR="006226A0">
        <w:rPr>
          <w:rFonts w:eastAsia="Times New Roman" w:cs="Times New Roman"/>
          <w:szCs w:val="24"/>
        </w:rPr>
        <w:t xml:space="preserve">one less significant association </w:t>
      </w:r>
      <w:r w:rsidR="003C27A6">
        <w:rPr>
          <w:rFonts w:eastAsia="Times New Roman" w:cs="Times New Roman"/>
          <w:szCs w:val="24"/>
        </w:rPr>
        <w:t xml:space="preserve">(see lower triangular elements of </w:t>
      </w:r>
      <w:r w:rsidR="0075681B">
        <w:rPr>
          <w:rFonts w:eastAsia="Times New Roman" w:cs="Times New Roman"/>
          <w:szCs w:val="24"/>
        </w:rPr>
        <w:t xml:space="preserve">Figure 6 A and </w:t>
      </w:r>
      <w:r w:rsidR="003C27A6" w:rsidRPr="00286D81">
        <w:rPr>
          <w:rFonts w:eastAsia="Times New Roman" w:cs="Times New Roman"/>
          <w:szCs w:val="24"/>
        </w:rPr>
        <w:t>Supp. Fig</w:t>
      </w:r>
      <w:r w:rsidR="005822AA" w:rsidRPr="00A263B4">
        <w:rPr>
          <w:rFonts w:eastAsia="Times New Roman" w:cs="Times New Roman"/>
          <w:szCs w:val="24"/>
        </w:rPr>
        <w:t>ure</w:t>
      </w:r>
      <w:r w:rsidR="003C27A6">
        <w:rPr>
          <w:rFonts w:eastAsia="Times New Roman" w:cs="Times New Roman"/>
          <w:szCs w:val="24"/>
        </w:rPr>
        <w:t xml:space="preserve"> 3 A</w:t>
      </w:r>
      <w:r w:rsidR="0075681B">
        <w:rPr>
          <w:rFonts w:eastAsia="Times New Roman" w:cs="Times New Roman"/>
          <w:szCs w:val="24"/>
        </w:rPr>
        <w:t>, respectively</w:t>
      </w:r>
      <w:r w:rsidR="003C27A6">
        <w:rPr>
          <w:rFonts w:eastAsia="Times New Roman" w:cs="Times New Roman"/>
          <w:szCs w:val="24"/>
        </w:rPr>
        <w:t>)</w:t>
      </w:r>
      <w:r w:rsidR="003C27A6" w:rsidRPr="00B65B60">
        <w:rPr>
          <w:rFonts w:eastAsia="Times New Roman" w:cs="Times New Roman"/>
          <w:szCs w:val="24"/>
        </w:rPr>
        <w:t xml:space="preserve">. </w:t>
      </w:r>
      <w:r w:rsidR="003C27A6">
        <w:rPr>
          <w:rFonts w:eastAsia="Times New Roman" w:cs="Times New Roman"/>
          <w:szCs w:val="24"/>
        </w:rPr>
        <w:t xml:space="preserve"> </w:t>
      </w:r>
      <w:r w:rsidR="004948BC">
        <w:rPr>
          <w:rFonts w:eastAsia="Times New Roman" w:cs="Times New Roman"/>
          <w:szCs w:val="24"/>
        </w:rPr>
        <w:t xml:space="preserve">For </w:t>
      </w:r>
      <w:r w:rsidR="004948BC" w:rsidRPr="00B65B60">
        <w:rPr>
          <w:rFonts w:eastAsia="Times New Roman" w:cs="Times New Roman"/>
          <w:szCs w:val="24"/>
        </w:rPr>
        <w:t>the flavor difference</w:t>
      </w:r>
      <w:r w:rsidR="0075681B">
        <w:rPr>
          <w:rFonts w:eastAsia="Times New Roman" w:cs="Times New Roman"/>
          <w:szCs w:val="24"/>
        </w:rPr>
        <w:t xml:space="preserve"> and </w:t>
      </w:r>
      <w:r w:rsidR="005D5C7B">
        <w:rPr>
          <w:rFonts w:eastAsia="Times New Roman" w:cs="Times New Roman"/>
          <w:szCs w:val="24"/>
        </w:rPr>
        <w:t xml:space="preserve">proportion testing </w:t>
      </w:r>
      <w:r w:rsidR="00FE4872">
        <w:rPr>
          <w:rFonts w:eastAsia="Times New Roman" w:cs="Times New Roman"/>
          <w:szCs w:val="24"/>
        </w:rPr>
        <w:t xml:space="preserve">of </w:t>
      </w:r>
      <w:r w:rsidR="005D5C7B">
        <w:rPr>
          <w:rFonts w:eastAsia="Times New Roman" w:cs="Times New Roman"/>
          <w:szCs w:val="24"/>
        </w:rPr>
        <w:t>0.14 (</w:t>
      </w:r>
      <w:r w:rsidR="0075681B">
        <w:rPr>
          <w:rFonts w:eastAsia="Times New Roman" w:cs="Times New Roman"/>
          <w:szCs w:val="24"/>
        </w:rPr>
        <w:t xml:space="preserve">presented </w:t>
      </w:r>
      <w:r w:rsidR="0041566C">
        <w:rPr>
          <w:rFonts w:eastAsia="Times New Roman" w:cs="Times New Roman"/>
          <w:szCs w:val="24"/>
        </w:rPr>
        <w:t>in th</w:t>
      </w:r>
      <w:r w:rsidR="0075681B">
        <w:rPr>
          <w:rFonts w:eastAsia="Times New Roman" w:cs="Times New Roman"/>
          <w:szCs w:val="24"/>
        </w:rPr>
        <w:t>is</w:t>
      </w:r>
      <w:r w:rsidR="0041566C">
        <w:rPr>
          <w:rFonts w:eastAsia="Times New Roman" w:cs="Times New Roman"/>
          <w:szCs w:val="24"/>
        </w:rPr>
        <w:t xml:space="preserve"> </w:t>
      </w:r>
      <w:r w:rsidR="0075681B">
        <w:rPr>
          <w:rFonts w:eastAsia="Times New Roman" w:cs="Times New Roman"/>
          <w:szCs w:val="24"/>
        </w:rPr>
        <w:t>manuscript</w:t>
      </w:r>
      <w:r w:rsidR="005D5C7B">
        <w:rPr>
          <w:rFonts w:eastAsia="Times New Roman" w:cs="Times New Roman"/>
          <w:szCs w:val="24"/>
        </w:rPr>
        <w:t xml:space="preserve">), proposed method detected three significant </w:t>
      </w:r>
      <w:r w:rsidR="00FE4872">
        <w:rPr>
          <w:rFonts w:eastAsia="Times New Roman" w:cs="Times New Roman"/>
          <w:szCs w:val="24"/>
        </w:rPr>
        <w:t>beer-enhanced associations</w:t>
      </w:r>
      <w:r w:rsidR="00B16CAB">
        <w:rPr>
          <w:rFonts w:eastAsia="Times New Roman" w:cs="Times New Roman"/>
          <w:szCs w:val="24"/>
        </w:rPr>
        <w:t xml:space="preserve"> (upper triangular elements of Figure 6 A)</w:t>
      </w:r>
      <w:r w:rsidR="00BE47D9" w:rsidRPr="00771EDB">
        <w:rPr>
          <w:rFonts w:eastAsia="Times New Roman" w:cs="Times New Roman"/>
          <w:szCs w:val="24"/>
        </w:rPr>
        <w:t xml:space="preserve">. </w:t>
      </w:r>
      <w:r w:rsidR="0041566C">
        <w:rPr>
          <w:rFonts w:eastAsia="Times New Roman" w:cs="Times New Roman"/>
          <w:szCs w:val="24"/>
        </w:rPr>
        <w:t>The RSWO detected four additional significant associations between regions</w:t>
      </w:r>
      <w:r w:rsidR="00B16CAB">
        <w:rPr>
          <w:rFonts w:eastAsia="Times New Roman" w:cs="Times New Roman"/>
          <w:szCs w:val="24"/>
        </w:rPr>
        <w:t xml:space="preserve"> (upper triangular elements of Supp. Figure 3 A)</w:t>
      </w:r>
      <w:r w:rsidR="0041566C">
        <w:rPr>
          <w:rFonts w:eastAsia="Times New Roman" w:cs="Times New Roman"/>
          <w:szCs w:val="24"/>
        </w:rPr>
        <w:t>.</w:t>
      </w:r>
      <w:r w:rsidR="0041566C" w:rsidRPr="00FB6980">
        <w:rPr>
          <w:rFonts w:eastAsia="Times New Roman" w:cs="Times New Roman"/>
          <w:szCs w:val="24"/>
        </w:rPr>
        <w:t xml:space="preserve"> </w:t>
      </w:r>
      <w:r w:rsidR="004948BC">
        <w:rPr>
          <w:rFonts w:eastAsia="Times New Roman" w:cs="Times New Roman"/>
          <w:szCs w:val="24"/>
        </w:rPr>
        <w:t xml:space="preserve">For </w:t>
      </w:r>
      <w:r w:rsidR="004948BC" w:rsidRPr="00B65B60">
        <w:rPr>
          <w:rFonts w:eastAsia="Times New Roman" w:cs="Times New Roman"/>
          <w:szCs w:val="24"/>
        </w:rPr>
        <w:t>the flavor difference</w:t>
      </w:r>
      <w:r w:rsidR="0075681B">
        <w:rPr>
          <w:rFonts w:eastAsia="Times New Roman" w:cs="Times New Roman"/>
          <w:szCs w:val="24"/>
        </w:rPr>
        <w:t xml:space="preserve"> and </w:t>
      </w:r>
      <w:r w:rsidR="004948BC">
        <w:rPr>
          <w:rFonts w:eastAsia="Times New Roman" w:cs="Times New Roman"/>
          <w:szCs w:val="24"/>
        </w:rPr>
        <w:t xml:space="preserve">proportion testing of 0.1, the proposed algorithm detected seven significant differences, while RSWO approach detected ten (upper triangular elements </w:t>
      </w:r>
      <w:r w:rsidR="004948BC" w:rsidRPr="00A263B4">
        <w:rPr>
          <w:rFonts w:eastAsia="Times New Roman" w:cs="Times New Roman"/>
          <w:szCs w:val="24"/>
        </w:rPr>
        <w:t xml:space="preserve">of </w:t>
      </w:r>
      <w:r w:rsidR="0075681B">
        <w:rPr>
          <w:rFonts w:eastAsia="Times New Roman" w:cs="Times New Roman"/>
          <w:szCs w:val="24"/>
        </w:rPr>
        <w:t xml:space="preserve">Figure 6 B and </w:t>
      </w:r>
      <w:r w:rsidR="004948BC" w:rsidRPr="00286D81">
        <w:rPr>
          <w:rFonts w:eastAsia="Times New Roman" w:cs="Times New Roman"/>
          <w:szCs w:val="24"/>
        </w:rPr>
        <w:t>Supp. Fig</w:t>
      </w:r>
      <w:r w:rsidR="004948BC" w:rsidRPr="00A263B4">
        <w:rPr>
          <w:rFonts w:eastAsia="Times New Roman" w:cs="Times New Roman"/>
          <w:szCs w:val="24"/>
        </w:rPr>
        <w:t>ure</w:t>
      </w:r>
      <w:r w:rsidR="004948BC">
        <w:rPr>
          <w:rFonts w:eastAsia="Times New Roman" w:cs="Times New Roman"/>
          <w:szCs w:val="24"/>
        </w:rPr>
        <w:t xml:space="preserve"> 3 B</w:t>
      </w:r>
      <w:r w:rsidR="0075681B">
        <w:rPr>
          <w:rFonts w:eastAsia="Times New Roman" w:cs="Times New Roman"/>
          <w:szCs w:val="24"/>
        </w:rPr>
        <w:t>, respectively</w:t>
      </w:r>
      <w:r w:rsidR="004948BC" w:rsidRPr="00771EDB">
        <w:rPr>
          <w:rFonts w:eastAsia="Times New Roman" w:cs="Times New Roman"/>
          <w:szCs w:val="24"/>
        </w:rPr>
        <w:t>)</w:t>
      </w:r>
      <w:r w:rsidR="004948BC">
        <w:rPr>
          <w:rFonts w:eastAsia="Times New Roman" w:cs="Times New Roman"/>
          <w:szCs w:val="24"/>
        </w:rPr>
        <w:t xml:space="preserve">.  </w:t>
      </w:r>
      <w:r w:rsidR="003C27A6" w:rsidRPr="00FB6980">
        <w:rPr>
          <w:rFonts w:eastAsia="Times New Roman" w:cs="Times New Roman"/>
          <w:szCs w:val="24"/>
        </w:rPr>
        <w:t>T</w:t>
      </w:r>
      <w:r w:rsidRPr="00FB6980">
        <w:rPr>
          <w:rFonts w:eastAsia="Times New Roman" w:cs="Times New Roman"/>
          <w:szCs w:val="24"/>
        </w:rPr>
        <w:t>he shapes</w:t>
      </w:r>
      <w:r w:rsidR="00116FCC" w:rsidRPr="00FB6980">
        <w:rPr>
          <w:rFonts w:eastAsia="Times New Roman" w:cs="Times New Roman"/>
          <w:szCs w:val="24"/>
        </w:rPr>
        <w:t xml:space="preserve"> of </w:t>
      </w:r>
      <w:proofErr w:type="spellStart"/>
      <w:r w:rsidR="00116FCC" w:rsidRPr="00FB6980">
        <w:rPr>
          <w:rFonts w:eastAsia="Times New Roman" w:cs="Times New Roman"/>
          <w:szCs w:val="24"/>
        </w:rPr>
        <w:t>dFC</w:t>
      </w:r>
      <w:proofErr w:type="spellEnd"/>
      <w:r w:rsidR="00116FCC" w:rsidRPr="00FB6980">
        <w:rPr>
          <w:rFonts w:eastAsia="Times New Roman" w:cs="Times New Roman"/>
          <w:szCs w:val="24"/>
        </w:rPr>
        <w:t xml:space="preserve"> trajectories</w:t>
      </w:r>
      <w:r w:rsidRPr="00FB6980">
        <w:rPr>
          <w:rFonts w:eastAsia="Times New Roman" w:cs="Times New Roman"/>
          <w:szCs w:val="24"/>
        </w:rPr>
        <w:t xml:space="preserve"> </w:t>
      </w:r>
      <w:r w:rsidR="006226A0" w:rsidRPr="00FB6980">
        <w:rPr>
          <w:rFonts w:eastAsia="Times New Roman" w:cs="Times New Roman"/>
          <w:szCs w:val="24"/>
        </w:rPr>
        <w:t>we</w:t>
      </w:r>
      <w:r w:rsidRPr="00FB6980">
        <w:rPr>
          <w:rFonts w:eastAsia="Times New Roman" w:cs="Times New Roman"/>
          <w:szCs w:val="24"/>
        </w:rPr>
        <w:t xml:space="preserve">re generally </w:t>
      </w:r>
      <w:r w:rsidR="00D511CA" w:rsidRPr="00FB6980">
        <w:rPr>
          <w:rFonts w:eastAsia="Times New Roman" w:cs="Times New Roman"/>
          <w:szCs w:val="24"/>
        </w:rPr>
        <w:t>similar,</w:t>
      </w:r>
      <w:r w:rsidRPr="00FB6980">
        <w:rPr>
          <w:rFonts w:eastAsia="Times New Roman" w:cs="Times New Roman"/>
          <w:szCs w:val="24"/>
        </w:rPr>
        <w:t xml:space="preserve"> but the </w:t>
      </w:r>
      <w:r w:rsidR="00D67950" w:rsidRPr="00FB6980">
        <w:rPr>
          <w:rFonts w:eastAsia="Times New Roman" w:cs="Times New Roman"/>
          <w:szCs w:val="24"/>
        </w:rPr>
        <w:t>proposed method provided</w:t>
      </w:r>
      <w:r w:rsidRPr="00FB6980">
        <w:rPr>
          <w:rFonts w:eastAsia="Times New Roman" w:cs="Times New Roman"/>
          <w:szCs w:val="24"/>
        </w:rPr>
        <w:t xml:space="preserve"> smoother estimates (</w:t>
      </w:r>
      <w:r w:rsidR="0090514F">
        <w:rPr>
          <w:rFonts w:eastAsia="Times New Roman" w:cs="Times New Roman"/>
          <w:szCs w:val="24"/>
        </w:rPr>
        <w:t>Supp.</w:t>
      </w:r>
      <w:r w:rsidR="00593EDE">
        <w:rPr>
          <w:rFonts w:eastAsia="Times New Roman" w:cs="Times New Roman"/>
          <w:szCs w:val="24"/>
        </w:rPr>
        <w:t xml:space="preserve"> Figure 4</w:t>
      </w:r>
      <w:r w:rsidR="0090514F">
        <w:rPr>
          <w:rFonts w:eastAsia="Times New Roman" w:cs="Times New Roman"/>
          <w:szCs w:val="24"/>
        </w:rPr>
        <w:t>)</w:t>
      </w:r>
      <w:r w:rsidR="00771EDB">
        <w:rPr>
          <w:rFonts w:eastAsia="Times New Roman" w:cs="Times New Roman"/>
          <w:szCs w:val="24"/>
        </w:rPr>
        <w:t xml:space="preserve"> than the RSWO approach</w:t>
      </w:r>
      <w:r w:rsidR="00771EDB" w:rsidRPr="00771EDB">
        <w:rPr>
          <w:rFonts w:eastAsia="Times New Roman" w:cs="Times New Roman"/>
          <w:szCs w:val="24"/>
        </w:rPr>
        <w:t>.</w:t>
      </w:r>
      <w:r w:rsidRPr="00FB6980">
        <w:rPr>
          <w:rFonts w:eastAsia="Times New Roman" w:cs="Times New Roman"/>
          <w:szCs w:val="24"/>
        </w:rPr>
        <w:t xml:space="preserve"> </w:t>
      </w:r>
      <w:r w:rsidR="00B16CAB">
        <w:rPr>
          <w:rFonts w:eastAsia="Times New Roman" w:cs="Times New Roman"/>
          <w:szCs w:val="24"/>
        </w:rPr>
        <w:t>For b</w:t>
      </w:r>
      <w:r w:rsidR="00B83F3B">
        <w:rPr>
          <w:rFonts w:eastAsia="Times New Roman" w:cs="Times New Roman"/>
          <w:szCs w:val="24"/>
        </w:rPr>
        <w:t>oth approaches</w:t>
      </w:r>
      <w:r w:rsidR="003F66DA">
        <w:rPr>
          <w:rFonts w:eastAsia="Times New Roman" w:cs="Times New Roman"/>
          <w:szCs w:val="24"/>
        </w:rPr>
        <w:t xml:space="preserve"> temporal dependence of pairwise associations </w:t>
      </w:r>
      <w:r w:rsidR="00B16CAB">
        <w:rPr>
          <w:rFonts w:eastAsia="Times New Roman" w:cs="Times New Roman"/>
          <w:szCs w:val="24"/>
        </w:rPr>
        <w:t>was generally similar</w:t>
      </w:r>
      <w:r w:rsidR="00A10C55">
        <w:rPr>
          <w:rFonts w:eastAsia="Times New Roman" w:cs="Times New Roman"/>
          <w:szCs w:val="24"/>
        </w:rPr>
        <w:t>,</w:t>
      </w:r>
      <w:r w:rsidR="00B16CAB">
        <w:rPr>
          <w:rFonts w:eastAsia="Times New Roman" w:cs="Times New Roman"/>
          <w:szCs w:val="24"/>
        </w:rPr>
        <w:t xml:space="preserve"> </w:t>
      </w:r>
      <w:r w:rsidR="003F66DA">
        <w:rPr>
          <w:rFonts w:eastAsia="Times New Roman" w:cs="Times New Roman"/>
          <w:szCs w:val="24"/>
        </w:rPr>
        <w:t xml:space="preserve">but the </w:t>
      </w:r>
      <w:r w:rsidR="00DB363D">
        <w:rPr>
          <w:rFonts w:eastAsia="Times New Roman" w:cs="Times New Roman"/>
          <w:szCs w:val="24"/>
        </w:rPr>
        <w:t>defined significance testing c</w:t>
      </w:r>
      <w:r w:rsidR="00DB363D" w:rsidRPr="00DB363D">
        <w:rPr>
          <w:rFonts w:eastAsia="Times New Roman" w:cs="Times New Roman"/>
          <w:szCs w:val="24"/>
        </w:rPr>
        <w:t>riteria</w:t>
      </w:r>
      <w:r w:rsidR="00B16CAB">
        <w:rPr>
          <w:rFonts w:eastAsia="Times New Roman" w:cs="Times New Roman"/>
          <w:szCs w:val="24"/>
        </w:rPr>
        <w:t xml:space="preserve"> differed</w:t>
      </w:r>
      <w:r w:rsidR="003F66DA">
        <w:rPr>
          <w:rFonts w:eastAsia="Times New Roman" w:cs="Times New Roman"/>
          <w:szCs w:val="24"/>
        </w:rPr>
        <w:t xml:space="preserve">.  </w:t>
      </w:r>
    </w:p>
    <w:p w14:paraId="6FFEC521" w14:textId="054C5897" w:rsidR="002D1218" w:rsidRDefault="00771EDB" w:rsidP="00225736">
      <w:r>
        <w:rPr>
          <w:rFonts w:eastAsia="Times New Roman" w:cs="Times New Roman"/>
          <w:szCs w:val="24"/>
        </w:rPr>
        <w:t>In summary</w:t>
      </w:r>
      <w:r w:rsidR="00D41CDA">
        <w:rPr>
          <w:rFonts w:eastAsia="Times New Roman" w:cs="Times New Roman"/>
          <w:szCs w:val="24"/>
        </w:rPr>
        <w:t xml:space="preserve">, we applied both the bootstrapping and RSWO approach for step </w:t>
      </w:r>
      <w:r>
        <w:rPr>
          <w:rFonts w:eastAsia="Times New Roman" w:cs="Times New Roman"/>
          <w:szCs w:val="24"/>
        </w:rPr>
        <w:t xml:space="preserve">one </w:t>
      </w:r>
      <w:r w:rsidR="00D41CDA">
        <w:rPr>
          <w:rFonts w:eastAsia="Times New Roman" w:cs="Times New Roman"/>
          <w:szCs w:val="24"/>
        </w:rPr>
        <w:t xml:space="preserve">in our proposed approach. </w:t>
      </w:r>
      <w:bookmarkStart w:id="2" w:name="_Hlk8023756"/>
      <w:r w:rsidR="00D41CDA">
        <w:rPr>
          <w:rFonts w:eastAsia="Times New Roman" w:cs="Times New Roman"/>
          <w:szCs w:val="24"/>
        </w:rPr>
        <w:t xml:space="preserve">The advantages of each </w:t>
      </w:r>
      <w:r w:rsidR="00484E7B">
        <w:rPr>
          <w:rFonts w:eastAsia="Times New Roman" w:cs="Times New Roman"/>
          <w:szCs w:val="24"/>
        </w:rPr>
        <w:t xml:space="preserve">approach </w:t>
      </w:r>
      <w:r w:rsidR="00D41CDA">
        <w:rPr>
          <w:rFonts w:eastAsia="Times New Roman" w:cs="Times New Roman"/>
          <w:szCs w:val="24"/>
        </w:rPr>
        <w:t xml:space="preserve">can be fully assessed </w:t>
      </w:r>
      <w:r w:rsidR="00DF7C4A">
        <w:rPr>
          <w:rFonts w:eastAsia="Times New Roman" w:cs="Times New Roman"/>
          <w:szCs w:val="24"/>
        </w:rPr>
        <w:t xml:space="preserve">only </w:t>
      </w:r>
      <w:r w:rsidR="00D41CDA">
        <w:rPr>
          <w:rFonts w:eastAsia="Times New Roman" w:cs="Times New Roman"/>
          <w:szCs w:val="24"/>
        </w:rPr>
        <w:t xml:space="preserve">with </w:t>
      </w:r>
      <w:r w:rsidR="007A3008" w:rsidRPr="00B65B60">
        <w:rPr>
          <w:rFonts w:eastAsia="Times New Roman" w:cs="Times New Roman"/>
          <w:szCs w:val="24"/>
        </w:rPr>
        <w:t xml:space="preserve">simulation studies </w:t>
      </w:r>
      <w:r w:rsidR="00D41CDA">
        <w:rPr>
          <w:rFonts w:eastAsia="Times New Roman" w:cs="Times New Roman"/>
          <w:szCs w:val="24"/>
        </w:rPr>
        <w:t xml:space="preserve">using </w:t>
      </w:r>
      <w:r w:rsidR="007A3008" w:rsidRPr="00B65B60">
        <w:rPr>
          <w:rFonts w:eastAsia="Times New Roman" w:cs="Times New Roman"/>
          <w:szCs w:val="24"/>
        </w:rPr>
        <w:t xml:space="preserve">a realistic </w:t>
      </w:r>
      <w:r>
        <w:rPr>
          <w:rFonts w:eastAsia="Times New Roman" w:cs="Times New Roman"/>
          <w:szCs w:val="24"/>
        </w:rPr>
        <w:t xml:space="preserve">fMRI </w:t>
      </w:r>
      <w:r w:rsidR="007A3008" w:rsidRPr="00B65B60">
        <w:rPr>
          <w:rFonts w:eastAsia="Times New Roman" w:cs="Times New Roman"/>
          <w:szCs w:val="24"/>
        </w:rPr>
        <w:t>data generation mechanism.</w:t>
      </w:r>
      <w:r w:rsidR="007A3008">
        <w:rPr>
          <w:rFonts w:eastAsia="Times New Roman" w:cs="Times New Roman"/>
          <w:szCs w:val="24"/>
        </w:rPr>
        <w:t xml:space="preserve"> </w:t>
      </w:r>
      <w:r w:rsidR="004F4D0F">
        <w:rPr>
          <w:rFonts w:eastAsia="Times New Roman" w:cs="Times New Roman"/>
          <w:szCs w:val="24"/>
        </w:rPr>
        <w:t xml:space="preserve">Nevertheless, bootstrap-based estimator was </w:t>
      </w:r>
      <w:r>
        <w:rPr>
          <w:rFonts w:eastAsia="Times New Roman" w:cs="Times New Roman"/>
          <w:szCs w:val="24"/>
        </w:rPr>
        <w:t xml:space="preserve">previously </w:t>
      </w:r>
      <w:r w:rsidR="00DF7C4A">
        <w:rPr>
          <w:rFonts w:eastAsia="Times New Roman" w:cs="Times New Roman"/>
          <w:szCs w:val="24"/>
        </w:rPr>
        <w:t>shown</w:t>
      </w:r>
      <w:r w:rsidR="004F4D0F">
        <w:rPr>
          <w:rFonts w:eastAsia="Times New Roman" w:cs="Times New Roman"/>
          <w:szCs w:val="24"/>
        </w:rPr>
        <w:t xml:space="preserve"> to have better properties than the regular sliding window technique </w:t>
      </w:r>
      <w:r w:rsidR="00DF7C4A">
        <w:rPr>
          <w:rFonts w:eastAsia="Times New Roman" w:cs="Times New Roman"/>
          <w:szCs w:val="24"/>
        </w:rPr>
        <w:t>(</w:t>
      </w:r>
      <w:r w:rsidR="004F4D0F">
        <w:rPr>
          <w:rFonts w:eastAsia="Times New Roman" w:cs="Times New Roman"/>
          <w:szCs w:val="24"/>
        </w:rPr>
        <w:t>Kudela et al. 2017</w:t>
      </w:r>
      <w:r w:rsidR="00DF7C4A">
        <w:rPr>
          <w:rFonts w:eastAsia="Times New Roman" w:cs="Times New Roman"/>
          <w:szCs w:val="24"/>
        </w:rPr>
        <w:t>)</w:t>
      </w:r>
      <w:r w:rsidR="00484E7B">
        <w:rPr>
          <w:rFonts w:eastAsia="Times New Roman" w:cs="Times New Roman"/>
          <w:szCs w:val="24"/>
        </w:rPr>
        <w:t xml:space="preserve">, with </w:t>
      </w:r>
      <w:r w:rsidR="0040666C">
        <w:rPr>
          <w:rFonts w:eastAsia="Times New Roman" w:cs="Times New Roman"/>
          <w:szCs w:val="24"/>
        </w:rPr>
        <w:lastRenderedPageBreak/>
        <w:t xml:space="preserve">the </w:t>
      </w:r>
      <w:r w:rsidR="00484E7B">
        <w:rPr>
          <w:rFonts w:eastAsia="Times New Roman" w:cs="Times New Roman"/>
          <w:szCs w:val="24"/>
        </w:rPr>
        <w:t xml:space="preserve">latter also </w:t>
      </w:r>
      <w:r w:rsidR="00BE14F9">
        <w:rPr>
          <w:rFonts w:eastAsia="Times New Roman" w:cs="Times New Roman"/>
          <w:szCs w:val="24"/>
        </w:rPr>
        <w:t>demonstrated to show</w:t>
      </w:r>
      <w:r w:rsidR="00137151">
        <w:rPr>
          <w:rFonts w:eastAsia="Times New Roman" w:cs="Times New Roman"/>
          <w:szCs w:val="24"/>
        </w:rPr>
        <w:t xml:space="preserve"> </w:t>
      </w:r>
      <w:r w:rsidR="00137151" w:rsidRPr="00137151">
        <w:rPr>
          <w:rFonts w:eastAsia="Times New Roman" w:cs="Times New Roman"/>
          <w:szCs w:val="24"/>
        </w:rPr>
        <w:t xml:space="preserve">inherent variation present in the estimate, which may lead to erroneous </w:t>
      </w:r>
      <w:r w:rsidR="00137151">
        <w:rPr>
          <w:rFonts w:eastAsia="Times New Roman" w:cs="Times New Roman"/>
          <w:szCs w:val="24"/>
        </w:rPr>
        <w:t>c</w:t>
      </w:r>
      <w:r w:rsidR="00137151" w:rsidRPr="00137151">
        <w:rPr>
          <w:rFonts w:eastAsia="Times New Roman" w:cs="Times New Roman"/>
          <w:szCs w:val="24"/>
        </w:rPr>
        <w:t>onclusions</w:t>
      </w:r>
      <w:r w:rsidR="00BE14F9">
        <w:rPr>
          <w:rFonts w:eastAsia="Times New Roman" w:cs="Times New Roman"/>
          <w:szCs w:val="24"/>
        </w:rPr>
        <w:t xml:space="preserve"> (Lindquist et al. 2014)</w:t>
      </w:r>
      <w:r w:rsidR="00137151" w:rsidRPr="00137151">
        <w:rPr>
          <w:rFonts w:eastAsia="Times New Roman" w:cs="Times New Roman"/>
          <w:szCs w:val="24"/>
        </w:rPr>
        <w:t>.</w:t>
      </w:r>
      <w:r w:rsidR="00137151">
        <w:rPr>
          <w:rFonts w:eastAsia="Times New Roman" w:cs="Times New Roman"/>
          <w:szCs w:val="24"/>
        </w:rPr>
        <w:t xml:space="preserve"> </w:t>
      </w:r>
      <w:r w:rsidR="007A3008">
        <w:rPr>
          <w:rFonts w:eastAsia="Times New Roman" w:cs="Times New Roman"/>
          <w:szCs w:val="24"/>
        </w:rPr>
        <w:t>Similar</w:t>
      </w:r>
      <w:r w:rsidR="00137151">
        <w:rPr>
          <w:rFonts w:eastAsia="Times New Roman" w:cs="Times New Roman"/>
          <w:szCs w:val="24"/>
        </w:rPr>
        <w:t xml:space="preserve"> comparison</w:t>
      </w:r>
      <w:r w:rsidR="007A3008">
        <w:rPr>
          <w:rFonts w:eastAsia="Times New Roman" w:cs="Times New Roman"/>
          <w:szCs w:val="24"/>
        </w:rPr>
        <w:t xml:space="preserve"> studies </w:t>
      </w:r>
      <w:r w:rsidR="00484E7B">
        <w:rPr>
          <w:rFonts w:eastAsia="Times New Roman" w:cs="Times New Roman"/>
          <w:szCs w:val="24"/>
        </w:rPr>
        <w:t>were</w:t>
      </w:r>
      <w:r w:rsidR="007A3008">
        <w:rPr>
          <w:rFonts w:eastAsia="Times New Roman" w:cs="Times New Roman"/>
          <w:szCs w:val="24"/>
        </w:rPr>
        <w:t xml:space="preserve"> performed in the Kudela et al. (2017) </w:t>
      </w:r>
      <w:r w:rsidR="00400725">
        <w:rPr>
          <w:rFonts w:eastAsia="Times New Roman" w:cs="Times New Roman"/>
          <w:szCs w:val="24"/>
        </w:rPr>
        <w:t xml:space="preserve">manuscript </w:t>
      </w:r>
      <w:r w:rsidR="007A3008">
        <w:rPr>
          <w:rFonts w:eastAsia="Times New Roman" w:cs="Times New Roman"/>
          <w:szCs w:val="24"/>
        </w:rPr>
        <w:t>under numerous scenarios.</w:t>
      </w:r>
      <w:bookmarkEnd w:id="2"/>
      <w:r w:rsidR="003C27A6">
        <w:rPr>
          <w:rFonts w:eastAsia="Times New Roman" w:cs="Times New Roman"/>
          <w:szCs w:val="24"/>
        </w:rPr>
        <w:t xml:space="preserve"> </w:t>
      </w:r>
    </w:p>
    <w:p w14:paraId="2188B406" w14:textId="066FD186" w:rsidR="00225736" w:rsidRPr="009554AE" w:rsidRDefault="00225736" w:rsidP="00DC3A9B">
      <w:pPr>
        <w:jc w:val="center"/>
      </w:pPr>
      <w:r w:rsidRPr="00225736">
        <w:rPr>
          <w:noProof/>
        </w:rPr>
        <w:drawing>
          <wp:inline distT="0" distB="0" distL="0" distR="0" wp14:anchorId="77C55119" wp14:editId="1F9FCBE4">
            <wp:extent cx="6208395" cy="3080210"/>
            <wp:effectExtent l="0" t="0" r="1905" b="6350"/>
            <wp:docPr id="13" name="Picture 13" descr="C:\Users\maakude\Desktop\prywatne\article\proofs\comments\supp_fig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akude\Desktop\prywatne\article\proofs\comments\supp_fig3JPE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3080210"/>
                    </a:xfrm>
                    <a:prstGeom prst="rect">
                      <a:avLst/>
                    </a:prstGeom>
                    <a:noFill/>
                    <a:ln>
                      <a:noFill/>
                    </a:ln>
                  </pic:spPr>
                </pic:pic>
              </a:graphicData>
            </a:graphic>
          </wp:inline>
        </w:drawing>
      </w:r>
    </w:p>
    <w:p w14:paraId="23CA2B3B" w14:textId="0BBAB1F0" w:rsidR="009554AE" w:rsidRDefault="009554AE" w:rsidP="009554AE">
      <w:pPr>
        <w:spacing w:before="240"/>
        <w:jc w:val="both"/>
        <w:rPr>
          <w:rFonts w:cs="Times New Roman"/>
          <w:szCs w:val="24"/>
        </w:rPr>
      </w:pPr>
      <w:r w:rsidRPr="00C371D2">
        <w:rPr>
          <w:rFonts w:cs="Times New Roman"/>
          <w:b/>
          <w:szCs w:val="24"/>
        </w:rPr>
        <w:t>Supplementary Figure</w:t>
      </w:r>
      <w:r w:rsidRPr="00C371D2">
        <w:rPr>
          <w:rFonts w:cs="Times New Roman"/>
          <w:b/>
        </w:rPr>
        <w:t xml:space="preserve"> </w:t>
      </w:r>
      <w:r>
        <w:rPr>
          <w:rFonts w:cs="Times New Roman"/>
        </w:rPr>
        <w:t>3</w:t>
      </w:r>
      <w:r w:rsidRPr="00C371D2">
        <w:rPr>
          <w:rFonts w:cs="Times New Roman"/>
        </w:rPr>
        <w:t xml:space="preserve">.  </w:t>
      </w:r>
      <w:proofErr w:type="spellStart"/>
      <w:r w:rsidR="00036900" w:rsidRPr="00D03CDC">
        <w:rPr>
          <w:rFonts w:cs="Times New Roman"/>
          <w:szCs w:val="24"/>
        </w:rPr>
        <w:t>dFCM</w:t>
      </w:r>
      <w:proofErr w:type="spellEnd"/>
      <w:r w:rsidR="00036900" w:rsidRPr="00D03CDC">
        <w:rPr>
          <w:rFonts w:cs="Times New Roman"/>
          <w:szCs w:val="24"/>
        </w:rPr>
        <w:t xml:space="preserve"> estimates for significant associations between </w:t>
      </w:r>
      <w:r w:rsidR="00036900" w:rsidRPr="009039A8">
        <w:rPr>
          <w:rFonts w:cs="Times New Roman"/>
          <w:i/>
          <w:szCs w:val="24"/>
        </w:rPr>
        <w:t>a priori</w:t>
      </w:r>
      <w:r w:rsidR="00036900" w:rsidRPr="00D03CDC">
        <w:rPr>
          <w:rFonts w:cs="Times New Roman"/>
          <w:szCs w:val="24"/>
        </w:rPr>
        <w:t xml:space="preserve"> regions of interest </w:t>
      </w:r>
      <w:r w:rsidR="00484E7B">
        <w:rPr>
          <w:rFonts w:cs="Times New Roman"/>
          <w:szCs w:val="24"/>
        </w:rPr>
        <w:t xml:space="preserve">using the sliding window approach only (i.e., </w:t>
      </w:r>
      <w:r w:rsidR="007A3008">
        <w:rPr>
          <w:rFonts w:cs="Times New Roman"/>
          <w:szCs w:val="24"/>
        </w:rPr>
        <w:t xml:space="preserve">without using </w:t>
      </w:r>
      <w:r w:rsidR="00484E7B">
        <w:rPr>
          <w:rFonts w:cs="Times New Roman"/>
          <w:szCs w:val="24"/>
        </w:rPr>
        <w:t xml:space="preserve">the </w:t>
      </w:r>
      <w:r w:rsidR="007A3008">
        <w:rPr>
          <w:rFonts w:cs="Times New Roman"/>
          <w:szCs w:val="24"/>
        </w:rPr>
        <w:t>bootstrapping step</w:t>
      </w:r>
      <w:r w:rsidR="00484E7B">
        <w:rPr>
          <w:rFonts w:cs="Times New Roman"/>
          <w:szCs w:val="24"/>
        </w:rPr>
        <w:t>)</w:t>
      </w:r>
      <w:r w:rsidR="007A3008">
        <w:rPr>
          <w:rFonts w:cs="Times New Roman"/>
          <w:szCs w:val="24"/>
        </w:rPr>
        <w:t xml:space="preserve">. </w:t>
      </w:r>
      <w:proofErr w:type="gramStart"/>
      <w:r w:rsidR="007A3008" w:rsidRPr="007A3008">
        <w:rPr>
          <w:rFonts w:cs="Times New Roman"/>
          <w:szCs w:val="24"/>
        </w:rPr>
        <w:t>Similarly</w:t>
      </w:r>
      <w:proofErr w:type="gramEnd"/>
      <w:r w:rsidR="007A3008" w:rsidRPr="007A3008">
        <w:rPr>
          <w:rFonts w:cs="Times New Roman"/>
          <w:szCs w:val="24"/>
        </w:rPr>
        <w:t xml:space="preserve"> as in Figure 6, </w:t>
      </w:r>
      <w:r w:rsidR="007A3008">
        <w:rPr>
          <w:rFonts w:cs="Times New Roman"/>
          <w:szCs w:val="24"/>
        </w:rPr>
        <w:t>l</w:t>
      </w:r>
      <w:r w:rsidR="00036900" w:rsidRPr="00D03CDC">
        <w:rPr>
          <w:rFonts w:cs="Times New Roman"/>
          <w:szCs w:val="24"/>
        </w:rPr>
        <w:t>ower triangular elements illustrate associations during the beer scans</w:t>
      </w:r>
      <w:r w:rsidR="001102FC">
        <w:rPr>
          <w:rFonts w:cs="Times New Roman"/>
          <w:szCs w:val="24"/>
        </w:rPr>
        <w:t xml:space="preserve"> </w:t>
      </w:r>
      <w:r w:rsidR="00036900" w:rsidRPr="00D03CDC">
        <w:rPr>
          <w:rFonts w:cs="Times New Roman"/>
          <w:szCs w:val="24"/>
        </w:rPr>
        <w:t xml:space="preserve">while upper triangular elements indicate beer-enhanced (i.e., </w:t>
      </w:r>
      <m:oMath>
        <m:r>
          <w:rPr>
            <w:rFonts w:ascii="Cambria Math" w:hAnsi="Cambria Math" w:cs="Times New Roman"/>
            <w:szCs w:val="24"/>
          </w:rPr>
          <m:t>beer-Gatorade</m:t>
        </m:r>
      </m:oMath>
      <w:r w:rsidR="00036900" w:rsidRPr="00D03CDC">
        <w:rPr>
          <w:rFonts w:cs="Times New Roman"/>
          <w:szCs w:val="24"/>
        </w:rPr>
        <w:t>) associations.</w:t>
      </w:r>
      <w:r w:rsidR="00026B90">
        <w:rPr>
          <w:rFonts w:cs="Times New Roman"/>
          <w:szCs w:val="24"/>
        </w:rPr>
        <w:t xml:space="preserve"> The </w:t>
      </w:r>
      <w:r w:rsidR="00036900" w:rsidRPr="00D03CDC">
        <w:rPr>
          <w:rFonts w:cs="Times New Roman"/>
          <w:szCs w:val="24"/>
        </w:rPr>
        <w:t>non-zero coverage metric for beer was tested for the proportion of 0.5</w:t>
      </w:r>
      <w:r w:rsidR="00E01E19">
        <w:rPr>
          <w:rFonts w:cs="Times New Roman"/>
          <w:szCs w:val="24"/>
        </w:rPr>
        <w:t xml:space="preserve"> (lower triangular elements of panels A and B, same for both panels)</w:t>
      </w:r>
      <w:r w:rsidR="00036900" w:rsidRPr="00D03CDC">
        <w:rPr>
          <w:rFonts w:cs="Times New Roman"/>
          <w:szCs w:val="24"/>
        </w:rPr>
        <w:t>, while the flavor difference was tested for the proportion of 0.1</w:t>
      </w:r>
      <w:r w:rsidR="004F1B9E">
        <w:rPr>
          <w:rFonts w:cs="Times New Roman"/>
          <w:szCs w:val="24"/>
        </w:rPr>
        <w:t>4 and 0.1 (</w:t>
      </w:r>
      <w:r w:rsidR="001102FC">
        <w:rPr>
          <w:rFonts w:cs="Times New Roman"/>
          <w:szCs w:val="24"/>
        </w:rPr>
        <w:t xml:space="preserve">upper triangular elements of </w:t>
      </w:r>
      <w:r w:rsidR="004F1B9E">
        <w:rPr>
          <w:rFonts w:cs="Times New Roman"/>
          <w:szCs w:val="24"/>
        </w:rPr>
        <w:t>panels A and B, respectively)</w:t>
      </w:r>
      <w:r w:rsidR="00036900" w:rsidRPr="00D03CDC">
        <w:rPr>
          <w:rFonts w:cs="Times New Roman"/>
          <w:szCs w:val="24"/>
        </w:rPr>
        <w:t xml:space="preserve">. Brain region indices from Shen et al. 2013 are in parentheses.  Abbreviations: L – left, R – right, md – medial, VST – Ventral Striatum, </w:t>
      </w:r>
      <w:r w:rsidR="00225736">
        <w:rPr>
          <w:rFonts w:cs="Times New Roman"/>
          <w:szCs w:val="24"/>
        </w:rPr>
        <w:t>ACC – Anterior Cingulate Cortex</w:t>
      </w:r>
      <w:r w:rsidR="00036900" w:rsidRPr="00D03CDC">
        <w:rPr>
          <w:rFonts w:cs="Times New Roman"/>
          <w:szCs w:val="24"/>
        </w:rPr>
        <w:t xml:space="preserve">, H &amp; B – Head and Body, </w:t>
      </w:r>
      <w:proofErr w:type="spellStart"/>
      <w:r w:rsidR="00036900" w:rsidRPr="00D03CDC">
        <w:rPr>
          <w:rFonts w:cs="Times New Roman"/>
          <w:szCs w:val="24"/>
        </w:rPr>
        <w:t>vAIC</w:t>
      </w:r>
      <w:proofErr w:type="spellEnd"/>
      <w:r w:rsidR="00036900" w:rsidRPr="00D03CDC">
        <w:rPr>
          <w:rFonts w:cs="Times New Roman"/>
          <w:szCs w:val="24"/>
        </w:rPr>
        <w:t xml:space="preserve"> – ventral Anterior Insular Cortex, FO – Frontal Operculum, IFG </w:t>
      </w:r>
      <w:proofErr w:type="spellStart"/>
      <w:r w:rsidR="00036900" w:rsidRPr="00D03CDC">
        <w:rPr>
          <w:rFonts w:cs="Times New Roman"/>
          <w:szCs w:val="24"/>
        </w:rPr>
        <w:t>p.T.</w:t>
      </w:r>
      <w:proofErr w:type="spellEnd"/>
      <w:r w:rsidR="00036900" w:rsidRPr="00D03CDC">
        <w:rPr>
          <w:rFonts w:cs="Times New Roman"/>
          <w:szCs w:val="24"/>
        </w:rPr>
        <w:t xml:space="preserve"> – Inferior Frontal Gyrus (Pars </w:t>
      </w:r>
      <w:proofErr w:type="spellStart"/>
      <w:r w:rsidR="00036900" w:rsidRPr="00D03CDC">
        <w:rPr>
          <w:rFonts w:cs="Times New Roman"/>
          <w:szCs w:val="24"/>
        </w:rPr>
        <w:t>Triangularis</w:t>
      </w:r>
      <w:proofErr w:type="spellEnd"/>
      <w:r w:rsidR="00036900" w:rsidRPr="00D03CDC">
        <w:rPr>
          <w:rFonts w:cs="Times New Roman"/>
          <w:szCs w:val="24"/>
        </w:rPr>
        <w:t>), OFC – Orbitofrontal</w:t>
      </w:r>
      <w:r w:rsidR="00225736">
        <w:rPr>
          <w:rFonts w:cs="Times New Roman"/>
          <w:szCs w:val="24"/>
        </w:rPr>
        <w:t xml:space="preserve"> Cortex, SFG – Superior Frontal Gyrus, </w:t>
      </w:r>
      <w:r w:rsidR="00036900" w:rsidRPr="00D03CDC">
        <w:rPr>
          <w:rFonts w:cs="Times New Roman"/>
          <w:szCs w:val="24"/>
        </w:rPr>
        <w:t>MFG – Middle Frontal Gyrus, Hippo/</w:t>
      </w:r>
      <w:proofErr w:type="spellStart"/>
      <w:r w:rsidR="00036900" w:rsidRPr="00D03CDC">
        <w:rPr>
          <w:rFonts w:cs="Times New Roman"/>
          <w:szCs w:val="24"/>
        </w:rPr>
        <w:t>Parahi</w:t>
      </w:r>
      <w:proofErr w:type="spellEnd"/>
      <w:r w:rsidR="00036900" w:rsidRPr="00D03CDC">
        <w:rPr>
          <w:rFonts w:cs="Times New Roman"/>
          <w:szCs w:val="24"/>
        </w:rPr>
        <w:t xml:space="preserve"> – Hippocampus/</w:t>
      </w:r>
      <w:proofErr w:type="spellStart"/>
      <w:r w:rsidR="00036900" w:rsidRPr="00D03CDC">
        <w:rPr>
          <w:rFonts w:cs="Times New Roman"/>
          <w:szCs w:val="24"/>
        </w:rPr>
        <w:t>Parahippocampal</w:t>
      </w:r>
      <w:proofErr w:type="spellEnd"/>
      <w:r w:rsidR="00036900" w:rsidRPr="00D03CDC">
        <w:rPr>
          <w:rFonts w:cs="Times New Roman"/>
          <w:szCs w:val="24"/>
        </w:rPr>
        <w:t xml:space="preserve"> Gyrus.</w:t>
      </w:r>
    </w:p>
    <w:p w14:paraId="073F39A6" w14:textId="1F934290" w:rsidR="00717D3F" w:rsidRDefault="00717D3F" w:rsidP="009554AE">
      <w:pPr>
        <w:spacing w:before="240"/>
        <w:jc w:val="both"/>
        <w:rPr>
          <w:rFonts w:cs="Times New Roman"/>
          <w:szCs w:val="24"/>
        </w:rPr>
      </w:pPr>
    </w:p>
    <w:p w14:paraId="6F6D5D0F" w14:textId="5003E6D3" w:rsidR="00717D3F" w:rsidRPr="007414BB" w:rsidRDefault="00717D3F" w:rsidP="009554AE">
      <w:pPr>
        <w:spacing w:before="240"/>
        <w:jc w:val="both"/>
        <w:rPr>
          <w:rFonts w:cs="Times New Roman"/>
        </w:rPr>
      </w:pPr>
      <w:r>
        <w:rPr>
          <w:rFonts w:cs="Times New Roman"/>
          <w:noProof/>
        </w:rPr>
        <w:lastRenderedPageBreak/>
        <w:drawing>
          <wp:inline distT="0" distB="0" distL="0" distR="0" wp14:anchorId="40BB1E18" wp14:editId="3F4A4ECD">
            <wp:extent cx="6208395" cy="65265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lement_figure4.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6526530"/>
                    </a:xfrm>
                    <a:prstGeom prst="rect">
                      <a:avLst/>
                    </a:prstGeom>
                  </pic:spPr>
                </pic:pic>
              </a:graphicData>
            </a:graphic>
          </wp:inline>
        </w:drawing>
      </w:r>
    </w:p>
    <w:p w14:paraId="756A2105" w14:textId="77777777" w:rsidR="009554AE" w:rsidRPr="009554AE" w:rsidRDefault="009554AE" w:rsidP="009554AE"/>
    <w:p w14:paraId="6E66B6A2" w14:textId="2AED2A43" w:rsidR="0090514F" w:rsidRPr="001549D3" w:rsidRDefault="00717D3F" w:rsidP="00654E8F">
      <w:pPr>
        <w:spacing w:before="240"/>
      </w:pPr>
      <w:r w:rsidRPr="00C371D2">
        <w:rPr>
          <w:rFonts w:cs="Times New Roman"/>
          <w:b/>
          <w:szCs w:val="24"/>
        </w:rPr>
        <w:t>Supplementary Figure</w:t>
      </w:r>
      <w:r w:rsidRPr="00C371D2">
        <w:rPr>
          <w:rFonts w:cs="Times New Roman"/>
          <w:b/>
        </w:rPr>
        <w:t xml:space="preserve"> </w:t>
      </w:r>
      <w:r>
        <w:rPr>
          <w:rFonts w:cs="Times New Roman"/>
        </w:rPr>
        <w:t>4</w:t>
      </w:r>
      <w:r w:rsidRPr="00C371D2">
        <w:rPr>
          <w:rFonts w:cs="Times New Roman"/>
        </w:rPr>
        <w:t xml:space="preserve">.  </w:t>
      </w:r>
      <w:proofErr w:type="spellStart"/>
      <w:r w:rsidR="00D64AAF" w:rsidRPr="00D64AAF">
        <w:rPr>
          <w:rFonts w:cs="Times New Roman"/>
        </w:rPr>
        <w:t>dFCM</w:t>
      </w:r>
      <w:proofErr w:type="spellEnd"/>
      <w:r w:rsidR="00D64AAF" w:rsidRPr="00D64AAF">
        <w:rPr>
          <w:rFonts w:cs="Times New Roman"/>
        </w:rPr>
        <w:t xml:space="preserve"> curve estimates for </w:t>
      </w:r>
      <w:r w:rsidR="00D64AAF">
        <w:rPr>
          <w:rFonts w:cs="Times New Roman"/>
        </w:rPr>
        <w:t>three</w:t>
      </w:r>
      <w:r w:rsidR="00D64AAF" w:rsidRPr="00D64AAF">
        <w:rPr>
          <w:rFonts w:cs="Times New Roman"/>
        </w:rPr>
        <w:t xml:space="preserve"> significant </w:t>
      </w:r>
      <w:r w:rsidR="00B16CAB">
        <w:rPr>
          <w:rFonts w:cs="Times New Roman"/>
        </w:rPr>
        <w:t xml:space="preserve">beer </w:t>
      </w:r>
      <w:r w:rsidR="00D64AAF" w:rsidRPr="00D64AAF">
        <w:rPr>
          <w:rFonts w:cs="Times New Roman"/>
        </w:rPr>
        <w:t xml:space="preserve">flavor-enhanced associations between </w:t>
      </w:r>
      <w:r w:rsidR="00D64AAF" w:rsidRPr="008A77B4">
        <w:rPr>
          <w:rFonts w:cs="Times New Roman"/>
          <w:i/>
        </w:rPr>
        <w:t>a priori</w:t>
      </w:r>
      <w:r w:rsidR="00D64AAF" w:rsidRPr="00D64AAF">
        <w:rPr>
          <w:rFonts w:cs="Times New Roman"/>
        </w:rPr>
        <w:t xml:space="preserve"> regions of interest from Figure 6</w:t>
      </w:r>
      <w:r w:rsidR="00D64AAF">
        <w:rPr>
          <w:rFonts w:cs="Times New Roman"/>
        </w:rPr>
        <w:t xml:space="preserve"> </w:t>
      </w:r>
      <w:r w:rsidR="00D64AAF" w:rsidRPr="00D64AAF">
        <w:rPr>
          <w:rFonts w:cs="Times New Roman"/>
        </w:rPr>
        <w:t xml:space="preserve">A. </w:t>
      </w:r>
      <w:r w:rsidR="00D64AAF">
        <w:rPr>
          <w:rFonts w:cs="Times New Roman"/>
        </w:rPr>
        <w:t xml:space="preserve">Left: </w:t>
      </w:r>
      <w:proofErr w:type="spellStart"/>
      <w:r w:rsidR="00D64AAF" w:rsidRPr="00D64AAF">
        <w:rPr>
          <w:rFonts w:cs="Times New Roman"/>
        </w:rPr>
        <w:t>dFCM</w:t>
      </w:r>
      <w:proofErr w:type="spellEnd"/>
      <w:r w:rsidR="00D64AAF" w:rsidRPr="00D64AAF">
        <w:rPr>
          <w:rFonts w:cs="Times New Roman"/>
        </w:rPr>
        <w:t xml:space="preserve"> curve estimates</w:t>
      </w:r>
      <w:r w:rsidR="00D64AAF">
        <w:rPr>
          <w:rFonts w:cs="Times New Roman"/>
        </w:rPr>
        <w:t xml:space="preserve"> obtained without bootstrap step. Right: </w:t>
      </w:r>
      <w:proofErr w:type="spellStart"/>
      <w:r w:rsidR="00D64AAF" w:rsidRPr="00D64AAF">
        <w:rPr>
          <w:rFonts w:cs="Times New Roman"/>
        </w:rPr>
        <w:t>dFCM</w:t>
      </w:r>
      <w:proofErr w:type="spellEnd"/>
      <w:r w:rsidR="00D64AAF" w:rsidRPr="00D64AAF">
        <w:rPr>
          <w:rFonts w:cs="Times New Roman"/>
        </w:rPr>
        <w:t xml:space="preserve"> curve estimates</w:t>
      </w:r>
      <w:r w:rsidR="00D64AAF">
        <w:rPr>
          <w:rFonts w:cs="Times New Roman"/>
        </w:rPr>
        <w:t xml:space="preserve"> obtained using proposed method. </w:t>
      </w:r>
      <w:r w:rsidR="00D64AAF" w:rsidRPr="00D64AAF">
        <w:rPr>
          <w:rFonts w:cs="Times New Roman"/>
        </w:rPr>
        <w:t>The proportion of time points with non-zero coverage (NZC) is shown in the bottom left of each panel.  Brain region indices from Shen et al. 2013 are:   43 = R-</w:t>
      </w:r>
      <w:proofErr w:type="spellStart"/>
      <w:r w:rsidR="00D64AAF" w:rsidRPr="00D64AAF">
        <w:rPr>
          <w:rFonts w:cs="Times New Roman"/>
        </w:rPr>
        <w:t>vAIC</w:t>
      </w:r>
      <w:proofErr w:type="spellEnd"/>
      <w:r w:rsidR="00D64AAF" w:rsidRPr="00D64AAF">
        <w:rPr>
          <w:rFonts w:cs="Times New Roman"/>
        </w:rPr>
        <w:t>/FO, 54 = R-ACC, 114 = R-VST, 134 = R-</w:t>
      </w:r>
      <w:proofErr w:type="spellStart"/>
      <w:r w:rsidR="00D64AAF" w:rsidRPr="00D64AAF">
        <w:rPr>
          <w:rFonts w:cs="Times New Roman"/>
        </w:rPr>
        <w:t>rostrolateral</w:t>
      </w:r>
      <w:proofErr w:type="spellEnd"/>
      <w:r w:rsidR="00D64AAF" w:rsidRPr="00D64AAF">
        <w:rPr>
          <w:rFonts w:cs="Times New Roman"/>
        </w:rPr>
        <w:t xml:space="preserve"> OFC, 235 = L-Fusiform Gyrus.  L – left, R – right, VST – Ventral Striatum, ACC – Anterior Cingulate Cortex, </w:t>
      </w:r>
      <w:proofErr w:type="spellStart"/>
      <w:r w:rsidR="00D64AAF" w:rsidRPr="00D64AAF">
        <w:rPr>
          <w:rFonts w:cs="Times New Roman"/>
        </w:rPr>
        <w:t>vAIC</w:t>
      </w:r>
      <w:proofErr w:type="spellEnd"/>
      <w:r w:rsidR="00D64AAF" w:rsidRPr="00D64AAF">
        <w:rPr>
          <w:rFonts w:cs="Times New Roman"/>
        </w:rPr>
        <w:t xml:space="preserve"> – ventral Anterior Insular Cortex, </w:t>
      </w:r>
      <w:r w:rsidR="00D64AAF">
        <w:rPr>
          <w:rFonts w:cs="Times New Roman"/>
        </w:rPr>
        <w:t>OFC – Orbitofrontal Cortex.</w:t>
      </w:r>
    </w:p>
    <w:sectPr w:rsidR="0090514F"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5886A" w14:textId="77777777" w:rsidR="001D36B6" w:rsidRDefault="001D36B6" w:rsidP="00117666">
      <w:pPr>
        <w:spacing w:after="0"/>
      </w:pPr>
      <w:r>
        <w:separator/>
      </w:r>
    </w:p>
  </w:endnote>
  <w:endnote w:type="continuationSeparator" w:id="0">
    <w:p w14:paraId="2C858DDA" w14:textId="77777777" w:rsidR="001D36B6" w:rsidRDefault="001D36B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21BC90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6CAB">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21BC90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6CAB">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4D0B16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6CAB">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4D0B16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16CAB">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BC0FB" w14:textId="77777777" w:rsidR="001D36B6" w:rsidRDefault="001D36B6" w:rsidP="00117666">
      <w:pPr>
        <w:spacing w:after="0"/>
      </w:pPr>
      <w:r>
        <w:separator/>
      </w:r>
    </w:p>
  </w:footnote>
  <w:footnote w:type="continuationSeparator" w:id="0">
    <w:p w14:paraId="078A8115" w14:textId="77777777" w:rsidR="001D36B6" w:rsidRDefault="001D36B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017B"/>
    <w:rsid w:val="0001436A"/>
    <w:rsid w:val="00026B90"/>
    <w:rsid w:val="00034304"/>
    <w:rsid w:val="00035434"/>
    <w:rsid w:val="00036900"/>
    <w:rsid w:val="00052A14"/>
    <w:rsid w:val="00054EA2"/>
    <w:rsid w:val="00077D53"/>
    <w:rsid w:val="001025F9"/>
    <w:rsid w:val="00105FD9"/>
    <w:rsid w:val="001102FC"/>
    <w:rsid w:val="00116FCC"/>
    <w:rsid w:val="00117666"/>
    <w:rsid w:val="00137151"/>
    <w:rsid w:val="001549D3"/>
    <w:rsid w:val="00160065"/>
    <w:rsid w:val="00177D84"/>
    <w:rsid w:val="001B7154"/>
    <w:rsid w:val="001C3717"/>
    <w:rsid w:val="001D36B6"/>
    <w:rsid w:val="001D48CC"/>
    <w:rsid w:val="001E246D"/>
    <w:rsid w:val="00225736"/>
    <w:rsid w:val="00267D18"/>
    <w:rsid w:val="00285277"/>
    <w:rsid w:val="002868E2"/>
    <w:rsid w:val="002869C3"/>
    <w:rsid w:val="00286D81"/>
    <w:rsid w:val="002936E4"/>
    <w:rsid w:val="002B4A57"/>
    <w:rsid w:val="002C74CA"/>
    <w:rsid w:val="002D1218"/>
    <w:rsid w:val="002E5867"/>
    <w:rsid w:val="00324546"/>
    <w:rsid w:val="003544FB"/>
    <w:rsid w:val="003C27A6"/>
    <w:rsid w:val="003D2F2D"/>
    <w:rsid w:val="003F0FA8"/>
    <w:rsid w:val="003F66DA"/>
    <w:rsid w:val="00400725"/>
    <w:rsid w:val="00401590"/>
    <w:rsid w:val="0040666C"/>
    <w:rsid w:val="00406C6D"/>
    <w:rsid w:val="0041566C"/>
    <w:rsid w:val="00447801"/>
    <w:rsid w:val="00452E9C"/>
    <w:rsid w:val="004735C8"/>
    <w:rsid w:val="00484E7B"/>
    <w:rsid w:val="004947A6"/>
    <w:rsid w:val="004948BC"/>
    <w:rsid w:val="004961FF"/>
    <w:rsid w:val="004D3BA5"/>
    <w:rsid w:val="004F1B9E"/>
    <w:rsid w:val="004F4D0F"/>
    <w:rsid w:val="00517A89"/>
    <w:rsid w:val="005250F2"/>
    <w:rsid w:val="005822AA"/>
    <w:rsid w:val="00593EDE"/>
    <w:rsid w:val="00593EEA"/>
    <w:rsid w:val="005A5EEE"/>
    <w:rsid w:val="005D5C7B"/>
    <w:rsid w:val="006220C2"/>
    <w:rsid w:val="006226A0"/>
    <w:rsid w:val="00623CFF"/>
    <w:rsid w:val="006375C7"/>
    <w:rsid w:val="006545A8"/>
    <w:rsid w:val="00654E8F"/>
    <w:rsid w:val="00660366"/>
    <w:rsid w:val="00660861"/>
    <w:rsid w:val="00660D05"/>
    <w:rsid w:val="00675527"/>
    <w:rsid w:val="006800B8"/>
    <w:rsid w:val="00681D20"/>
    <w:rsid w:val="006820B1"/>
    <w:rsid w:val="006B7D14"/>
    <w:rsid w:val="006C0708"/>
    <w:rsid w:val="006C1417"/>
    <w:rsid w:val="006C3B2C"/>
    <w:rsid w:val="00701727"/>
    <w:rsid w:val="0070566C"/>
    <w:rsid w:val="00714C50"/>
    <w:rsid w:val="00717D3F"/>
    <w:rsid w:val="00720182"/>
    <w:rsid w:val="00725A7D"/>
    <w:rsid w:val="007414BB"/>
    <w:rsid w:val="007501BE"/>
    <w:rsid w:val="0075681B"/>
    <w:rsid w:val="00771EDB"/>
    <w:rsid w:val="007869E8"/>
    <w:rsid w:val="00790BB3"/>
    <w:rsid w:val="00793128"/>
    <w:rsid w:val="007A3008"/>
    <w:rsid w:val="007C206C"/>
    <w:rsid w:val="007D281D"/>
    <w:rsid w:val="007D51F3"/>
    <w:rsid w:val="007E0593"/>
    <w:rsid w:val="00817DD6"/>
    <w:rsid w:val="0083759F"/>
    <w:rsid w:val="00852CE0"/>
    <w:rsid w:val="00885156"/>
    <w:rsid w:val="0089717F"/>
    <w:rsid w:val="008A77B4"/>
    <w:rsid w:val="008B65E9"/>
    <w:rsid w:val="008C78E9"/>
    <w:rsid w:val="0090514F"/>
    <w:rsid w:val="00912DFB"/>
    <w:rsid w:val="009151AA"/>
    <w:rsid w:val="0093429D"/>
    <w:rsid w:val="00943573"/>
    <w:rsid w:val="009554AE"/>
    <w:rsid w:val="00970F7D"/>
    <w:rsid w:val="00994A3D"/>
    <w:rsid w:val="009B1E87"/>
    <w:rsid w:val="009C2B12"/>
    <w:rsid w:val="009F4446"/>
    <w:rsid w:val="00A10C55"/>
    <w:rsid w:val="00A174D9"/>
    <w:rsid w:val="00A263B4"/>
    <w:rsid w:val="00A33339"/>
    <w:rsid w:val="00A34FCC"/>
    <w:rsid w:val="00A40B66"/>
    <w:rsid w:val="00A45CE0"/>
    <w:rsid w:val="00A56CB6"/>
    <w:rsid w:val="00A74CEE"/>
    <w:rsid w:val="00AA4D24"/>
    <w:rsid w:val="00AB6715"/>
    <w:rsid w:val="00AC55BF"/>
    <w:rsid w:val="00B140B6"/>
    <w:rsid w:val="00B1671E"/>
    <w:rsid w:val="00B16CAB"/>
    <w:rsid w:val="00B25EB8"/>
    <w:rsid w:val="00B37F4D"/>
    <w:rsid w:val="00B426C2"/>
    <w:rsid w:val="00B83F3B"/>
    <w:rsid w:val="00BE14F9"/>
    <w:rsid w:val="00BE47D9"/>
    <w:rsid w:val="00BF6722"/>
    <w:rsid w:val="00C52A7B"/>
    <w:rsid w:val="00C56BAF"/>
    <w:rsid w:val="00C65EFA"/>
    <w:rsid w:val="00C65F37"/>
    <w:rsid w:val="00C679AA"/>
    <w:rsid w:val="00C75972"/>
    <w:rsid w:val="00CA15A5"/>
    <w:rsid w:val="00CD066B"/>
    <w:rsid w:val="00CE4FEE"/>
    <w:rsid w:val="00CE7CB4"/>
    <w:rsid w:val="00D41CDA"/>
    <w:rsid w:val="00D511CA"/>
    <w:rsid w:val="00D64AAF"/>
    <w:rsid w:val="00D67950"/>
    <w:rsid w:val="00DB363D"/>
    <w:rsid w:val="00DB59C3"/>
    <w:rsid w:val="00DC259A"/>
    <w:rsid w:val="00DC3A9B"/>
    <w:rsid w:val="00DD3DAD"/>
    <w:rsid w:val="00DE23E8"/>
    <w:rsid w:val="00DF7C4A"/>
    <w:rsid w:val="00E01E19"/>
    <w:rsid w:val="00E52377"/>
    <w:rsid w:val="00E64E17"/>
    <w:rsid w:val="00E866C9"/>
    <w:rsid w:val="00EA3D3C"/>
    <w:rsid w:val="00EC090A"/>
    <w:rsid w:val="00ED20B5"/>
    <w:rsid w:val="00F020BC"/>
    <w:rsid w:val="00F308E7"/>
    <w:rsid w:val="00F46900"/>
    <w:rsid w:val="00F61D89"/>
    <w:rsid w:val="00F90D8D"/>
    <w:rsid w:val="00FB6980"/>
    <w:rsid w:val="00FE4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286D81"/>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81DCD9B-999A-4FF3-9C0E-ADE4E760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4</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Kudela, Maria</dc:creator>
  <cp:lastModifiedBy>Kudela, Maria</cp:lastModifiedBy>
  <cp:revision>3</cp:revision>
  <cp:lastPrinted>2019-06-05T19:51:00Z</cp:lastPrinted>
  <dcterms:created xsi:type="dcterms:W3CDTF">2019-06-05T19:52:00Z</dcterms:created>
  <dcterms:modified xsi:type="dcterms:W3CDTF">2019-06-05T19:53:00Z</dcterms:modified>
</cp:coreProperties>
</file>