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92935" w14:textId="77777777" w:rsidR="004A6644" w:rsidRPr="001549D3" w:rsidRDefault="004A6644" w:rsidP="004A6644">
      <w:pPr>
        <w:pStyle w:val="SupplementaryMaterial"/>
        <w:rPr>
          <w:b w:val="0"/>
        </w:rPr>
      </w:pPr>
      <w:r w:rsidRPr="001549D3">
        <w:t>Supplementary Material</w:t>
      </w:r>
    </w:p>
    <w:p w14:paraId="67CE9BEF" w14:textId="77777777" w:rsidR="00E80743" w:rsidRPr="00841930" w:rsidRDefault="00E80743" w:rsidP="004F753A">
      <w:pPr>
        <w:spacing w:before="240" w:after="360"/>
        <w:jc w:val="center"/>
        <w:rPr>
          <w:rFonts w:cs="Times New Roman"/>
          <w:b/>
          <w:sz w:val="32"/>
          <w:szCs w:val="32"/>
        </w:rPr>
      </w:pPr>
      <w:r w:rsidRPr="00841930">
        <w:rPr>
          <w:rFonts w:cs="Times New Roman"/>
          <w:b/>
          <w:sz w:val="32"/>
          <w:szCs w:val="32"/>
        </w:rPr>
        <w:t xml:space="preserve">The differentiation </w:t>
      </w:r>
      <w:r w:rsidRPr="00841930">
        <w:rPr>
          <w:rFonts w:cs="Times New Roman"/>
          <w:b/>
          <w:i/>
          <w:sz w:val="32"/>
          <w:szCs w:val="32"/>
        </w:rPr>
        <w:t>in vitro</w:t>
      </w:r>
      <w:r w:rsidRPr="00841930">
        <w:rPr>
          <w:rFonts w:cs="Times New Roman"/>
          <w:b/>
          <w:sz w:val="32"/>
          <w:szCs w:val="32"/>
        </w:rPr>
        <w:t xml:space="preserve"> of human tonsil B cells with the </w:t>
      </w:r>
      <w:r w:rsidR="00360269" w:rsidRPr="00841930">
        <w:rPr>
          <w:rFonts w:cs="Times New Roman"/>
          <w:b/>
          <w:sz w:val="32"/>
          <w:szCs w:val="32"/>
        </w:rPr>
        <w:t>p</w:t>
      </w:r>
      <w:r w:rsidRPr="00841930">
        <w:rPr>
          <w:rFonts w:cs="Times New Roman"/>
          <w:b/>
          <w:sz w:val="32"/>
          <w:szCs w:val="32"/>
        </w:rPr>
        <w:t>henotypic and functional characteristics of T-bet+ atypical memory B cells in malaria</w:t>
      </w:r>
    </w:p>
    <w:p w14:paraId="7C411D2D" w14:textId="77777777" w:rsidR="007D0CEE" w:rsidRDefault="007D0CEE" w:rsidP="004F753A">
      <w:pPr>
        <w:spacing w:before="240" w:after="240" w:line="240" w:lineRule="auto"/>
        <w:rPr>
          <w:rFonts w:cs="Times New Roman"/>
          <w:szCs w:val="24"/>
        </w:rPr>
      </w:pPr>
      <w:r w:rsidRPr="00E23869">
        <w:rPr>
          <w:rFonts w:cs="Times New Roman"/>
          <w:b/>
          <w:szCs w:val="24"/>
        </w:rPr>
        <w:t xml:space="preserve">Abhijit </w:t>
      </w:r>
      <w:r w:rsidR="008D6784" w:rsidRPr="00E23869">
        <w:rPr>
          <w:rFonts w:cs="Times New Roman"/>
          <w:b/>
          <w:szCs w:val="24"/>
        </w:rPr>
        <w:t xml:space="preserve">A. </w:t>
      </w:r>
      <w:r w:rsidRPr="00E23869">
        <w:rPr>
          <w:rFonts w:cs="Times New Roman"/>
          <w:b/>
          <w:szCs w:val="24"/>
        </w:rPr>
        <w:t>Ambegaonkar</w:t>
      </w:r>
      <w:r w:rsidRPr="00E23869">
        <w:rPr>
          <w:rFonts w:cs="Times New Roman"/>
          <w:b/>
          <w:szCs w:val="24"/>
          <w:vertAlign w:val="superscript"/>
        </w:rPr>
        <w:t>1</w:t>
      </w:r>
      <w:r w:rsidRPr="00E23869">
        <w:rPr>
          <w:rFonts w:cs="Times New Roman"/>
          <w:b/>
          <w:szCs w:val="24"/>
        </w:rPr>
        <w:t>, Satoshi Nagata</w:t>
      </w:r>
      <w:r w:rsidRPr="00E23869">
        <w:rPr>
          <w:rFonts w:cs="Times New Roman"/>
          <w:b/>
          <w:szCs w:val="24"/>
          <w:vertAlign w:val="superscript"/>
        </w:rPr>
        <w:t>2</w:t>
      </w:r>
      <w:r w:rsidRPr="00E23869">
        <w:rPr>
          <w:rFonts w:cs="Times New Roman"/>
          <w:b/>
          <w:szCs w:val="24"/>
        </w:rPr>
        <w:t>, Susan K. Pierce,</w:t>
      </w:r>
      <w:r w:rsidRPr="00E23869">
        <w:rPr>
          <w:rFonts w:cs="Times New Roman"/>
          <w:b/>
          <w:szCs w:val="24"/>
          <w:vertAlign w:val="superscript"/>
        </w:rPr>
        <w:t>1,3</w:t>
      </w:r>
      <w:r w:rsidRPr="00E23869">
        <w:rPr>
          <w:rFonts w:cs="Times New Roman"/>
          <w:b/>
          <w:szCs w:val="24"/>
        </w:rPr>
        <w:t xml:space="preserve">, and </w:t>
      </w:r>
      <w:proofErr w:type="spellStart"/>
      <w:r w:rsidRPr="00E23869">
        <w:rPr>
          <w:rFonts w:cs="Times New Roman"/>
          <w:b/>
          <w:szCs w:val="24"/>
        </w:rPr>
        <w:t>Haewon</w:t>
      </w:r>
      <w:proofErr w:type="spellEnd"/>
      <w:r w:rsidRPr="00E23869">
        <w:rPr>
          <w:rFonts w:cs="Times New Roman"/>
          <w:b/>
          <w:szCs w:val="24"/>
        </w:rPr>
        <w:t xml:space="preserve"> Sohn</w:t>
      </w:r>
      <w:r w:rsidRPr="00E23869">
        <w:rPr>
          <w:rFonts w:cs="Times New Roman"/>
          <w:b/>
          <w:szCs w:val="24"/>
          <w:vertAlign w:val="superscript"/>
        </w:rPr>
        <w:t>1, 3</w:t>
      </w:r>
    </w:p>
    <w:p w14:paraId="69094321" w14:textId="77777777" w:rsidR="007D0CEE" w:rsidRDefault="007D0CEE" w:rsidP="004F753A">
      <w:pPr>
        <w:spacing w:before="240" w:after="0" w:line="240" w:lineRule="auto"/>
        <w:rPr>
          <w:rFonts w:cs="Times New Roman"/>
          <w:szCs w:val="24"/>
        </w:rPr>
      </w:pPr>
      <w:r w:rsidRPr="00057ED7">
        <w:rPr>
          <w:rFonts w:cs="Times New Roman"/>
          <w:szCs w:val="24"/>
          <w:vertAlign w:val="superscript"/>
        </w:rPr>
        <w:t>1</w:t>
      </w:r>
      <w:r w:rsidRPr="00057ED7">
        <w:rPr>
          <w:rFonts w:cs="Times New Roman"/>
          <w:szCs w:val="24"/>
        </w:rPr>
        <w:t>Laboratory of Immunogenetics, National Institute of Allergy and Infectious Diseases, National Institutes of Health, Rockville, Maryland</w:t>
      </w:r>
    </w:p>
    <w:p w14:paraId="23612587" w14:textId="77777777" w:rsidR="007D0CEE" w:rsidRDefault="007D0CEE" w:rsidP="004F753A">
      <w:pPr>
        <w:spacing w:before="240" w:after="0" w:line="240" w:lineRule="auto"/>
        <w:rPr>
          <w:rFonts w:cs="Times New Roman"/>
          <w:szCs w:val="24"/>
        </w:rPr>
      </w:pPr>
      <w:r w:rsidRPr="00057ED7"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>Center for Drug Design Research, National Institutes of Biomedical Innovation, Health and Nutrition, Osaka, Japan</w:t>
      </w:r>
    </w:p>
    <w:p w14:paraId="60E96C08" w14:textId="77777777" w:rsidR="007D0CEE" w:rsidRDefault="007D0CEE" w:rsidP="004F753A">
      <w:pPr>
        <w:spacing w:before="240" w:after="0" w:line="240" w:lineRule="auto"/>
        <w:rPr>
          <w:rFonts w:cs="Times New Roman"/>
          <w:szCs w:val="24"/>
        </w:rPr>
      </w:pPr>
      <w:r w:rsidRPr="00FB2B28">
        <w:rPr>
          <w:rFonts w:cs="Times New Roman"/>
          <w:szCs w:val="24"/>
          <w:vertAlign w:val="superscript"/>
        </w:rPr>
        <w:t>3</w:t>
      </w:r>
      <w:r>
        <w:rPr>
          <w:rFonts w:cs="Times New Roman"/>
          <w:szCs w:val="24"/>
        </w:rPr>
        <w:t>SKP and HS are co-corresponding authors:</w:t>
      </w:r>
    </w:p>
    <w:p w14:paraId="75E24D63" w14:textId="77777777" w:rsidR="007D0CEE" w:rsidRPr="00FB2B28" w:rsidRDefault="007D0CEE" w:rsidP="004F753A">
      <w:pPr>
        <w:spacing w:before="240" w:after="0" w:line="240" w:lineRule="auto"/>
        <w:rPr>
          <w:rFonts w:cs="Times New Roman"/>
          <w:szCs w:val="24"/>
        </w:rPr>
      </w:pPr>
      <w:r w:rsidRPr="00FB2B28">
        <w:rPr>
          <w:rFonts w:cs="Times New Roman"/>
          <w:szCs w:val="24"/>
        </w:rPr>
        <w:t>Susan K. Pierce</w:t>
      </w:r>
    </w:p>
    <w:p w14:paraId="05BFD10B" w14:textId="77777777" w:rsidR="007D0CEE" w:rsidRPr="00FB2B28" w:rsidRDefault="007D0CEE" w:rsidP="004F753A">
      <w:pPr>
        <w:spacing w:before="240" w:after="0" w:line="240" w:lineRule="auto"/>
        <w:rPr>
          <w:rFonts w:cs="Times New Roman"/>
          <w:szCs w:val="24"/>
        </w:rPr>
      </w:pPr>
      <w:r w:rsidRPr="00FB2B28">
        <w:rPr>
          <w:rFonts w:cs="Times New Roman"/>
          <w:szCs w:val="24"/>
        </w:rPr>
        <w:t>NIAID/NIH</w:t>
      </w:r>
      <w:r>
        <w:rPr>
          <w:rFonts w:cs="Times New Roman"/>
          <w:szCs w:val="24"/>
        </w:rPr>
        <w:t xml:space="preserve">, </w:t>
      </w:r>
      <w:r w:rsidRPr="00FB2B28">
        <w:rPr>
          <w:rFonts w:cs="Times New Roman"/>
          <w:szCs w:val="24"/>
        </w:rPr>
        <w:t>5625 Fishers Lane, Room 4S-04E, MSC 9418, Rockville, MD  20852 USA</w:t>
      </w:r>
    </w:p>
    <w:p w14:paraId="2AC35310" w14:textId="77777777" w:rsidR="007D0CEE" w:rsidRPr="00607F62" w:rsidRDefault="007D0CEE" w:rsidP="004F753A">
      <w:pPr>
        <w:spacing w:before="240" w:after="0" w:line="240" w:lineRule="auto"/>
        <w:outlineLvl w:val="0"/>
        <w:rPr>
          <w:rFonts w:cs="Times New Roman"/>
          <w:szCs w:val="24"/>
          <w:lang w:val="fr-CH"/>
        </w:rPr>
      </w:pPr>
      <w:r w:rsidRPr="00607F62">
        <w:rPr>
          <w:rFonts w:cs="Times New Roman"/>
          <w:szCs w:val="24"/>
          <w:lang w:val="fr-CH"/>
        </w:rPr>
        <w:t xml:space="preserve">E-mail:  </w:t>
      </w:r>
      <w:r w:rsidR="00462677">
        <w:fldChar w:fldCharType="begin"/>
      </w:r>
      <w:r w:rsidR="00462677" w:rsidRPr="00607F62">
        <w:rPr>
          <w:lang w:val="fr-CH"/>
        </w:rPr>
        <w:instrText xml:space="preserve"> HYPERLINK "mailto:spierce@nih.gov" </w:instrText>
      </w:r>
      <w:r w:rsidR="00462677">
        <w:fldChar w:fldCharType="separate"/>
      </w:r>
      <w:r w:rsidRPr="00607F62">
        <w:rPr>
          <w:rStyle w:val="Hyperlink"/>
          <w:szCs w:val="24"/>
          <w:lang w:val="fr-CH"/>
        </w:rPr>
        <w:t>spierce@nih.gov</w:t>
      </w:r>
      <w:r w:rsidR="00462677">
        <w:rPr>
          <w:rStyle w:val="Hyperlink"/>
          <w:szCs w:val="24"/>
        </w:rPr>
        <w:fldChar w:fldCharType="end"/>
      </w:r>
      <w:r w:rsidRPr="00607F62">
        <w:rPr>
          <w:rFonts w:cs="Times New Roman"/>
          <w:szCs w:val="24"/>
          <w:lang w:val="fr-CH"/>
        </w:rPr>
        <w:t xml:space="preserve">  Phone: (301) 496-9589   Fax: (301) 594-9990</w:t>
      </w:r>
    </w:p>
    <w:p w14:paraId="22564BE7" w14:textId="77777777" w:rsidR="007D0CEE" w:rsidRDefault="007D0CEE" w:rsidP="004F753A">
      <w:pPr>
        <w:spacing w:before="240" w:after="0" w:line="240" w:lineRule="auto"/>
        <w:outlineLvl w:val="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Haewon</w:t>
      </w:r>
      <w:proofErr w:type="spellEnd"/>
      <w:r>
        <w:rPr>
          <w:rFonts w:cs="Times New Roman"/>
          <w:szCs w:val="24"/>
        </w:rPr>
        <w:t xml:space="preserve"> Sohn</w:t>
      </w:r>
    </w:p>
    <w:p w14:paraId="63AAB482" w14:textId="77777777" w:rsidR="007D0CEE" w:rsidRPr="00FB2B28" w:rsidRDefault="007D0CEE" w:rsidP="004F753A">
      <w:pPr>
        <w:spacing w:before="240" w:after="0" w:line="240" w:lineRule="auto"/>
        <w:rPr>
          <w:rFonts w:cs="Times New Roman"/>
          <w:szCs w:val="24"/>
        </w:rPr>
      </w:pPr>
      <w:r w:rsidRPr="00FB2B28">
        <w:rPr>
          <w:rFonts w:cs="Times New Roman"/>
          <w:szCs w:val="24"/>
        </w:rPr>
        <w:t>NIAID/NIH</w:t>
      </w:r>
      <w:r>
        <w:rPr>
          <w:rFonts w:cs="Times New Roman"/>
          <w:szCs w:val="24"/>
        </w:rPr>
        <w:t xml:space="preserve">, </w:t>
      </w:r>
      <w:r w:rsidRPr="00FB2B28">
        <w:rPr>
          <w:rFonts w:cs="Times New Roman"/>
          <w:szCs w:val="24"/>
        </w:rPr>
        <w:t>5625 Fishers Lane, Room 4S-04</w:t>
      </w:r>
      <w:r>
        <w:rPr>
          <w:rFonts w:cs="Times New Roman"/>
          <w:szCs w:val="24"/>
        </w:rPr>
        <w:t>D</w:t>
      </w:r>
      <w:r w:rsidRPr="00FB2B28">
        <w:rPr>
          <w:rFonts w:cs="Times New Roman"/>
          <w:szCs w:val="24"/>
        </w:rPr>
        <w:t>, MSC 9418, Rockville, MD  20852 USA</w:t>
      </w:r>
    </w:p>
    <w:p w14:paraId="26DBC608" w14:textId="77777777" w:rsidR="007D0CEE" w:rsidRPr="00607F62" w:rsidRDefault="007D0CEE" w:rsidP="004F753A">
      <w:pPr>
        <w:spacing w:before="240" w:after="0" w:line="240" w:lineRule="auto"/>
        <w:outlineLvl w:val="0"/>
        <w:rPr>
          <w:rFonts w:cs="Times New Roman"/>
          <w:szCs w:val="24"/>
          <w:lang w:val="fr-CH"/>
        </w:rPr>
      </w:pPr>
      <w:r w:rsidRPr="00607F62">
        <w:rPr>
          <w:rFonts w:cs="Times New Roman"/>
          <w:szCs w:val="24"/>
          <w:lang w:val="fr-CH"/>
        </w:rPr>
        <w:t xml:space="preserve">E-mail:  </w:t>
      </w:r>
      <w:r w:rsidR="00462677">
        <w:fldChar w:fldCharType="begin"/>
      </w:r>
      <w:r w:rsidR="00462677" w:rsidRPr="00607F62">
        <w:rPr>
          <w:lang w:val="fr-CH"/>
        </w:rPr>
        <w:instrText xml:space="preserve"> HYPERLINK "mailto:hwsohn@nih.gov" </w:instrText>
      </w:r>
      <w:r w:rsidR="00462677">
        <w:fldChar w:fldCharType="separate"/>
      </w:r>
      <w:r w:rsidRPr="00607F62">
        <w:rPr>
          <w:rStyle w:val="Hyperlink"/>
          <w:szCs w:val="24"/>
          <w:lang w:val="fr-CH"/>
        </w:rPr>
        <w:t>hwsohn@nih.gov</w:t>
      </w:r>
      <w:r w:rsidR="00462677">
        <w:rPr>
          <w:rStyle w:val="Hyperlink"/>
          <w:szCs w:val="24"/>
        </w:rPr>
        <w:fldChar w:fldCharType="end"/>
      </w:r>
      <w:r w:rsidRPr="00607F62">
        <w:rPr>
          <w:rFonts w:cs="Times New Roman"/>
          <w:szCs w:val="24"/>
          <w:lang w:val="fr-CH"/>
        </w:rPr>
        <w:t xml:space="preserve">  Phone: (301) 761-5028   Fax: (301) 594-9990</w:t>
      </w:r>
    </w:p>
    <w:p w14:paraId="1CF889F5" w14:textId="77777777" w:rsidR="004A6644" w:rsidRPr="00607F62" w:rsidRDefault="004A6644" w:rsidP="00360269">
      <w:pPr>
        <w:spacing w:line="240" w:lineRule="auto"/>
        <w:rPr>
          <w:rFonts w:cs="Times New Roman"/>
          <w:b/>
          <w:szCs w:val="24"/>
          <w:lang w:val="fr-CH"/>
        </w:rPr>
      </w:pPr>
    </w:p>
    <w:p w14:paraId="1F8C9720" w14:textId="7C608C8C" w:rsidR="004A6644" w:rsidRDefault="004A6644" w:rsidP="00360269">
      <w:pPr>
        <w:spacing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</w:t>
      </w:r>
      <w:r>
        <w:rPr>
          <w:rFonts w:cs="Times New Roman"/>
          <w:b/>
          <w:szCs w:val="24"/>
        </w:rPr>
        <w:tab/>
        <w:t>Supplementary Figures</w:t>
      </w:r>
    </w:p>
    <w:p w14:paraId="5848DC79" w14:textId="07DA7590" w:rsidR="00803BF3" w:rsidRDefault="004A6644" w:rsidP="00360269">
      <w:pPr>
        <w:spacing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Supplementary </w:t>
      </w:r>
      <w:r w:rsidR="007142AE">
        <w:rPr>
          <w:rFonts w:cs="Times New Roman"/>
          <w:b/>
          <w:szCs w:val="24"/>
        </w:rPr>
        <w:t>Figure 1</w:t>
      </w:r>
      <w:r w:rsidR="00803BF3">
        <w:rPr>
          <w:rFonts w:cs="Times New Roman"/>
          <w:b/>
          <w:szCs w:val="24"/>
        </w:rPr>
        <w:t xml:space="preserve">: Gating strategy for </w:t>
      </w:r>
      <w:r w:rsidR="00200A64">
        <w:rPr>
          <w:rFonts w:cs="Times New Roman"/>
          <w:b/>
          <w:szCs w:val="24"/>
        </w:rPr>
        <w:t>N</w:t>
      </w:r>
      <w:r w:rsidR="00803BF3">
        <w:rPr>
          <w:rFonts w:cs="Times New Roman"/>
          <w:b/>
          <w:szCs w:val="24"/>
        </w:rPr>
        <w:t xml:space="preserve">aïve, </w:t>
      </w:r>
      <w:r w:rsidR="00371989">
        <w:rPr>
          <w:rFonts w:cs="Times New Roman"/>
          <w:b/>
          <w:szCs w:val="24"/>
        </w:rPr>
        <w:t xml:space="preserve">Memory and </w:t>
      </w:r>
      <w:r w:rsidR="00803BF3">
        <w:rPr>
          <w:rFonts w:cs="Times New Roman"/>
          <w:b/>
          <w:szCs w:val="24"/>
        </w:rPr>
        <w:t>GC B cells</w:t>
      </w:r>
    </w:p>
    <w:p w14:paraId="7E3EF74E" w14:textId="77777777" w:rsidR="00DB43A4" w:rsidRPr="00DB43A4" w:rsidRDefault="00DB43A4" w:rsidP="00360269">
      <w:pPr>
        <w:spacing w:line="240" w:lineRule="auto"/>
        <w:rPr>
          <w:rFonts w:cs="Times New Roman"/>
          <w:szCs w:val="24"/>
        </w:rPr>
      </w:pPr>
      <w:r w:rsidRPr="00DB43A4">
        <w:rPr>
          <w:rFonts w:cs="Times New Roman"/>
          <w:szCs w:val="24"/>
        </w:rPr>
        <w:t>(A) Gating strategy for tonsil B cells (</w:t>
      </w:r>
      <w:r w:rsidRPr="00211721">
        <w:rPr>
          <w:rFonts w:cs="Times New Roman"/>
          <w:i/>
          <w:szCs w:val="24"/>
        </w:rPr>
        <w:t>ex vivo</w:t>
      </w:r>
      <w:r w:rsidRPr="00DB43A4">
        <w:rPr>
          <w:rFonts w:cs="Times New Roman"/>
          <w:szCs w:val="24"/>
        </w:rPr>
        <w:t xml:space="preserve"> and after </w:t>
      </w:r>
      <w:r w:rsidRPr="00211721">
        <w:rPr>
          <w:rFonts w:cs="Times New Roman"/>
          <w:i/>
          <w:szCs w:val="24"/>
        </w:rPr>
        <w:t>in vitro</w:t>
      </w:r>
      <w:r w:rsidRPr="00DB43A4">
        <w:rPr>
          <w:rFonts w:cs="Times New Roman"/>
          <w:szCs w:val="24"/>
        </w:rPr>
        <w:t xml:space="preserve"> culture for 40</w:t>
      </w:r>
      <w:r w:rsidR="00254353">
        <w:rPr>
          <w:rFonts w:cs="Times New Roman"/>
          <w:szCs w:val="24"/>
        </w:rPr>
        <w:t xml:space="preserve"> </w:t>
      </w:r>
      <w:r w:rsidRPr="00DB43A4">
        <w:rPr>
          <w:rFonts w:cs="Times New Roman"/>
          <w:szCs w:val="24"/>
        </w:rPr>
        <w:t>h without or with PLB-Ag + CpG + IFN</w:t>
      </w:r>
      <w:r w:rsidR="00DD28F7">
        <w:rPr>
          <w:rFonts w:cs="Times New Roman"/>
          <w:szCs w:val="24"/>
        </w:rPr>
        <w:t>-</w:t>
      </w:r>
      <w:r w:rsidRPr="00DB43A4">
        <w:rPr>
          <w:rFonts w:cs="Times New Roman"/>
          <w:szCs w:val="24"/>
        </w:rPr>
        <w:t xml:space="preserve">γ stimulation). B cell subsets were gated based on </w:t>
      </w:r>
      <w:proofErr w:type="spellStart"/>
      <w:r w:rsidRPr="00DB43A4">
        <w:rPr>
          <w:rFonts w:cs="Times New Roman"/>
          <w:szCs w:val="24"/>
        </w:rPr>
        <w:t>IgD</w:t>
      </w:r>
      <w:proofErr w:type="spellEnd"/>
      <w:r w:rsidRPr="00DB43A4">
        <w:rPr>
          <w:rFonts w:cs="Times New Roman"/>
          <w:szCs w:val="24"/>
        </w:rPr>
        <w:t xml:space="preserve"> and CD10 expression into </w:t>
      </w:r>
      <w:r w:rsidR="008F480D" w:rsidRPr="00DB43A4">
        <w:rPr>
          <w:rFonts w:cs="Times New Roman"/>
          <w:szCs w:val="24"/>
        </w:rPr>
        <w:t>Naïve (CD10</w:t>
      </w:r>
      <w:r w:rsidR="008F480D" w:rsidRPr="00150A76">
        <w:rPr>
          <w:rFonts w:cs="Times New Roman"/>
          <w:szCs w:val="24"/>
          <w:vertAlign w:val="superscript"/>
        </w:rPr>
        <w:t>-</w:t>
      </w:r>
      <w:r w:rsidR="008F480D" w:rsidRPr="00DB43A4">
        <w:rPr>
          <w:rFonts w:cs="Times New Roman"/>
          <w:szCs w:val="24"/>
        </w:rPr>
        <w:t xml:space="preserve">, </w:t>
      </w:r>
      <w:proofErr w:type="spellStart"/>
      <w:r w:rsidR="008F480D" w:rsidRPr="00DB43A4">
        <w:rPr>
          <w:rFonts w:cs="Times New Roman"/>
          <w:szCs w:val="24"/>
        </w:rPr>
        <w:t>IgD</w:t>
      </w:r>
      <w:proofErr w:type="spellEnd"/>
      <w:r w:rsidR="008F480D" w:rsidRPr="00150A76">
        <w:rPr>
          <w:rFonts w:cs="Times New Roman"/>
          <w:szCs w:val="24"/>
          <w:vertAlign w:val="superscript"/>
        </w:rPr>
        <w:t>+</w:t>
      </w:r>
      <w:r w:rsidR="008F480D" w:rsidRPr="00DB43A4">
        <w:rPr>
          <w:rFonts w:cs="Times New Roman"/>
          <w:szCs w:val="24"/>
        </w:rPr>
        <w:t>), Memory (CD10</w:t>
      </w:r>
      <w:r w:rsidR="008F480D" w:rsidRPr="00150A76">
        <w:rPr>
          <w:rFonts w:cs="Times New Roman"/>
          <w:szCs w:val="24"/>
          <w:vertAlign w:val="superscript"/>
        </w:rPr>
        <w:t>-</w:t>
      </w:r>
      <w:r w:rsidR="008F480D" w:rsidRPr="00DB43A4">
        <w:rPr>
          <w:rFonts w:cs="Times New Roman"/>
          <w:szCs w:val="24"/>
        </w:rPr>
        <w:t>IgD</w:t>
      </w:r>
      <w:r w:rsidR="008F480D" w:rsidRPr="00150A76">
        <w:rPr>
          <w:rFonts w:cs="Times New Roman"/>
          <w:szCs w:val="24"/>
          <w:vertAlign w:val="superscript"/>
        </w:rPr>
        <w:t>-</w:t>
      </w:r>
      <w:r w:rsidR="008F480D" w:rsidRPr="00DB43A4">
        <w:rPr>
          <w:rFonts w:cs="Times New Roman"/>
          <w:szCs w:val="24"/>
        </w:rPr>
        <w:t>) and GC (CD10</w:t>
      </w:r>
      <w:r w:rsidR="008F480D" w:rsidRPr="00150A76">
        <w:rPr>
          <w:rFonts w:cs="Times New Roman"/>
          <w:szCs w:val="24"/>
          <w:vertAlign w:val="superscript"/>
        </w:rPr>
        <w:t>+</w:t>
      </w:r>
      <w:r w:rsidR="008F480D" w:rsidRPr="00DB43A4">
        <w:rPr>
          <w:rFonts w:cs="Times New Roman"/>
          <w:szCs w:val="24"/>
        </w:rPr>
        <w:t>IgD</w:t>
      </w:r>
      <w:r w:rsidR="008F480D" w:rsidRPr="00150A76">
        <w:rPr>
          <w:rFonts w:cs="Times New Roman"/>
          <w:szCs w:val="24"/>
          <w:vertAlign w:val="superscript"/>
        </w:rPr>
        <w:t>-</w:t>
      </w:r>
      <w:r w:rsidR="008F480D" w:rsidRPr="00DB43A4">
        <w:rPr>
          <w:rFonts w:cs="Times New Roman"/>
          <w:szCs w:val="24"/>
        </w:rPr>
        <w:t>)</w:t>
      </w:r>
      <w:r w:rsidR="008F480D">
        <w:rPr>
          <w:rFonts w:cs="Times New Roman"/>
          <w:szCs w:val="24"/>
        </w:rPr>
        <w:t xml:space="preserve"> </w:t>
      </w:r>
      <w:r w:rsidRPr="00DB43A4">
        <w:rPr>
          <w:rFonts w:cs="Times New Roman"/>
          <w:szCs w:val="24"/>
        </w:rPr>
        <w:t xml:space="preserve">B cells. </w:t>
      </w:r>
      <w:r>
        <w:rPr>
          <w:rFonts w:cs="Times New Roman"/>
          <w:szCs w:val="24"/>
        </w:rPr>
        <w:t xml:space="preserve">Viability (percent live cells) of total B cells cultured for 40 h without (black dots) or with </w:t>
      </w:r>
      <w:r w:rsidRPr="00364C73">
        <w:rPr>
          <w:rFonts w:cs="Times New Roman"/>
          <w:szCs w:val="24"/>
        </w:rPr>
        <w:t>PLB-Ag + CpG + IFN</w:t>
      </w:r>
      <w:r w:rsidR="00E2414D">
        <w:rPr>
          <w:rFonts w:cs="Times New Roman"/>
          <w:szCs w:val="24"/>
        </w:rPr>
        <w:t>-</w:t>
      </w:r>
      <w:r w:rsidRPr="00364C73">
        <w:rPr>
          <w:rFonts w:cs="Times New Roman"/>
          <w:szCs w:val="24"/>
        </w:rPr>
        <w:t xml:space="preserve">γ </w:t>
      </w:r>
      <w:r>
        <w:rPr>
          <w:rFonts w:cs="Times New Roman"/>
          <w:szCs w:val="24"/>
        </w:rPr>
        <w:t>stimulation (red dots) is shown in the graph</w:t>
      </w:r>
      <w:r w:rsidR="00C361DB">
        <w:rPr>
          <w:rFonts w:cs="Times New Roman"/>
          <w:szCs w:val="24"/>
        </w:rPr>
        <w:t xml:space="preserve"> alongside</w:t>
      </w:r>
      <w:r>
        <w:rPr>
          <w:rFonts w:cs="Times New Roman"/>
          <w:szCs w:val="24"/>
        </w:rPr>
        <w:t>.</w:t>
      </w:r>
    </w:p>
    <w:p w14:paraId="50A25403" w14:textId="4B49E369" w:rsidR="00360269" w:rsidRDefault="00DB43A4" w:rsidP="00360269">
      <w:pPr>
        <w:spacing w:line="240" w:lineRule="auto"/>
        <w:rPr>
          <w:rFonts w:cs="Times New Roman"/>
          <w:szCs w:val="24"/>
        </w:rPr>
      </w:pPr>
      <w:r w:rsidRPr="00DB43A4">
        <w:rPr>
          <w:rFonts w:cs="Times New Roman"/>
          <w:szCs w:val="24"/>
        </w:rPr>
        <w:t xml:space="preserve"> (B) Strategy for FACS sorting of tonsil B cells into Naïve, Memory </w:t>
      </w:r>
      <w:r>
        <w:rPr>
          <w:rFonts w:cs="Times New Roman"/>
          <w:szCs w:val="24"/>
        </w:rPr>
        <w:t xml:space="preserve">and GC </w:t>
      </w:r>
      <w:r w:rsidRPr="00DB43A4">
        <w:rPr>
          <w:rFonts w:cs="Times New Roman"/>
          <w:szCs w:val="24"/>
        </w:rPr>
        <w:t>B cells. Tonsil B cells were stained using fluorescently labelled anti-</w:t>
      </w:r>
      <w:proofErr w:type="spellStart"/>
      <w:r w:rsidRPr="00DB43A4">
        <w:rPr>
          <w:rFonts w:cs="Times New Roman"/>
          <w:szCs w:val="24"/>
        </w:rPr>
        <w:t>IgD</w:t>
      </w:r>
      <w:proofErr w:type="spellEnd"/>
      <w:r w:rsidRPr="00DB43A4">
        <w:rPr>
          <w:rFonts w:cs="Times New Roman"/>
          <w:szCs w:val="24"/>
        </w:rPr>
        <w:t xml:space="preserve"> Fab fragment and anti-CD10 antibody and FACS sorted into </w:t>
      </w:r>
      <w:r w:rsidR="001F1223" w:rsidRPr="00DB43A4">
        <w:rPr>
          <w:rFonts w:cs="Times New Roman"/>
          <w:szCs w:val="24"/>
        </w:rPr>
        <w:t>Naïve (CD10</w:t>
      </w:r>
      <w:r w:rsidR="001F1223" w:rsidRPr="00150A76">
        <w:rPr>
          <w:rFonts w:cs="Times New Roman"/>
          <w:szCs w:val="24"/>
          <w:vertAlign w:val="superscript"/>
        </w:rPr>
        <w:t>-</w:t>
      </w:r>
      <w:r w:rsidR="001F1223" w:rsidRPr="00DB43A4">
        <w:rPr>
          <w:rFonts w:cs="Times New Roman"/>
          <w:szCs w:val="24"/>
        </w:rPr>
        <w:t xml:space="preserve">, </w:t>
      </w:r>
      <w:proofErr w:type="spellStart"/>
      <w:r w:rsidR="001F1223" w:rsidRPr="00DB43A4">
        <w:rPr>
          <w:rFonts w:cs="Times New Roman"/>
          <w:szCs w:val="24"/>
        </w:rPr>
        <w:t>IgD</w:t>
      </w:r>
      <w:proofErr w:type="spellEnd"/>
      <w:r w:rsidR="001F1223" w:rsidRPr="00150A76">
        <w:rPr>
          <w:rFonts w:cs="Times New Roman"/>
          <w:szCs w:val="24"/>
          <w:vertAlign w:val="superscript"/>
        </w:rPr>
        <w:t>+</w:t>
      </w:r>
      <w:r w:rsidR="001F1223" w:rsidRPr="00DB43A4">
        <w:rPr>
          <w:rFonts w:cs="Times New Roman"/>
          <w:szCs w:val="24"/>
        </w:rPr>
        <w:t>), Memory (CD10</w:t>
      </w:r>
      <w:r w:rsidR="001F1223" w:rsidRPr="00150A76">
        <w:rPr>
          <w:rFonts w:cs="Times New Roman"/>
          <w:szCs w:val="24"/>
          <w:vertAlign w:val="superscript"/>
        </w:rPr>
        <w:t>-</w:t>
      </w:r>
      <w:r w:rsidR="001F1223" w:rsidRPr="00DB43A4">
        <w:rPr>
          <w:rFonts w:cs="Times New Roman"/>
          <w:szCs w:val="24"/>
        </w:rPr>
        <w:t>IgD</w:t>
      </w:r>
      <w:r w:rsidR="001F1223" w:rsidRPr="00150A76">
        <w:rPr>
          <w:rFonts w:cs="Times New Roman"/>
          <w:szCs w:val="24"/>
          <w:vertAlign w:val="superscript"/>
        </w:rPr>
        <w:t>-</w:t>
      </w:r>
      <w:r w:rsidR="001F1223" w:rsidRPr="00DB43A4">
        <w:rPr>
          <w:rFonts w:cs="Times New Roman"/>
          <w:szCs w:val="24"/>
        </w:rPr>
        <w:t>) and GC (CD10</w:t>
      </w:r>
      <w:r w:rsidR="001F1223" w:rsidRPr="00150A76">
        <w:rPr>
          <w:rFonts w:cs="Times New Roman"/>
          <w:szCs w:val="24"/>
          <w:vertAlign w:val="superscript"/>
        </w:rPr>
        <w:t>+</w:t>
      </w:r>
      <w:r w:rsidR="001F1223" w:rsidRPr="00DB43A4">
        <w:rPr>
          <w:rFonts w:cs="Times New Roman"/>
          <w:szCs w:val="24"/>
        </w:rPr>
        <w:t>IgD</w:t>
      </w:r>
      <w:r w:rsidR="001F1223" w:rsidRPr="00150A76">
        <w:rPr>
          <w:rFonts w:cs="Times New Roman"/>
          <w:szCs w:val="24"/>
          <w:vertAlign w:val="superscript"/>
        </w:rPr>
        <w:t>-</w:t>
      </w:r>
      <w:r w:rsidR="001F1223" w:rsidRPr="00DB43A4">
        <w:rPr>
          <w:rFonts w:cs="Times New Roman"/>
          <w:szCs w:val="24"/>
        </w:rPr>
        <w:t>)</w:t>
      </w:r>
      <w:r w:rsidR="001F1223">
        <w:rPr>
          <w:rFonts w:cs="Times New Roman"/>
          <w:szCs w:val="24"/>
        </w:rPr>
        <w:t xml:space="preserve"> </w:t>
      </w:r>
      <w:r w:rsidRPr="00DB43A4">
        <w:rPr>
          <w:rFonts w:cs="Times New Roman"/>
          <w:szCs w:val="24"/>
        </w:rPr>
        <w:t xml:space="preserve">B cells. Sorted cells were cultured </w:t>
      </w:r>
      <w:r w:rsidRPr="00C20C17">
        <w:rPr>
          <w:rFonts w:cs="Times New Roman"/>
          <w:i/>
          <w:szCs w:val="24"/>
        </w:rPr>
        <w:t>in vitro</w:t>
      </w:r>
      <w:r w:rsidRPr="00DB43A4">
        <w:rPr>
          <w:rFonts w:cs="Times New Roman"/>
          <w:szCs w:val="24"/>
        </w:rPr>
        <w:t xml:space="preserve"> for 40</w:t>
      </w:r>
      <w:r w:rsidR="00254353">
        <w:rPr>
          <w:rFonts w:cs="Times New Roman"/>
          <w:szCs w:val="24"/>
        </w:rPr>
        <w:t xml:space="preserve"> </w:t>
      </w:r>
      <w:r w:rsidRPr="00DB43A4">
        <w:rPr>
          <w:rFonts w:cs="Times New Roman"/>
          <w:szCs w:val="24"/>
        </w:rPr>
        <w:t>h without or with various stimulations.</w:t>
      </w:r>
      <w:r>
        <w:rPr>
          <w:rFonts w:cs="Times New Roman"/>
          <w:szCs w:val="24"/>
        </w:rPr>
        <w:t xml:space="preserve"> </w:t>
      </w:r>
      <w:r w:rsidRPr="00DB43A4">
        <w:rPr>
          <w:rFonts w:cs="Times New Roman"/>
          <w:szCs w:val="24"/>
        </w:rPr>
        <w:t xml:space="preserve">Viability (percent live cells) of FACS sorted Naïve (orange dots), Memory (purple dots) and GC (green dots) </w:t>
      </w:r>
      <w:r w:rsidR="00371859" w:rsidRPr="00DB43A4">
        <w:rPr>
          <w:rFonts w:cs="Times New Roman"/>
          <w:szCs w:val="24"/>
        </w:rPr>
        <w:t xml:space="preserve">B cells </w:t>
      </w:r>
      <w:r w:rsidRPr="00DB43A4">
        <w:rPr>
          <w:rFonts w:cs="Times New Roman"/>
          <w:szCs w:val="24"/>
        </w:rPr>
        <w:t>cultured for 40 h without or with PLB-Ag + CpG + IFN</w:t>
      </w:r>
      <w:r w:rsidR="00DD28F7">
        <w:rPr>
          <w:rFonts w:cs="Times New Roman"/>
          <w:szCs w:val="24"/>
        </w:rPr>
        <w:t>-</w:t>
      </w:r>
      <w:r w:rsidRPr="00DB43A4">
        <w:rPr>
          <w:rFonts w:cs="Times New Roman"/>
          <w:szCs w:val="24"/>
        </w:rPr>
        <w:t>γ stimulation</w:t>
      </w:r>
      <w:r>
        <w:rPr>
          <w:rFonts w:cs="Times New Roman"/>
          <w:szCs w:val="24"/>
        </w:rPr>
        <w:t xml:space="preserve"> is shown in the graph</w:t>
      </w:r>
      <w:r w:rsidR="00C361DB">
        <w:rPr>
          <w:rFonts w:cs="Times New Roman"/>
          <w:szCs w:val="24"/>
        </w:rPr>
        <w:t xml:space="preserve"> alongside</w:t>
      </w:r>
      <w:r w:rsidRPr="00DB43A4">
        <w:rPr>
          <w:rFonts w:cs="Times New Roman"/>
          <w:szCs w:val="24"/>
        </w:rPr>
        <w:t>.</w:t>
      </w:r>
    </w:p>
    <w:p w14:paraId="6CA60D81" w14:textId="5C798E7B" w:rsidR="002700BA" w:rsidRPr="00372944" w:rsidRDefault="00372944" w:rsidP="00360269">
      <w:pPr>
        <w:spacing w:line="240" w:lineRule="auto"/>
        <w:rPr>
          <w:rFonts w:cs="Times New Roman"/>
          <w:szCs w:val="24"/>
        </w:rPr>
      </w:pPr>
      <w:r w:rsidRPr="00372944">
        <w:rPr>
          <w:rFonts w:cs="Times New Roman"/>
          <w:szCs w:val="24"/>
        </w:rPr>
        <w:lastRenderedPageBreak/>
        <w:t xml:space="preserve">(C) </w:t>
      </w:r>
      <w:r w:rsidR="003A6D34" w:rsidRPr="003A6D34">
        <w:rPr>
          <w:rFonts w:cs="Times New Roman"/>
          <w:szCs w:val="24"/>
        </w:rPr>
        <w:t>Comparison of T-bet expression (</w:t>
      </w:r>
      <w:proofErr w:type="spellStart"/>
      <w:r w:rsidR="003A6D34" w:rsidRPr="003A6D34">
        <w:rPr>
          <w:rFonts w:cs="Times New Roman"/>
          <w:szCs w:val="24"/>
        </w:rPr>
        <w:t>gMFI</w:t>
      </w:r>
      <w:proofErr w:type="spellEnd"/>
      <w:r w:rsidR="003A6D34" w:rsidRPr="003A6D34">
        <w:rPr>
          <w:rFonts w:cs="Times New Roman"/>
          <w:szCs w:val="24"/>
        </w:rPr>
        <w:t xml:space="preserve">) by Naïve B cells stimulated </w:t>
      </w:r>
      <w:r w:rsidR="003A6D34" w:rsidRPr="002D50B7">
        <w:rPr>
          <w:rFonts w:cs="Times New Roman"/>
          <w:i/>
          <w:szCs w:val="24"/>
        </w:rPr>
        <w:t>in vitro</w:t>
      </w:r>
      <w:r w:rsidR="000E3DFF">
        <w:rPr>
          <w:rFonts w:cs="Times New Roman"/>
          <w:szCs w:val="24"/>
        </w:rPr>
        <w:t xml:space="preserve">. </w:t>
      </w:r>
      <w:r w:rsidR="000E3DFF" w:rsidRPr="000E3DFF">
        <w:rPr>
          <w:rFonts w:cs="Times New Roman"/>
          <w:szCs w:val="24"/>
        </w:rPr>
        <w:t xml:space="preserve">Tonsil B cells were cultured </w:t>
      </w:r>
      <w:r w:rsidR="000E3DFF" w:rsidRPr="000E3DFF">
        <w:rPr>
          <w:rFonts w:cs="Times New Roman"/>
          <w:i/>
          <w:szCs w:val="24"/>
        </w:rPr>
        <w:t>in vitro</w:t>
      </w:r>
      <w:r w:rsidR="000E3DFF" w:rsidRPr="000E3DFF">
        <w:rPr>
          <w:rFonts w:cs="Times New Roman"/>
          <w:szCs w:val="24"/>
        </w:rPr>
        <w:t xml:space="preserve"> for 40 h on PLB with combination of Ag, CpG</w:t>
      </w:r>
      <w:r w:rsidR="000E3DFF">
        <w:rPr>
          <w:rFonts w:cs="Times New Roman"/>
          <w:szCs w:val="24"/>
        </w:rPr>
        <w:t xml:space="preserve"> or</w:t>
      </w:r>
      <w:r w:rsidR="000E3DFF" w:rsidRPr="000E3DFF">
        <w:rPr>
          <w:rFonts w:cs="Times New Roman"/>
          <w:szCs w:val="24"/>
        </w:rPr>
        <w:t xml:space="preserve"> IFN-γ. T-bet expression in Naïve (CD10-, </w:t>
      </w:r>
      <w:proofErr w:type="spellStart"/>
      <w:r w:rsidR="000E3DFF" w:rsidRPr="000E3DFF">
        <w:rPr>
          <w:rFonts w:cs="Times New Roman"/>
          <w:szCs w:val="24"/>
        </w:rPr>
        <w:t>IgD</w:t>
      </w:r>
      <w:proofErr w:type="spellEnd"/>
      <w:r w:rsidR="000E3DFF" w:rsidRPr="000E3DFF">
        <w:rPr>
          <w:rFonts w:cs="Times New Roman"/>
          <w:szCs w:val="24"/>
        </w:rPr>
        <w:t>+)</w:t>
      </w:r>
      <w:r w:rsidR="000E3DFF">
        <w:rPr>
          <w:rFonts w:cs="Times New Roman"/>
          <w:szCs w:val="24"/>
        </w:rPr>
        <w:t xml:space="preserve"> </w:t>
      </w:r>
      <w:r w:rsidR="000E3DFF" w:rsidRPr="000E3DFF">
        <w:rPr>
          <w:rFonts w:cs="Times New Roman"/>
          <w:szCs w:val="24"/>
        </w:rPr>
        <w:t>B cells was analyzed by Flow cytometry.</w:t>
      </w:r>
      <w:r w:rsidR="00076F11">
        <w:rPr>
          <w:rFonts w:cs="Times New Roman"/>
          <w:szCs w:val="24"/>
        </w:rPr>
        <w:t xml:space="preserve"> </w:t>
      </w:r>
      <w:r w:rsidR="00076F11" w:rsidRPr="00364C73">
        <w:rPr>
          <w:rFonts w:cs="Times New Roman"/>
          <w:szCs w:val="24"/>
        </w:rPr>
        <w:t xml:space="preserve">Data </w:t>
      </w:r>
      <w:r w:rsidR="00076F11">
        <w:rPr>
          <w:rFonts w:cs="Times New Roman"/>
          <w:szCs w:val="24"/>
        </w:rPr>
        <w:t>were</w:t>
      </w:r>
      <w:r w:rsidR="00076F11" w:rsidRPr="00364C73">
        <w:rPr>
          <w:rFonts w:cs="Times New Roman"/>
          <w:szCs w:val="24"/>
        </w:rPr>
        <w:t xml:space="preserve"> analyzed using </w:t>
      </w:r>
      <w:r w:rsidR="00076F11" w:rsidRPr="00806E30">
        <w:rPr>
          <w:rFonts w:cs="Times New Roman"/>
          <w:szCs w:val="24"/>
        </w:rPr>
        <w:t>one-way analysis of variance (ANOVA) with Tukey’s adjustment</w:t>
      </w:r>
      <w:r w:rsidR="00076F11">
        <w:rPr>
          <w:rFonts w:cs="Times New Roman"/>
          <w:szCs w:val="24"/>
        </w:rPr>
        <w:t xml:space="preserve">. </w:t>
      </w:r>
      <w:r w:rsidR="00076F11" w:rsidRPr="00480075">
        <w:rPr>
          <w:rFonts w:cs="Times New Roman"/>
          <w:szCs w:val="24"/>
        </w:rPr>
        <w:t xml:space="preserve">*, P &lt; 0.05; </w:t>
      </w:r>
      <w:r w:rsidR="00076F11">
        <w:rPr>
          <w:rFonts w:cs="Times New Roman"/>
          <w:szCs w:val="24"/>
        </w:rPr>
        <w:t xml:space="preserve">***, </w:t>
      </w:r>
      <w:r w:rsidR="00076F11" w:rsidRPr="00480075">
        <w:rPr>
          <w:rFonts w:cs="Times New Roman"/>
          <w:szCs w:val="24"/>
        </w:rPr>
        <w:t>P &lt; 0.0</w:t>
      </w:r>
      <w:r w:rsidR="00076F11">
        <w:rPr>
          <w:rFonts w:cs="Times New Roman"/>
          <w:szCs w:val="24"/>
        </w:rPr>
        <w:t>0</w:t>
      </w:r>
      <w:r w:rsidR="00076F11" w:rsidRPr="00480075">
        <w:rPr>
          <w:rFonts w:cs="Times New Roman"/>
          <w:szCs w:val="24"/>
        </w:rPr>
        <w:t>1</w:t>
      </w:r>
      <w:r w:rsidR="00076F11">
        <w:rPr>
          <w:rFonts w:cs="Times New Roman"/>
          <w:szCs w:val="24"/>
        </w:rPr>
        <w:t xml:space="preserve">; ****, </w:t>
      </w:r>
      <w:r w:rsidR="00076F11" w:rsidRPr="00480075">
        <w:rPr>
          <w:rFonts w:cs="Times New Roman"/>
          <w:szCs w:val="24"/>
        </w:rPr>
        <w:t>P &lt; 0.0</w:t>
      </w:r>
      <w:r w:rsidR="00076F11">
        <w:rPr>
          <w:rFonts w:cs="Times New Roman"/>
          <w:szCs w:val="24"/>
        </w:rPr>
        <w:t>00</w:t>
      </w:r>
      <w:r w:rsidR="00076F11" w:rsidRPr="00480075">
        <w:rPr>
          <w:rFonts w:cs="Times New Roman"/>
          <w:szCs w:val="24"/>
        </w:rPr>
        <w:t>1</w:t>
      </w:r>
      <w:r w:rsidR="00076F11">
        <w:rPr>
          <w:rFonts w:cs="Times New Roman"/>
          <w:szCs w:val="24"/>
        </w:rPr>
        <w:t>;</w:t>
      </w:r>
      <w:r w:rsidR="00076F11" w:rsidRPr="00480075">
        <w:rPr>
          <w:rFonts w:cs="Times New Roman"/>
          <w:szCs w:val="24"/>
        </w:rPr>
        <w:t xml:space="preserve"> </w:t>
      </w:r>
      <w:r w:rsidR="00076F11">
        <w:rPr>
          <w:rFonts w:cs="Times New Roman"/>
          <w:szCs w:val="24"/>
        </w:rPr>
        <w:t>ns</w:t>
      </w:r>
      <w:r w:rsidR="00076F11" w:rsidRPr="00806E30">
        <w:rPr>
          <w:rFonts w:cs="Times New Roman"/>
          <w:szCs w:val="24"/>
        </w:rPr>
        <w:t>, not significant</w:t>
      </w:r>
      <w:r w:rsidR="00076F11">
        <w:rPr>
          <w:rFonts w:cs="Times New Roman"/>
          <w:szCs w:val="24"/>
        </w:rPr>
        <w:t>.</w:t>
      </w:r>
    </w:p>
    <w:p w14:paraId="7E7DC77C" w14:textId="63D6A0EA" w:rsidR="00803BF3" w:rsidRPr="00364C73" w:rsidRDefault="004A6644" w:rsidP="00360269">
      <w:pPr>
        <w:spacing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Supplementary Figure </w:t>
      </w:r>
      <w:r w:rsidR="007142AE">
        <w:rPr>
          <w:rFonts w:cs="Times New Roman"/>
          <w:b/>
          <w:szCs w:val="24"/>
        </w:rPr>
        <w:t>2</w:t>
      </w:r>
      <w:r w:rsidR="00803BF3" w:rsidRPr="00364C73">
        <w:rPr>
          <w:rFonts w:cs="Times New Roman"/>
          <w:b/>
          <w:szCs w:val="24"/>
        </w:rPr>
        <w:t xml:space="preserve">: T-bet expression in tonsil B cells upon </w:t>
      </w:r>
      <w:r w:rsidR="00803BF3" w:rsidRPr="00364C73">
        <w:rPr>
          <w:rFonts w:cs="Times New Roman"/>
          <w:b/>
          <w:i/>
          <w:szCs w:val="24"/>
        </w:rPr>
        <w:t>in vitro</w:t>
      </w:r>
      <w:r w:rsidR="00803BF3" w:rsidRPr="00364C73">
        <w:rPr>
          <w:rFonts w:cs="Times New Roman"/>
          <w:b/>
          <w:szCs w:val="24"/>
        </w:rPr>
        <w:t xml:space="preserve"> stimulation </w:t>
      </w:r>
    </w:p>
    <w:p w14:paraId="3A5ADC6E" w14:textId="7083AC3C" w:rsidR="007142AE" w:rsidRDefault="00803BF3" w:rsidP="00360269">
      <w:pPr>
        <w:spacing w:line="240" w:lineRule="auto"/>
        <w:rPr>
          <w:rFonts w:cs="Times New Roman"/>
          <w:szCs w:val="24"/>
        </w:rPr>
      </w:pPr>
      <w:r w:rsidRPr="00364C73">
        <w:rPr>
          <w:rFonts w:cs="Times New Roman"/>
          <w:szCs w:val="24"/>
        </w:rPr>
        <w:t xml:space="preserve">Tonsil B cells were cultured </w:t>
      </w:r>
      <w:r w:rsidRPr="00364C73">
        <w:rPr>
          <w:rFonts w:cs="Times New Roman"/>
          <w:i/>
          <w:szCs w:val="24"/>
        </w:rPr>
        <w:t>in vitro</w:t>
      </w:r>
      <w:r w:rsidRPr="00364C73">
        <w:rPr>
          <w:rFonts w:cs="Times New Roman"/>
          <w:szCs w:val="24"/>
        </w:rPr>
        <w:t xml:space="preserve"> for 40 h </w:t>
      </w:r>
      <w:r>
        <w:rPr>
          <w:rFonts w:cs="Times New Roman"/>
          <w:szCs w:val="24"/>
        </w:rPr>
        <w:t>on</w:t>
      </w:r>
      <w:r w:rsidRPr="00364C73">
        <w:rPr>
          <w:rFonts w:cs="Times New Roman"/>
          <w:szCs w:val="24"/>
        </w:rPr>
        <w:t xml:space="preserve"> PLB with combination of Ag, CpG, IFN</w:t>
      </w:r>
      <w:r w:rsidR="00DD28F7">
        <w:rPr>
          <w:rFonts w:cs="Times New Roman"/>
          <w:szCs w:val="24"/>
        </w:rPr>
        <w:t>-</w:t>
      </w:r>
      <w:r w:rsidRPr="00364C73">
        <w:rPr>
          <w:rFonts w:cs="Times New Roman"/>
          <w:szCs w:val="24"/>
          <w:lang w:val="el-GR"/>
        </w:rPr>
        <w:t>γ</w:t>
      </w:r>
      <w:r w:rsidRPr="00364C73">
        <w:rPr>
          <w:rFonts w:cs="Times New Roman"/>
          <w:szCs w:val="24"/>
        </w:rPr>
        <w:t xml:space="preserve"> or IL12</w:t>
      </w:r>
      <w:r w:rsidR="00845315">
        <w:rPr>
          <w:rFonts w:cs="Times New Roman"/>
          <w:szCs w:val="24"/>
        </w:rPr>
        <w:t>+</w:t>
      </w:r>
      <w:r w:rsidRPr="00364C73">
        <w:rPr>
          <w:rFonts w:cs="Times New Roman"/>
          <w:szCs w:val="24"/>
        </w:rPr>
        <w:t xml:space="preserve">18. T-bet expression in </w:t>
      </w:r>
      <w:r w:rsidR="004F510A" w:rsidRPr="00DB43A4">
        <w:rPr>
          <w:rFonts w:cs="Times New Roman"/>
          <w:szCs w:val="24"/>
        </w:rPr>
        <w:t>Naïve (CD10</w:t>
      </w:r>
      <w:r w:rsidR="004F510A" w:rsidRPr="00150A76">
        <w:rPr>
          <w:rFonts w:cs="Times New Roman"/>
          <w:szCs w:val="24"/>
          <w:vertAlign w:val="superscript"/>
        </w:rPr>
        <w:t>-</w:t>
      </w:r>
      <w:r w:rsidR="004F510A" w:rsidRPr="00DB43A4">
        <w:rPr>
          <w:rFonts w:cs="Times New Roman"/>
          <w:szCs w:val="24"/>
        </w:rPr>
        <w:t xml:space="preserve">, </w:t>
      </w:r>
      <w:proofErr w:type="spellStart"/>
      <w:r w:rsidR="004F510A" w:rsidRPr="00DB43A4">
        <w:rPr>
          <w:rFonts w:cs="Times New Roman"/>
          <w:szCs w:val="24"/>
        </w:rPr>
        <w:t>IgD</w:t>
      </w:r>
      <w:proofErr w:type="spellEnd"/>
      <w:r w:rsidR="004F510A" w:rsidRPr="00150A76">
        <w:rPr>
          <w:rFonts w:cs="Times New Roman"/>
          <w:szCs w:val="24"/>
          <w:vertAlign w:val="superscript"/>
        </w:rPr>
        <w:t>+</w:t>
      </w:r>
      <w:r w:rsidR="004F510A" w:rsidRPr="00DB43A4">
        <w:rPr>
          <w:rFonts w:cs="Times New Roman"/>
          <w:szCs w:val="24"/>
        </w:rPr>
        <w:t>), Memory (CD10</w:t>
      </w:r>
      <w:r w:rsidR="004F510A" w:rsidRPr="00150A76">
        <w:rPr>
          <w:rFonts w:cs="Times New Roman"/>
          <w:szCs w:val="24"/>
          <w:vertAlign w:val="superscript"/>
        </w:rPr>
        <w:t>-</w:t>
      </w:r>
      <w:r w:rsidR="004F510A" w:rsidRPr="00DB43A4">
        <w:rPr>
          <w:rFonts w:cs="Times New Roman"/>
          <w:szCs w:val="24"/>
        </w:rPr>
        <w:t>IgD</w:t>
      </w:r>
      <w:r w:rsidR="004F510A" w:rsidRPr="00150A76">
        <w:rPr>
          <w:rFonts w:cs="Times New Roman"/>
          <w:szCs w:val="24"/>
          <w:vertAlign w:val="superscript"/>
        </w:rPr>
        <w:t>-</w:t>
      </w:r>
      <w:r w:rsidR="004F510A" w:rsidRPr="00DB43A4">
        <w:rPr>
          <w:rFonts w:cs="Times New Roman"/>
          <w:szCs w:val="24"/>
        </w:rPr>
        <w:t>) and GC (CD10</w:t>
      </w:r>
      <w:r w:rsidR="004F510A" w:rsidRPr="00150A76">
        <w:rPr>
          <w:rFonts w:cs="Times New Roman"/>
          <w:szCs w:val="24"/>
          <w:vertAlign w:val="superscript"/>
        </w:rPr>
        <w:t>+</w:t>
      </w:r>
      <w:r w:rsidR="004F510A" w:rsidRPr="00DB43A4">
        <w:rPr>
          <w:rFonts w:cs="Times New Roman"/>
          <w:szCs w:val="24"/>
        </w:rPr>
        <w:t>IgD</w:t>
      </w:r>
      <w:r w:rsidR="004F510A" w:rsidRPr="00150A76">
        <w:rPr>
          <w:rFonts w:cs="Times New Roman"/>
          <w:szCs w:val="24"/>
          <w:vertAlign w:val="superscript"/>
        </w:rPr>
        <w:t>-</w:t>
      </w:r>
      <w:r w:rsidR="004F510A" w:rsidRPr="00DB43A4">
        <w:rPr>
          <w:rFonts w:cs="Times New Roman"/>
          <w:szCs w:val="24"/>
        </w:rPr>
        <w:t>)</w:t>
      </w:r>
      <w:r w:rsidR="004F510A">
        <w:rPr>
          <w:rFonts w:cs="Times New Roman"/>
          <w:szCs w:val="24"/>
        </w:rPr>
        <w:t xml:space="preserve"> </w:t>
      </w:r>
      <w:r w:rsidR="004F510A" w:rsidRPr="00DB43A4">
        <w:rPr>
          <w:rFonts w:cs="Times New Roman"/>
          <w:szCs w:val="24"/>
        </w:rPr>
        <w:t>B cells</w:t>
      </w:r>
      <w:r w:rsidRPr="00364C73">
        <w:rPr>
          <w:rFonts w:cs="Times New Roman"/>
          <w:szCs w:val="24"/>
        </w:rPr>
        <w:t xml:space="preserve"> was analyzed by Flow cytometry</w:t>
      </w:r>
      <w:r>
        <w:rPr>
          <w:rFonts w:cs="Times New Roman"/>
          <w:szCs w:val="24"/>
        </w:rPr>
        <w:t xml:space="preserve">. </w:t>
      </w:r>
      <w:r w:rsidRPr="00634725">
        <w:rPr>
          <w:rFonts w:cs="Times New Roman"/>
          <w:szCs w:val="24"/>
        </w:rPr>
        <w:t>Shown are representative</w:t>
      </w:r>
      <w:r>
        <w:rPr>
          <w:rFonts w:cs="Times New Roman"/>
          <w:szCs w:val="24"/>
        </w:rPr>
        <w:t xml:space="preserve"> h</w:t>
      </w:r>
      <w:r w:rsidRPr="00364C73">
        <w:rPr>
          <w:rFonts w:cs="Times New Roman"/>
          <w:szCs w:val="24"/>
        </w:rPr>
        <w:t>istograms indicating T-bet expression in stimulat</w:t>
      </w:r>
      <w:r>
        <w:rPr>
          <w:rFonts w:cs="Times New Roman"/>
          <w:szCs w:val="24"/>
        </w:rPr>
        <w:t>ed cells</w:t>
      </w:r>
      <w:r w:rsidRPr="00364C73">
        <w:rPr>
          <w:rFonts w:cs="Times New Roman"/>
          <w:szCs w:val="24"/>
        </w:rPr>
        <w:t xml:space="preserve"> (red curve)</w:t>
      </w:r>
      <w:r>
        <w:rPr>
          <w:rFonts w:cs="Times New Roman"/>
          <w:szCs w:val="24"/>
        </w:rPr>
        <w:t xml:space="preserve"> or </w:t>
      </w:r>
      <w:r w:rsidRPr="00364C73">
        <w:rPr>
          <w:rFonts w:cs="Times New Roman"/>
          <w:szCs w:val="24"/>
        </w:rPr>
        <w:t>in unstimulated cells</w:t>
      </w:r>
      <w:r>
        <w:rPr>
          <w:rFonts w:cs="Times New Roman"/>
          <w:szCs w:val="24"/>
        </w:rPr>
        <w:t xml:space="preserve"> (s</w:t>
      </w:r>
      <w:r w:rsidRPr="00364C73">
        <w:rPr>
          <w:rFonts w:cs="Times New Roman"/>
          <w:szCs w:val="24"/>
        </w:rPr>
        <w:t>olid gray curve</w:t>
      </w:r>
      <w:r>
        <w:rPr>
          <w:rFonts w:cs="Times New Roman"/>
          <w:szCs w:val="24"/>
        </w:rPr>
        <w:t>)</w:t>
      </w:r>
      <w:r w:rsidRPr="00364C73">
        <w:rPr>
          <w:rFonts w:cs="Times New Roman"/>
          <w:szCs w:val="24"/>
        </w:rPr>
        <w:t xml:space="preserve">. </w:t>
      </w:r>
      <w:r w:rsidRPr="00635466">
        <w:rPr>
          <w:rFonts w:cs="Times New Roman"/>
          <w:szCs w:val="24"/>
        </w:rPr>
        <w:t xml:space="preserve">The stimulation conditions are as indicated </w:t>
      </w:r>
      <w:r>
        <w:rPr>
          <w:rFonts w:cs="Times New Roman"/>
          <w:szCs w:val="24"/>
        </w:rPr>
        <w:t>in red</w:t>
      </w:r>
      <w:r w:rsidRPr="00635466">
        <w:rPr>
          <w:rFonts w:cs="Times New Roman"/>
          <w:szCs w:val="24"/>
        </w:rPr>
        <w:t xml:space="preserve"> and are grouped into single stimulus, double stimuli and triple</w:t>
      </w:r>
      <w:r>
        <w:rPr>
          <w:rFonts w:cs="Times New Roman"/>
          <w:szCs w:val="24"/>
        </w:rPr>
        <w:t>/quadruple</w:t>
      </w:r>
      <w:r w:rsidRPr="00635466">
        <w:rPr>
          <w:rFonts w:cs="Times New Roman"/>
          <w:szCs w:val="24"/>
        </w:rPr>
        <w:t xml:space="preserve"> stimuli.</w:t>
      </w:r>
    </w:p>
    <w:p w14:paraId="0711BDA1" w14:textId="451659F9" w:rsidR="001C5CD8" w:rsidRPr="00364C73" w:rsidRDefault="001C5CD8" w:rsidP="001C5CD8">
      <w:pPr>
        <w:spacing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Supplementary Figure 3</w:t>
      </w:r>
      <w:r w:rsidRPr="00364C73">
        <w:rPr>
          <w:rFonts w:cs="Times New Roman"/>
          <w:b/>
          <w:szCs w:val="24"/>
        </w:rPr>
        <w:t xml:space="preserve">: T-bet expression in </w:t>
      </w:r>
      <w:r>
        <w:rPr>
          <w:rFonts w:cs="Times New Roman"/>
          <w:b/>
          <w:szCs w:val="24"/>
        </w:rPr>
        <w:t>unsorted and FACS sorted Naïve and Memory</w:t>
      </w:r>
      <w:r w:rsidRPr="00364C73">
        <w:rPr>
          <w:rFonts w:cs="Times New Roman"/>
          <w:b/>
          <w:szCs w:val="24"/>
        </w:rPr>
        <w:t xml:space="preserve"> B cells upon </w:t>
      </w:r>
      <w:r w:rsidRPr="00364C73">
        <w:rPr>
          <w:rFonts w:cs="Times New Roman"/>
          <w:b/>
          <w:i/>
          <w:szCs w:val="24"/>
        </w:rPr>
        <w:t>in vitro</w:t>
      </w:r>
      <w:r w:rsidRPr="00364C73">
        <w:rPr>
          <w:rFonts w:cs="Times New Roman"/>
          <w:b/>
          <w:szCs w:val="24"/>
        </w:rPr>
        <w:t xml:space="preserve"> stimulation </w:t>
      </w:r>
    </w:p>
    <w:p w14:paraId="260A01B1" w14:textId="4C9D60F1" w:rsidR="002D79FE" w:rsidRDefault="002D79FE" w:rsidP="00360269">
      <w:pPr>
        <w:spacing w:line="24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>Total t</w:t>
      </w:r>
      <w:r w:rsidRPr="00364C73">
        <w:rPr>
          <w:rFonts w:cs="Times New Roman"/>
          <w:szCs w:val="24"/>
        </w:rPr>
        <w:t xml:space="preserve">onsil B cells </w:t>
      </w:r>
      <w:r>
        <w:rPr>
          <w:rFonts w:cs="Times New Roman"/>
          <w:szCs w:val="24"/>
        </w:rPr>
        <w:t xml:space="preserve">or FACS sorted </w:t>
      </w:r>
      <w:r w:rsidRPr="00DB43A4">
        <w:rPr>
          <w:rFonts w:cs="Times New Roman"/>
          <w:szCs w:val="24"/>
        </w:rPr>
        <w:t>Naïve (CD10</w:t>
      </w:r>
      <w:r w:rsidRPr="00150A76">
        <w:rPr>
          <w:rFonts w:cs="Times New Roman"/>
          <w:szCs w:val="24"/>
          <w:vertAlign w:val="superscript"/>
        </w:rPr>
        <w:t>-</w:t>
      </w:r>
      <w:r w:rsidRPr="00DB43A4">
        <w:rPr>
          <w:rFonts w:cs="Times New Roman"/>
          <w:szCs w:val="24"/>
        </w:rPr>
        <w:t xml:space="preserve">, </w:t>
      </w:r>
      <w:proofErr w:type="spellStart"/>
      <w:r w:rsidRPr="00DB43A4">
        <w:rPr>
          <w:rFonts w:cs="Times New Roman"/>
          <w:szCs w:val="24"/>
        </w:rPr>
        <w:t>IgD</w:t>
      </w:r>
      <w:proofErr w:type="spellEnd"/>
      <w:r w:rsidRPr="00150A76">
        <w:rPr>
          <w:rFonts w:cs="Times New Roman"/>
          <w:szCs w:val="24"/>
          <w:vertAlign w:val="superscript"/>
        </w:rPr>
        <w:t>+</w:t>
      </w:r>
      <w:r w:rsidRPr="00DB43A4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and</w:t>
      </w:r>
      <w:r w:rsidRPr="00DB43A4">
        <w:rPr>
          <w:rFonts w:cs="Times New Roman"/>
          <w:szCs w:val="24"/>
        </w:rPr>
        <w:t xml:space="preserve"> Memory (CD10</w:t>
      </w:r>
      <w:r w:rsidRPr="00150A76">
        <w:rPr>
          <w:rFonts w:cs="Times New Roman"/>
          <w:szCs w:val="24"/>
          <w:vertAlign w:val="superscript"/>
        </w:rPr>
        <w:t>-</w:t>
      </w:r>
      <w:r w:rsidRPr="00DB43A4">
        <w:rPr>
          <w:rFonts w:cs="Times New Roman"/>
          <w:szCs w:val="24"/>
        </w:rPr>
        <w:t>IgD</w:t>
      </w:r>
      <w:r w:rsidRPr="00150A76">
        <w:rPr>
          <w:rFonts w:cs="Times New Roman"/>
          <w:szCs w:val="24"/>
          <w:vertAlign w:val="superscript"/>
        </w:rPr>
        <w:t>-</w:t>
      </w:r>
      <w:r w:rsidRPr="00DB43A4">
        <w:rPr>
          <w:rFonts w:cs="Times New Roman"/>
          <w:szCs w:val="24"/>
        </w:rPr>
        <w:t xml:space="preserve">) </w:t>
      </w:r>
      <w:r w:rsidRPr="00364C73">
        <w:rPr>
          <w:rFonts w:cs="Times New Roman"/>
          <w:szCs w:val="24"/>
        </w:rPr>
        <w:t xml:space="preserve">were cultured </w:t>
      </w:r>
      <w:bookmarkStart w:id="0" w:name="_Hlk1920687"/>
      <w:r w:rsidRPr="00364C73">
        <w:rPr>
          <w:rFonts w:cs="Times New Roman"/>
          <w:i/>
          <w:szCs w:val="24"/>
        </w:rPr>
        <w:t>in vitro</w:t>
      </w:r>
      <w:r w:rsidRPr="00364C73">
        <w:rPr>
          <w:rFonts w:cs="Times New Roman"/>
          <w:szCs w:val="24"/>
        </w:rPr>
        <w:t xml:space="preserve"> </w:t>
      </w:r>
      <w:bookmarkEnd w:id="0"/>
      <w:r w:rsidRPr="00364C73">
        <w:rPr>
          <w:rFonts w:cs="Times New Roman"/>
          <w:szCs w:val="24"/>
        </w:rPr>
        <w:t xml:space="preserve">for 40 h </w:t>
      </w:r>
      <w:r>
        <w:rPr>
          <w:rFonts w:cs="Times New Roman"/>
          <w:szCs w:val="24"/>
        </w:rPr>
        <w:t>on</w:t>
      </w:r>
      <w:r w:rsidRPr="00364C73">
        <w:rPr>
          <w:rFonts w:cs="Times New Roman"/>
          <w:szCs w:val="24"/>
        </w:rPr>
        <w:t xml:space="preserve"> PLB with combination of Ag, CpG, IFN</w:t>
      </w:r>
      <w:r>
        <w:rPr>
          <w:rFonts w:cs="Times New Roman"/>
          <w:szCs w:val="24"/>
        </w:rPr>
        <w:t>-</w:t>
      </w:r>
      <w:r w:rsidRPr="00364C73">
        <w:rPr>
          <w:rFonts w:cs="Times New Roman"/>
          <w:szCs w:val="24"/>
          <w:lang w:val="el-GR"/>
        </w:rPr>
        <w:t>γ</w:t>
      </w:r>
      <w:r w:rsidRPr="00364C73">
        <w:rPr>
          <w:rFonts w:cs="Times New Roman"/>
          <w:szCs w:val="24"/>
        </w:rPr>
        <w:t xml:space="preserve"> or IL12</w:t>
      </w:r>
      <w:r>
        <w:rPr>
          <w:rFonts w:cs="Times New Roman"/>
          <w:szCs w:val="24"/>
        </w:rPr>
        <w:t>+</w:t>
      </w:r>
      <w:r w:rsidRPr="00364C73">
        <w:rPr>
          <w:rFonts w:cs="Times New Roman"/>
          <w:szCs w:val="24"/>
        </w:rPr>
        <w:t>18.</w:t>
      </w:r>
      <w:r>
        <w:rPr>
          <w:rFonts w:cs="Times New Roman"/>
          <w:szCs w:val="24"/>
        </w:rPr>
        <w:t xml:space="preserve"> </w:t>
      </w:r>
      <w:r w:rsidRPr="00364C73">
        <w:rPr>
          <w:rFonts w:cs="Times New Roman"/>
          <w:szCs w:val="24"/>
        </w:rPr>
        <w:t>T-bet expression was analyzed by Flow cytometry</w:t>
      </w:r>
      <w:r>
        <w:rPr>
          <w:rFonts w:cs="Times New Roman"/>
          <w:szCs w:val="24"/>
        </w:rPr>
        <w:t xml:space="preserve">. </w:t>
      </w:r>
      <w:r w:rsidR="00E43850">
        <w:rPr>
          <w:rFonts w:cs="Times New Roman"/>
          <w:szCs w:val="24"/>
        </w:rPr>
        <w:t xml:space="preserve">The graph indicates the average </w:t>
      </w:r>
      <w:proofErr w:type="spellStart"/>
      <w:r w:rsidR="00E43850">
        <w:rPr>
          <w:rFonts w:cs="Times New Roman"/>
          <w:szCs w:val="24"/>
        </w:rPr>
        <w:t>gMFI</w:t>
      </w:r>
      <w:proofErr w:type="spellEnd"/>
      <w:r w:rsidR="00E43850">
        <w:rPr>
          <w:rFonts w:cs="Times New Roman"/>
          <w:szCs w:val="24"/>
        </w:rPr>
        <w:t xml:space="preserve"> of T-bet expression in Naïve and Memory B cells after </w:t>
      </w:r>
      <w:r w:rsidR="00E43850" w:rsidRPr="00254C52">
        <w:rPr>
          <w:rFonts w:cs="Times New Roman"/>
          <w:i/>
          <w:szCs w:val="24"/>
        </w:rPr>
        <w:t>in vitro</w:t>
      </w:r>
      <w:r w:rsidR="00E43850">
        <w:rPr>
          <w:rFonts w:cs="Times New Roman"/>
          <w:szCs w:val="24"/>
        </w:rPr>
        <w:t xml:space="preserve"> stimulation</w:t>
      </w:r>
      <w:r w:rsidR="001C5CD8">
        <w:rPr>
          <w:rFonts w:cs="Times New Roman"/>
          <w:szCs w:val="24"/>
        </w:rPr>
        <w:t xml:space="preserve"> </w:t>
      </w:r>
      <w:r w:rsidR="001C5CD8" w:rsidRPr="00480075">
        <w:rPr>
          <w:rFonts w:cs="Times New Roman"/>
          <w:szCs w:val="24"/>
        </w:rPr>
        <w:t xml:space="preserve">under </w:t>
      </w:r>
      <w:r w:rsidR="001C5CD8">
        <w:rPr>
          <w:rFonts w:cs="Times New Roman"/>
          <w:szCs w:val="24"/>
        </w:rPr>
        <w:t xml:space="preserve">the </w:t>
      </w:r>
      <w:r w:rsidR="001C5CD8" w:rsidRPr="00480075">
        <w:rPr>
          <w:rFonts w:cs="Times New Roman"/>
          <w:szCs w:val="24"/>
        </w:rPr>
        <w:t>conditions indicated.</w:t>
      </w:r>
    </w:p>
    <w:p w14:paraId="4AC72F84" w14:textId="2B16054B" w:rsidR="00803BF3" w:rsidRDefault="004A6644" w:rsidP="00360269">
      <w:pPr>
        <w:spacing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Supplementary Figure </w:t>
      </w:r>
      <w:r w:rsidR="002D79FE">
        <w:rPr>
          <w:rFonts w:cs="Times New Roman"/>
          <w:b/>
          <w:szCs w:val="24"/>
        </w:rPr>
        <w:t>4</w:t>
      </w:r>
      <w:r w:rsidR="00803BF3">
        <w:rPr>
          <w:rFonts w:cs="Times New Roman"/>
          <w:b/>
          <w:szCs w:val="24"/>
        </w:rPr>
        <w:t xml:space="preserve">: The effect of </w:t>
      </w:r>
      <w:r w:rsidR="00803BF3">
        <w:rPr>
          <w:rFonts w:cs="Times New Roman"/>
          <w:b/>
          <w:i/>
          <w:szCs w:val="24"/>
        </w:rPr>
        <w:t>in</w:t>
      </w:r>
      <w:r w:rsidR="00803BF3" w:rsidRPr="00364C73">
        <w:rPr>
          <w:rFonts w:cs="Times New Roman"/>
          <w:b/>
          <w:i/>
          <w:szCs w:val="24"/>
        </w:rPr>
        <w:t xml:space="preserve"> vitro</w:t>
      </w:r>
      <w:r w:rsidR="00803BF3" w:rsidRPr="00364C73">
        <w:rPr>
          <w:rFonts w:cs="Times New Roman"/>
          <w:b/>
          <w:szCs w:val="24"/>
        </w:rPr>
        <w:t xml:space="preserve"> stimulat</w:t>
      </w:r>
      <w:r w:rsidR="00803BF3">
        <w:rPr>
          <w:rFonts w:cs="Times New Roman"/>
          <w:b/>
          <w:szCs w:val="24"/>
        </w:rPr>
        <w:t xml:space="preserve">ion </w:t>
      </w:r>
      <w:r w:rsidR="00803BF3" w:rsidRPr="00920C60">
        <w:rPr>
          <w:rFonts w:cs="Times New Roman"/>
          <w:b/>
          <w:szCs w:val="24"/>
        </w:rPr>
        <w:t>on expression of B cell surface proteins</w:t>
      </w:r>
      <w:bookmarkStart w:id="1" w:name="_GoBack"/>
      <w:bookmarkEnd w:id="1"/>
    </w:p>
    <w:p w14:paraId="5676C6B3" w14:textId="1CA49D9C" w:rsidR="00091CA5" w:rsidRDefault="00803BF3" w:rsidP="00360269">
      <w:pPr>
        <w:spacing w:line="240" w:lineRule="auto"/>
        <w:rPr>
          <w:rFonts w:cs="Times New Roman"/>
          <w:szCs w:val="24"/>
        </w:rPr>
      </w:pPr>
      <w:r w:rsidRPr="00C658A9">
        <w:rPr>
          <w:rFonts w:cs="Times New Roman"/>
          <w:szCs w:val="24"/>
        </w:rPr>
        <w:t xml:space="preserve">Tonsil B cells were cultured </w:t>
      </w:r>
      <w:r w:rsidRPr="00EB1DF6">
        <w:rPr>
          <w:rFonts w:cs="Times New Roman"/>
          <w:i/>
          <w:szCs w:val="24"/>
        </w:rPr>
        <w:t>in vitro</w:t>
      </w:r>
      <w:r w:rsidRPr="00C658A9">
        <w:rPr>
          <w:rFonts w:cs="Times New Roman"/>
          <w:szCs w:val="24"/>
        </w:rPr>
        <w:t xml:space="preserve"> for 40 h without or with PLB-Ag + CpG + IFN</w:t>
      </w:r>
      <w:r w:rsidR="00DD28F7">
        <w:rPr>
          <w:rFonts w:cs="Times New Roman"/>
          <w:szCs w:val="24"/>
        </w:rPr>
        <w:t>-</w:t>
      </w:r>
      <w:r w:rsidRPr="00C658A9">
        <w:rPr>
          <w:rFonts w:cs="Times New Roman"/>
          <w:szCs w:val="24"/>
        </w:rPr>
        <w:t xml:space="preserve">γ stimulation. Surface expression of various proteins </w:t>
      </w:r>
      <w:r>
        <w:rPr>
          <w:rFonts w:cs="Times New Roman"/>
          <w:szCs w:val="24"/>
        </w:rPr>
        <w:t xml:space="preserve">expressed by </w:t>
      </w:r>
      <w:r w:rsidR="00746C00">
        <w:rPr>
          <w:rFonts w:cs="Times New Roman"/>
          <w:szCs w:val="24"/>
        </w:rPr>
        <w:t>N</w:t>
      </w:r>
      <w:r>
        <w:rPr>
          <w:rFonts w:cs="Times New Roman"/>
          <w:szCs w:val="24"/>
        </w:rPr>
        <w:t xml:space="preserve">aïve </w:t>
      </w:r>
      <w:r w:rsidR="00746C00">
        <w:rPr>
          <w:rFonts w:cs="Times New Roman"/>
          <w:szCs w:val="24"/>
        </w:rPr>
        <w:t xml:space="preserve">and Memory </w:t>
      </w:r>
      <w:r>
        <w:rPr>
          <w:rFonts w:cs="Times New Roman"/>
          <w:szCs w:val="24"/>
        </w:rPr>
        <w:t xml:space="preserve">B cells (listed in Table S2) was assessed by flow cytometry. The graph indicates rank order expression of the surface proteins in </w:t>
      </w:r>
      <w:r w:rsidR="00C966A9">
        <w:rPr>
          <w:rFonts w:cs="Times New Roman"/>
          <w:szCs w:val="24"/>
        </w:rPr>
        <w:t xml:space="preserve">Naïve and Memory B cells </w:t>
      </w:r>
      <w:r>
        <w:rPr>
          <w:rFonts w:cs="Times New Roman"/>
          <w:szCs w:val="24"/>
        </w:rPr>
        <w:t xml:space="preserve">after </w:t>
      </w:r>
      <w:r w:rsidRPr="00254C52">
        <w:rPr>
          <w:rFonts w:cs="Times New Roman"/>
          <w:i/>
          <w:szCs w:val="24"/>
        </w:rPr>
        <w:t>in vitro</w:t>
      </w:r>
      <w:r>
        <w:rPr>
          <w:rFonts w:cs="Times New Roman"/>
          <w:szCs w:val="24"/>
        </w:rPr>
        <w:t xml:space="preserve"> stimulation. Each blue dot indicates fold change in </w:t>
      </w:r>
      <w:proofErr w:type="spellStart"/>
      <w:r>
        <w:rPr>
          <w:rFonts w:cs="Times New Roman"/>
          <w:szCs w:val="24"/>
        </w:rPr>
        <w:t>gMFI</w:t>
      </w:r>
      <w:proofErr w:type="spellEnd"/>
      <w:r>
        <w:rPr>
          <w:rFonts w:cs="Times New Roman"/>
          <w:szCs w:val="24"/>
        </w:rPr>
        <w:t xml:space="preserve"> of protein expression by </w:t>
      </w:r>
      <w:r w:rsidRPr="00C658A9">
        <w:rPr>
          <w:rFonts w:cs="Times New Roman"/>
          <w:szCs w:val="24"/>
        </w:rPr>
        <w:t>PLB-Ag + CpG + IFN</w:t>
      </w:r>
      <w:r w:rsidR="00DD28F7">
        <w:rPr>
          <w:rFonts w:cs="Times New Roman"/>
          <w:szCs w:val="24"/>
        </w:rPr>
        <w:t>-</w:t>
      </w:r>
      <w:r w:rsidRPr="00C658A9">
        <w:rPr>
          <w:rFonts w:cs="Times New Roman"/>
          <w:szCs w:val="24"/>
        </w:rPr>
        <w:t>γ</w:t>
      </w:r>
      <w:r>
        <w:rPr>
          <w:rFonts w:cs="Times New Roman"/>
          <w:szCs w:val="24"/>
        </w:rPr>
        <w:t xml:space="preserve"> stimulated cells relative to unstimulated cells</w:t>
      </w:r>
      <w:r w:rsidR="008D5E1C">
        <w:rPr>
          <w:rFonts w:cs="Times New Roman"/>
          <w:szCs w:val="24"/>
        </w:rPr>
        <w:t xml:space="preserve"> (log</w:t>
      </w:r>
      <w:r w:rsidR="008D5E1C" w:rsidRPr="008D5E1C">
        <w:rPr>
          <w:rFonts w:cs="Times New Roman"/>
          <w:szCs w:val="24"/>
          <w:vertAlign w:val="subscript"/>
        </w:rPr>
        <w:t>2</w:t>
      </w:r>
      <w:r w:rsidRPr="00C658A9">
        <w:rPr>
          <w:rFonts w:cs="Times New Roman"/>
          <w:szCs w:val="24"/>
        </w:rPr>
        <w:t xml:space="preserve"> scale)</w:t>
      </w:r>
      <w:r>
        <w:rPr>
          <w:rFonts w:cs="Times New Roman"/>
          <w:szCs w:val="24"/>
        </w:rPr>
        <w:t xml:space="preserve"> (n=3). Atypical MBC markers are highlighted as red dots. </w:t>
      </w:r>
      <w:r w:rsidRPr="00895802">
        <w:rPr>
          <w:rFonts w:cs="Times New Roman"/>
          <w:szCs w:val="24"/>
        </w:rPr>
        <w:t xml:space="preserve">Black </w:t>
      </w:r>
      <w:r>
        <w:rPr>
          <w:rFonts w:cs="Times New Roman"/>
          <w:szCs w:val="24"/>
        </w:rPr>
        <w:t>line</w:t>
      </w:r>
      <w:r w:rsidRPr="00895802">
        <w:rPr>
          <w:rFonts w:cs="Times New Roman"/>
          <w:szCs w:val="24"/>
        </w:rPr>
        <w:t xml:space="preserve"> indicates the mean value</w:t>
      </w:r>
      <w:r>
        <w:rPr>
          <w:rFonts w:cs="Times New Roman"/>
          <w:szCs w:val="24"/>
        </w:rPr>
        <w:t xml:space="preserve">. </w:t>
      </w:r>
    </w:p>
    <w:p w14:paraId="61C25232" w14:textId="476C259F" w:rsidR="00526F24" w:rsidRDefault="00071254" w:rsidP="00360269">
      <w:pPr>
        <w:spacing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>
        <w:rPr>
          <w:rFonts w:cs="Times New Roman"/>
          <w:b/>
          <w:szCs w:val="24"/>
        </w:rPr>
        <w:tab/>
        <w:t>Supplementary Tables</w:t>
      </w:r>
    </w:p>
    <w:p w14:paraId="059AF882" w14:textId="57AA92A2" w:rsidR="00234E2F" w:rsidRDefault="00234E2F" w:rsidP="00360269">
      <w:pPr>
        <w:spacing w:line="240" w:lineRule="auto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Supplementary Table </w:t>
      </w:r>
      <w:r w:rsidR="00526F24">
        <w:rPr>
          <w:rFonts w:cs="Times New Roman"/>
          <w:b/>
          <w:szCs w:val="24"/>
        </w:rPr>
        <w:t>1</w:t>
      </w:r>
      <w:r>
        <w:rPr>
          <w:rFonts w:cs="Times New Roman"/>
          <w:b/>
          <w:szCs w:val="24"/>
        </w:rPr>
        <w:t xml:space="preserve">: </w:t>
      </w:r>
      <w:r w:rsidR="0027442F" w:rsidRPr="0027442F">
        <w:rPr>
          <w:rFonts w:cs="Times New Roman"/>
          <w:b/>
          <w:szCs w:val="24"/>
        </w:rPr>
        <w:t xml:space="preserve">T-bet expression by </w:t>
      </w:r>
      <w:r w:rsidR="0027442F">
        <w:rPr>
          <w:rFonts w:cs="Times New Roman"/>
          <w:b/>
          <w:szCs w:val="24"/>
        </w:rPr>
        <w:t xml:space="preserve">unsorted and </w:t>
      </w:r>
      <w:r w:rsidR="0027442F" w:rsidRPr="0027442F">
        <w:rPr>
          <w:rFonts w:cs="Times New Roman"/>
          <w:b/>
          <w:szCs w:val="24"/>
        </w:rPr>
        <w:t>FACS sorted Naïve</w:t>
      </w:r>
      <w:r w:rsidR="0027442F">
        <w:rPr>
          <w:rFonts w:cs="Times New Roman"/>
          <w:b/>
          <w:szCs w:val="24"/>
        </w:rPr>
        <w:t>,</w:t>
      </w:r>
      <w:r w:rsidR="0027442F" w:rsidRPr="0027442F">
        <w:rPr>
          <w:rFonts w:cs="Times New Roman"/>
          <w:b/>
          <w:szCs w:val="24"/>
        </w:rPr>
        <w:t xml:space="preserve"> Memory </w:t>
      </w:r>
      <w:r w:rsidR="0027442F">
        <w:rPr>
          <w:rFonts w:cs="Times New Roman"/>
          <w:b/>
          <w:szCs w:val="24"/>
        </w:rPr>
        <w:t xml:space="preserve">and GC </w:t>
      </w:r>
      <w:r w:rsidR="0027442F" w:rsidRPr="0027442F">
        <w:rPr>
          <w:rFonts w:cs="Times New Roman"/>
          <w:b/>
          <w:szCs w:val="24"/>
        </w:rPr>
        <w:t xml:space="preserve">B cells stimulated </w:t>
      </w:r>
      <w:r w:rsidR="00DA4106" w:rsidRPr="00DA4106">
        <w:rPr>
          <w:rFonts w:cs="Times New Roman"/>
          <w:b/>
          <w:i/>
          <w:szCs w:val="24"/>
        </w:rPr>
        <w:t>in vitro</w:t>
      </w:r>
    </w:p>
    <w:p w14:paraId="45C83C39" w14:textId="47C293DA" w:rsidR="004E53C2" w:rsidRPr="004E53C2" w:rsidRDefault="004E53C2" w:rsidP="00360269">
      <w:pPr>
        <w:spacing w:line="240" w:lineRule="auto"/>
        <w:rPr>
          <w:rFonts w:cs="Times New Roman"/>
          <w:szCs w:val="24"/>
        </w:rPr>
      </w:pPr>
      <w:r w:rsidRPr="00364C73">
        <w:rPr>
          <w:rFonts w:cs="Times New Roman"/>
          <w:szCs w:val="24"/>
        </w:rPr>
        <w:t xml:space="preserve">Tonsil B cells were cultured </w:t>
      </w:r>
      <w:r w:rsidRPr="00364C73">
        <w:rPr>
          <w:rFonts w:cs="Times New Roman"/>
          <w:i/>
          <w:szCs w:val="24"/>
        </w:rPr>
        <w:t>in vitro</w:t>
      </w:r>
      <w:r w:rsidRPr="00364C73">
        <w:rPr>
          <w:rFonts w:cs="Times New Roman"/>
          <w:szCs w:val="24"/>
        </w:rPr>
        <w:t xml:space="preserve"> for 40 h with combination of </w:t>
      </w:r>
      <w:r>
        <w:rPr>
          <w:rFonts w:cs="Times New Roman"/>
          <w:szCs w:val="24"/>
        </w:rPr>
        <w:t>antigen, either soluble or presented on a planar lipid bilayer (PLB) or plasma membrane sheet (PMS)</w:t>
      </w:r>
      <w:r w:rsidRPr="00364C73">
        <w:rPr>
          <w:rFonts w:cs="Times New Roman"/>
          <w:szCs w:val="24"/>
        </w:rPr>
        <w:t>, CpG, IFN</w:t>
      </w:r>
      <w:r>
        <w:rPr>
          <w:rFonts w:cs="Times New Roman"/>
          <w:szCs w:val="24"/>
        </w:rPr>
        <w:t>-</w:t>
      </w:r>
      <w:r w:rsidRPr="00364C73">
        <w:rPr>
          <w:rFonts w:cs="Times New Roman"/>
          <w:szCs w:val="24"/>
          <w:lang w:val="el-GR"/>
        </w:rPr>
        <w:t>γ</w:t>
      </w:r>
      <w:r w:rsidRPr="00364C73">
        <w:rPr>
          <w:rFonts w:cs="Times New Roman"/>
          <w:szCs w:val="24"/>
        </w:rPr>
        <w:t xml:space="preserve"> or IL</w:t>
      </w:r>
      <w:r>
        <w:rPr>
          <w:rFonts w:cs="Times New Roman"/>
          <w:szCs w:val="24"/>
        </w:rPr>
        <w:t>-</w:t>
      </w:r>
      <w:r w:rsidRPr="00364C73">
        <w:rPr>
          <w:rFonts w:cs="Times New Roman"/>
          <w:szCs w:val="24"/>
        </w:rPr>
        <w:t xml:space="preserve">12 </w:t>
      </w:r>
      <w:r>
        <w:rPr>
          <w:rFonts w:cs="Times New Roman"/>
          <w:szCs w:val="24"/>
        </w:rPr>
        <w:t xml:space="preserve">+ </w:t>
      </w:r>
      <w:r w:rsidRPr="00364C73">
        <w:rPr>
          <w:rFonts w:cs="Times New Roman"/>
          <w:szCs w:val="24"/>
        </w:rPr>
        <w:t>IL</w:t>
      </w:r>
      <w:r>
        <w:rPr>
          <w:rFonts w:cs="Times New Roman"/>
          <w:szCs w:val="24"/>
        </w:rPr>
        <w:t>-</w:t>
      </w:r>
      <w:r w:rsidRPr="00364C73">
        <w:rPr>
          <w:rFonts w:cs="Times New Roman"/>
          <w:szCs w:val="24"/>
        </w:rPr>
        <w:t xml:space="preserve">18. T-bet expression in </w:t>
      </w:r>
      <w:r>
        <w:rPr>
          <w:rFonts w:cs="Times New Roman"/>
          <w:szCs w:val="24"/>
        </w:rPr>
        <w:t>N</w:t>
      </w:r>
      <w:r w:rsidRPr="00364C73">
        <w:rPr>
          <w:rFonts w:cs="Times New Roman"/>
          <w:szCs w:val="24"/>
        </w:rPr>
        <w:t>aïve (IgD</w:t>
      </w:r>
      <w:r w:rsidRPr="00364C73">
        <w:rPr>
          <w:rFonts w:cs="Times New Roman"/>
          <w:szCs w:val="24"/>
          <w:vertAlign w:val="superscript"/>
        </w:rPr>
        <w:t>+</w:t>
      </w:r>
      <w:r w:rsidRPr="00364C73">
        <w:rPr>
          <w:rFonts w:cs="Times New Roman"/>
          <w:szCs w:val="24"/>
        </w:rPr>
        <w:t>CD10</w:t>
      </w:r>
      <w:r w:rsidRPr="00364C73">
        <w:rPr>
          <w:rFonts w:cs="Times New Roman"/>
          <w:szCs w:val="24"/>
          <w:vertAlign w:val="superscript"/>
        </w:rPr>
        <w:t>-</w:t>
      </w:r>
      <w:r w:rsidRPr="00364C73"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Memory</w:t>
      </w:r>
      <w:r w:rsidRPr="00364C73">
        <w:rPr>
          <w:rFonts w:cs="Times New Roman"/>
          <w:szCs w:val="24"/>
        </w:rPr>
        <w:t xml:space="preserve"> (IgD</w:t>
      </w:r>
      <w:r w:rsidRPr="00364C73">
        <w:rPr>
          <w:rFonts w:cs="Times New Roman"/>
          <w:szCs w:val="24"/>
          <w:vertAlign w:val="superscript"/>
        </w:rPr>
        <w:t>-</w:t>
      </w:r>
      <w:r w:rsidRPr="00364C73">
        <w:rPr>
          <w:rFonts w:cs="Times New Roman"/>
          <w:szCs w:val="24"/>
        </w:rPr>
        <w:t>CD10</w:t>
      </w:r>
      <w:r w:rsidRPr="00364C73">
        <w:rPr>
          <w:rFonts w:cs="Times New Roman"/>
          <w:szCs w:val="24"/>
          <w:vertAlign w:val="superscript"/>
        </w:rPr>
        <w:t>-</w:t>
      </w:r>
      <w:r w:rsidRPr="00364C73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and</w:t>
      </w:r>
      <w:r w:rsidRPr="00364C73">
        <w:rPr>
          <w:rFonts w:cs="Times New Roman"/>
          <w:szCs w:val="24"/>
        </w:rPr>
        <w:t xml:space="preserve"> GC (IgD</w:t>
      </w:r>
      <w:r w:rsidRPr="00364C73">
        <w:rPr>
          <w:rFonts w:cs="Times New Roman"/>
          <w:szCs w:val="24"/>
          <w:vertAlign w:val="superscript"/>
        </w:rPr>
        <w:t>-</w:t>
      </w:r>
      <w:r w:rsidRPr="00364C73">
        <w:rPr>
          <w:rFonts w:cs="Times New Roman"/>
          <w:szCs w:val="24"/>
        </w:rPr>
        <w:t>CD10</w:t>
      </w:r>
      <w:r w:rsidRPr="00364C73">
        <w:rPr>
          <w:rFonts w:cs="Times New Roman"/>
          <w:szCs w:val="24"/>
          <w:vertAlign w:val="superscript"/>
        </w:rPr>
        <w:t>+</w:t>
      </w:r>
      <w:r w:rsidRPr="00364C73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 xml:space="preserve">B cells </w:t>
      </w:r>
      <w:r w:rsidRPr="00364C73">
        <w:rPr>
          <w:rFonts w:cs="Times New Roman"/>
          <w:szCs w:val="24"/>
        </w:rPr>
        <w:t xml:space="preserve">was analyzed by Flow cytometry. </w:t>
      </w:r>
      <w:r w:rsidRPr="004E53C2">
        <w:rPr>
          <w:rFonts w:cs="Times New Roman"/>
          <w:szCs w:val="24"/>
        </w:rPr>
        <w:t xml:space="preserve">The </w:t>
      </w:r>
      <w:r>
        <w:rPr>
          <w:rFonts w:cs="Times New Roman"/>
          <w:szCs w:val="24"/>
        </w:rPr>
        <w:t xml:space="preserve">values in the table indicate </w:t>
      </w:r>
      <w:r w:rsidR="003A7544">
        <w:rPr>
          <w:rFonts w:cs="Times New Roman"/>
          <w:szCs w:val="24"/>
        </w:rPr>
        <w:t>T-bet</w:t>
      </w:r>
      <w:r>
        <w:rPr>
          <w:rFonts w:cs="Times New Roman"/>
          <w:szCs w:val="24"/>
        </w:rPr>
        <w:t xml:space="preserve"> </w:t>
      </w:r>
      <w:proofErr w:type="spellStart"/>
      <w:r w:rsidRPr="004E53C2">
        <w:rPr>
          <w:rFonts w:cs="Times New Roman"/>
          <w:szCs w:val="24"/>
        </w:rPr>
        <w:t>gMFI</w:t>
      </w:r>
      <w:proofErr w:type="spellEnd"/>
      <w:r>
        <w:rPr>
          <w:rFonts w:cs="Times New Roman"/>
          <w:szCs w:val="24"/>
        </w:rPr>
        <w:t xml:space="preserve"> (n = 3) </w:t>
      </w:r>
      <w:r w:rsidRPr="004E53C2">
        <w:rPr>
          <w:rFonts w:cs="Times New Roman"/>
          <w:szCs w:val="24"/>
        </w:rPr>
        <w:t>calculated for conditions in which a minimum of 5% of the cells were T-bet</w:t>
      </w:r>
      <w:r w:rsidRPr="00395961">
        <w:rPr>
          <w:rFonts w:cs="Times New Roman"/>
          <w:szCs w:val="24"/>
          <w:vertAlign w:val="superscript"/>
        </w:rPr>
        <w:t>+</w:t>
      </w:r>
      <w:r w:rsidRPr="004E53C2">
        <w:rPr>
          <w:rFonts w:cs="Times New Roman"/>
          <w:szCs w:val="24"/>
        </w:rPr>
        <w:t>.</w:t>
      </w:r>
    </w:p>
    <w:p w14:paraId="2631E1C6" w14:textId="7C3B8F31" w:rsidR="00662F7A" w:rsidRDefault="00662F7A" w:rsidP="00662F7A">
      <w:pPr>
        <w:spacing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Supplementary Table </w:t>
      </w:r>
      <w:r w:rsidR="00526F24">
        <w:rPr>
          <w:rFonts w:cs="Times New Roman"/>
          <w:b/>
          <w:szCs w:val="24"/>
        </w:rPr>
        <w:t>2</w:t>
      </w:r>
      <w:r>
        <w:rPr>
          <w:rFonts w:cs="Times New Roman"/>
          <w:b/>
          <w:szCs w:val="24"/>
        </w:rPr>
        <w:t>: Expression of malaria-associated</w:t>
      </w:r>
      <w:r w:rsidRPr="00364C73">
        <w:rPr>
          <w:rFonts w:cs="Times New Roman"/>
          <w:b/>
          <w:szCs w:val="24"/>
        </w:rPr>
        <w:t xml:space="preserve"> atypical MBC markers</w:t>
      </w:r>
      <w:r>
        <w:rPr>
          <w:rFonts w:cs="Times New Roman"/>
          <w:b/>
          <w:szCs w:val="24"/>
        </w:rPr>
        <w:t xml:space="preserve"> by T-bet</w:t>
      </w:r>
      <w:r w:rsidRPr="001D445E">
        <w:rPr>
          <w:rFonts w:cs="Times New Roman"/>
          <w:b/>
          <w:szCs w:val="24"/>
          <w:vertAlign w:val="superscript"/>
        </w:rPr>
        <w:t>+</w:t>
      </w:r>
      <w:r>
        <w:rPr>
          <w:rFonts w:cs="Times New Roman"/>
          <w:b/>
          <w:szCs w:val="24"/>
        </w:rPr>
        <w:t xml:space="preserve"> Naïve and Memory B cells after </w:t>
      </w:r>
      <w:r w:rsidRPr="00DA4106">
        <w:rPr>
          <w:rFonts w:cs="Times New Roman"/>
          <w:b/>
          <w:i/>
          <w:szCs w:val="24"/>
        </w:rPr>
        <w:t>in vitro</w:t>
      </w:r>
      <w:r w:rsidRPr="00DA4106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stimulation</w:t>
      </w:r>
    </w:p>
    <w:p w14:paraId="13F14250" w14:textId="0BB545EB" w:rsidR="004E53C2" w:rsidRPr="00C037BA" w:rsidRDefault="004E53C2" w:rsidP="00662F7A">
      <w:pPr>
        <w:spacing w:line="240" w:lineRule="auto"/>
        <w:rPr>
          <w:rFonts w:cs="Times New Roman"/>
          <w:b/>
          <w:szCs w:val="24"/>
        </w:rPr>
      </w:pPr>
      <w:r w:rsidRPr="00364C73">
        <w:rPr>
          <w:rFonts w:cs="Times New Roman"/>
          <w:szCs w:val="24"/>
        </w:rPr>
        <w:t xml:space="preserve">Tonsil B cells were cultured </w:t>
      </w:r>
      <w:r w:rsidRPr="00364C73">
        <w:rPr>
          <w:rFonts w:cs="Times New Roman"/>
          <w:i/>
          <w:szCs w:val="24"/>
        </w:rPr>
        <w:t>in vitro</w:t>
      </w:r>
      <w:r w:rsidRPr="00364C73">
        <w:rPr>
          <w:rFonts w:cs="Times New Roman"/>
          <w:szCs w:val="24"/>
        </w:rPr>
        <w:t xml:space="preserve"> for 40 h with combination of </w:t>
      </w:r>
      <w:r>
        <w:rPr>
          <w:rFonts w:cs="Times New Roman"/>
          <w:szCs w:val="24"/>
        </w:rPr>
        <w:t>antigen, either soluble or presented on a planar lipid bilayer (PLB) or plasma membrane sheet (PMS)</w:t>
      </w:r>
      <w:r w:rsidRPr="00364C73">
        <w:rPr>
          <w:rFonts w:cs="Times New Roman"/>
          <w:szCs w:val="24"/>
        </w:rPr>
        <w:t>, CpG, IFN</w:t>
      </w:r>
      <w:r>
        <w:rPr>
          <w:rFonts w:cs="Times New Roman"/>
          <w:szCs w:val="24"/>
        </w:rPr>
        <w:t>-</w:t>
      </w:r>
      <w:r w:rsidRPr="00364C73">
        <w:rPr>
          <w:rFonts w:cs="Times New Roman"/>
          <w:szCs w:val="24"/>
          <w:lang w:val="el-GR"/>
        </w:rPr>
        <w:t>γ</w:t>
      </w:r>
      <w:r w:rsidRPr="00364C73">
        <w:rPr>
          <w:rFonts w:cs="Times New Roman"/>
          <w:szCs w:val="24"/>
        </w:rPr>
        <w:t xml:space="preserve"> or IL</w:t>
      </w:r>
      <w:r>
        <w:rPr>
          <w:rFonts w:cs="Times New Roman"/>
          <w:szCs w:val="24"/>
        </w:rPr>
        <w:t>-</w:t>
      </w:r>
      <w:r w:rsidRPr="00364C73">
        <w:rPr>
          <w:rFonts w:cs="Times New Roman"/>
          <w:szCs w:val="24"/>
        </w:rPr>
        <w:t xml:space="preserve">12 </w:t>
      </w:r>
      <w:r>
        <w:rPr>
          <w:rFonts w:cs="Times New Roman"/>
          <w:szCs w:val="24"/>
        </w:rPr>
        <w:t xml:space="preserve">+ </w:t>
      </w:r>
      <w:r w:rsidRPr="00364C73">
        <w:rPr>
          <w:rFonts w:cs="Times New Roman"/>
          <w:szCs w:val="24"/>
        </w:rPr>
        <w:t>IL</w:t>
      </w:r>
      <w:r>
        <w:rPr>
          <w:rFonts w:cs="Times New Roman"/>
          <w:szCs w:val="24"/>
        </w:rPr>
        <w:t>-</w:t>
      </w:r>
      <w:r w:rsidRPr="00364C73">
        <w:rPr>
          <w:rFonts w:cs="Times New Roman"/>
          <w:szCs w:val="24"/>
        </w:rPr>
        <w:t xml:space="preserve">18. </w:t>
      </w:r>
      <w:r>
        <w:rPr>
          <w:rFonts w:cs="Times New Roman"/>
          <w:szCs w:val="24"/>
        </w:rPr>
        <w:t>E</w:t>
      </w:r>
      <w:r w:rsidRPr="00480075">
        <w:rPr>
          <w:rFonts w:cs="Times New Roman"/>
          <w:szCs w:val="24"/>
        </w:rPr>
        <w:t xml:space="preserve">xpression </w:t>
      </w:r>
      <w:r>
        <w:rPr>
          <w:rFonts w:cs="Times New Roman"/>
          <w:szCs w:val="24"/>
        </w:rPr>
        <w:t xml:space="preserve">of </w:t>
      </w:r>
      <w:r w:rsidRPr="00480075">
        <w:rPr>
          <w:rFonts w:cs="Times New Roman"/>
          <w:szCs w:val="24"/>
        </w:rPr>
        <w:t>T-be</w:t>
      </w:r>
      <w:r>
        <w:rPr>
          <w:rFonts w:cs="Times New Roman"/>
          <w:szCs w:val="24"/>
        </w:rPr>
        <w:t>t</w:t>
      </w:r>
      <w:r w:rsidRPr="00480075">
        <w:rPr>
          <w:rFonts w:cs="Times New Roman"/>
          <w:szCs w:val="24"/>
        </w:rPr>
        <w:t>, FcRL5, CD11c, CD95, CXCR3 and CD86</w:t>
      </w:r>
      <w:r>
        <w:rPr>
          <w:rFonts w:cs="Times New Roman"/>
          <w:szCs w:val="24"/>
        </w:rPr>
        <w:t xml:space="preserve"> </w:t>
      </w:r>
      <w:r w:rsidR="00395961">
        <w:rPr>
          <w:rFonts w:cs="Times New Roman"/>
          <w:szCs w:val="24"/>
        </w:rPr>
        <w:t xml:space="preserve">was </w:t>
      </w:r>
      <w:r>
        <w:rPr>
          <w:rFonts w:cs="Times New Roman"/>
          <w:szCs w:val="24"/>
        </w:rPr>
        <w:t xml:space="preserve">determined by </w:t>
      </w:r>
      <w:r>
        <w:rPr>
          <w:rFonts w:cs="Times New Roman"/>
          <w:szCs w:val="24"/>
        </w:rPr>
        <w:lastRenderedPageBreak/>
        <w:t>flow cytometry for</w:t>
      </w:r>
      <w:r w:rsidRPr="002C40C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Naive</w:t>
      </w:r>
      <w:r w:rsidRPr="002C40C5">
        <w:rPr>
          <w:rFonts w:cs="Times New Roman"/>
          <w:szCs w:val="24"/>
        </w:rPr>
        <w:t xml:space="preserve"> (IgD</w:t>
      </w:r>
      <w:r w:rsidRPr="002C40C5">
        <w:rPr>
          <w:rFonts w:cs="Times New Roman"/>
          <w:szCs w:val="24"/>
          <w:vertAlign w:val="superscript"/>
        </w:rPr>
        <w:t>+</w:t>
      </w:r>
      <w:r w:rsidRPr="002C40C5">
        <w:rPr>
          <w:rFonts w:cs="Times New Roman"/>
          <w:szCs w:val="24"/>
        </w:rPr>
        <w:t>CD10</w:t>
      </w:r>
      <w:r w:rsidRPr="002C40C5">
        <w:rPr>
          <w:rFonts w:cs="Times New Roman"/>
          <w:szCs w:val="24"/>
          <w:vertAlign w:val="superscript"/>
        </w:rPr>
        <w:t>-</w:t>
      </w:r>
      <w:r w:rsidRPr="002C40C5">
        <w:rPr>
          <w:rFonts w:cs="Times New Roman"/>
          <w:szCs w:val="24"/>
        </w:rPr>
        <w:t xml:space="preserve">) and </w:t>
      </w:r>
      <w:r>
        <w:rPr>
          <w:rFonts w:cs="Times New Roman"/>
          <w:szCs w:val="24"/>
        </w:rPr>
        <w:t>Memory</w:t>
      </w:r>
      <w:r w:rsidRPr="002C40C5">
        <w:rPr>
          <w:rFonts w:cs="Times New Roman"/>
          <w:szCs w:val="24"/>
        </w:rPr>
        <w:t xml:space="preserve"> (IgD</w:t>
      </w:r>
      <w:r w:rsidRPr="002C40C5">
        <w:rPr>
          <w:rFonts w:cs="Times New Roman"/>
          <w:szCs w:val="24"/>
          <w:vertAlign w:val="superscript"/>
        </w:rPr>
        <w:t>-</w:t>
      </w:r>
      <w:r w:rsidRPr="002C40C5">
        <w:rPr>
          <w:rFonts w:cs="Times New Roman"/>
          <w:szCs w:val="24"/>
        </w:rPr>
        <w:t>CD10</w:t>
      </w:r>
      <w:r w:rsidRPr="002C40C5">
        <w:rPr>
          <w:rFonts w:cs="Times New Roman"/>
          <w:szCs w:val="24"/>
          <w:vertAlign w:val="superscript"/>
        </w:rPr>
        <w:t>-</w:t>
      </w:r>
      <w:r w:rsidRPr="002C40C5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B cells</w:t>
      </w:r>
      <w:r w:rsidR="003A7544">
        <w:rPr>
          <w:rFonts w:cs="Times New Roman"/>
          <w:szCs w:val="24"/>
        </w:rPr>
        <w:t xml:space="preserve">. </w:t>
      </w:r>
      <w:r w:rsidR="0038250C">
        <w:t>The values in the table indicate the percent of B cells positive for T-bet and other surface markers</w:t>
      </w:r>
      <w:r>
        <w:rPr>
          <w:rFonts w:cs="Times New Roman"/>
          <w:szCs w:val="24"/>
        </w:rPr>
        <w:t xml:space="preserve"> </w:t>
      </w:r>
      <w:r w:rsidRPr="00480075">
        <w:rPr>
          <w:rFonts w:cs="Times New Roman"/>
          <w:szCs w:val="24"/>
        </w:rPr>
        <w:t xml:space="preserve">(n = </w:t>
      </w:r>
      <w:r>
        <w:rPr>
          <w:rFonts w:cs="Times New Roman"/>
          <w:szCs w:val="24"/>
        </w:rPr>
        <w:t>3</w:t>
      </w:r>
      <w:r w:rsidRPr="00480075">
        <w:rPr>
          <w:rFonts w:cs="Times New Roman"/>
          <w:szCs w:val="24"/>
        </w:rPr>
        <w:t>).</w:t>
      </w:r>
    </w:p>
    <w:p w14:paraId="0427E962" w14:textId="572AF20D" w:rsidR="00B4606A" w:rsidRDefault="00B4606A" w:rsidP="00B4606A">
      <w:pPr>
        <w:spacing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Supplementary Table </w:t>
      </w:r>
      <w:r w:rsidR="00526F24">
        <w:rPr>
          <w:rFonts w:cs="Times New Roman"/>
          <w:b/>
          <w:szCs w:val="24"/>
        </w:rPr>
        <w:t>3</w:t>
      </w:r>
      <w:r>
        <w:rPr>
          <w:rFonts w:cs="Times New Roman"/>
          <w:b/>
          <w:szCs w:val="24"/>
        </w:rPr>
        <w:t>: Expression of malaria-associated</w:t>
      </w:r>
      <w:r w:rsidRPr="00364C73">
        <w:rPr>
          <w:rFonts w:cs="Times New Roman"/>
          <w:b/>
          <w:szCs w:val="24"/>
        </w:rPr>
        <w:t xml:space="preserve"> atypical MBC markers</w:t>
      </w:r>
      <w:r>
        <w:rPr>
          <w:rFonts w:cs="Times New Roman"/>
          <w:b/>
          <w:szCs w:val="24"/>
        </w:rPr>
        <w:t xml:space="preserve"> by FACS sorted Naïve and Memory B cells after </w:t>
      </w:r>
      <w:r w:rsidRPr="00DA4106">
        <w:rPr>
          <w:rFonts w:cs="Times New Roman"/>
          <w:b/>
          <w:i/>
          <w:szCs w:val="24"/>
        </w:rPr>
        <w:t>in vitro</w:t>
      </w:r>
      <w:r w:rsidRPr="00DA4106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stimulation</w:t>
      </w:r>
    </w:p>
    <w:p w14:paraId="2594C360" w14:textId="6522051A" w:rsidR="00E77931" w:rsidRPr="00E77931" w:rsidRDefault="00E77931" w:rsidP="00B4606A">
      <w:pPr>
        <w:spacing w:line="240" w:lineRule="auto"/>
        <w:rPr>
          <w:rFonts w:cs="Times New Roman"/>
          <w:szCs w:val="24"/>
        </w:rPr>
      </w:pPr>
      <w:r w:rsidRPr="00E77931">
        <w:rPr>
          <w:rFonts w:cs="Times New Roman"/>
          <w:szCs w:val="24"/>
        </w:rPr>
        <w:t xml:space="preserve">Tonsil B cells were FACS sorted based on </w:t>
      </w:r>
      <w:proofErr w:type="spellStart"/>
      <w:r w:rsidRPr="00E77931">
        <w:rPr>
          <w:rFonts w:cs="Times New Roman"/>
          <w:szCs w:val="24"/>
        </w:rPr>
        <w:t>IgD</w:t>
      </w:r>
      <w:proofErr w:type="spellEnd"/>
      <w:r w:rsidRPr="00E77931">
        <w:rPr>
          <w:rFonts w:cs="Times New Roman"/>
          <w:szCs w:val="24"/>
        </w:rPr>
        <w:t xml:space="preserve"> and CD10 expression into Naïve (CD10-IgD+), Memory (CD10-IgD-) and GC (CD10+IgD-) B cells and cultured </w:t>
      </w:r>
      <w:r w:rsidRPr="00E77931">
        <w:rPr>
          <w:rFonts w:cs="Times New Roman"/>
          <w:i/>
          <w:szCs w:val="24"/>
        </w:rPr>
        <w:t>in vitro</w:t>
      </w:r>
      <w:r w:rsidRPr="00E77931">
        <w:rPr>
          <w:rFonts w:cs="Times New Roman"/>
          <w:szCs w:val="24"/>
        </w:rPr>
        <w:t xml:space="preserve"> with either soluble antigen or antigen presented on PLB in the presence of the stimuli shown.</w:t>
      </w:r>
      <w:r>
        <w:rPr>
          <w:rFonts w:cs="Times New Roman"/>
          <w:szCs w:val="24"/>
        </w:rPr>
        <w:t xml:space="preserve"> E</w:t>
      </w:r>
      <w:r w:rsidRPr="00480075">
        <w:rPr>
          <w:rFonts w:cs="Times New Roman"/>
          <w:szCs w:val="24"/>
        </w:rPr>
        <w:t xml:space="preserve">xpression </w:t>
      </w:r>
      <w:r>
        <w:rPr>
          <w:rFonts w:cs="Times New Roman"/>
          <w:szCs w:val="24"/>
        </w:rPr>
        <w:t xml:space="preserve">of </w:t>
      </w:r>
      <w:r w:rsidRPr="00480075">
        <w:rPr>
          <w:rFonts w:cs="Times New Roman"/>
          <w:szCs w:val="24"/>
        </w:rPr>
        <w:t>FcRL5, CD11c, CD95, CXCR3 and CD86</w:t>
      </w:r>
      <w:r>
        <w:rPr>
          <w:rFonts w:cs="Times New Roman"/>
          <w:szCs w:val="24"/>
        </w:rPr>
        <w:t xml:space="preserve"> was determined by flow cytometry. </w:t>
      </w:r>
      <w:r w:rsidR="004E7EFF" w:rsidRPr="004E53C2">
        <w:rPr>
          <w:rFonts w:cs="Times New Roman"/>
          <w:szCs w:val="24"/>
        </w:rPr>
        <w:t xml:space="preserve">The </w:t>
      </w:r>
      <w:r w:rsidR="004E7EFF">
        <w:rPr>
          <w:rFonts w:cs="Times New Roman"/>
          <w:szCs w:val="24"/>
        </w:rPr>
        <w:t xml:space="preserve">values in the table indicate the percent of B cells expressing each marker </w:t>
      </w:r>
      <w:r w:rsidR="004E7EFF" w:rsidRPr="00480075">
        <w:rPr>
          <w:rFonts w:cs="Times New Roman"/>
          <w:szCs w:val="24"/>
        </w:rPr>
        <w:t xml:space="preserve">(n = </w:t>
      </w:r>
      <w:r w:rsidR="004E7EFF">
        <w:rPr>
          <w:rFonts w:cs="Times New Roman"/>
          <w:szCs w:val="24"/>
        </w:rPr>
        <w:t>3</w:t>
      </w:r>
      <w:r w:rsidR="004E7EFF" w:rsidRPr="00480075">
        <w:rPr>
          <w:rFonts w:cs="Times New Roman"/>
          <w:szCs w:val="24"/>
        </w:rPr>
        <w:t>).</w:t>
      </w:r>
    </w:p>
    <w:p w14:paraId="030AD463" w14:textId="79B916FF" w:rsidR="00526F24" w:rsidRDefault="00526F24" w:rsidP="00526F24">
      <w:pPr>
        <w:spacing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Supplementary Table 4: </w:t>
      </w:r>
      <w:r w:rsidRPr="00071254">
        <w:rPr>
          <w:rFonts w:cs="Times New Roman"/>
          <w:b/>
          <w:szCs w:val="24"/>
        </w:rPr>
        <w:t xml:space="preserve">Differential expression of various cell surface proteins in naïve and memory B cells after </w:t>
      </w:r>
      <w:r w:rsidRPr="00071254">
        <w:rPr>
          <w:rFonts w:cs="Times New Roman"/>
          <w:b/>
          <w:i/>
          <w:szCs w:val="24"/>
        </w:rPr>
        <w:t>in vitro</w:t>
      </w:r>
      <w:r w:rsidRPr="00071254">
        <w:rPr>
          <w:rFonts w:cs="Times New Roman"/>
          <w:b/>
          <w:szCs w:val="24"/>
        </w:rPr>
        <w:t xml:space="preserve"> stimulation.</w:t>
      </w:r>
    </w:p>
    <w:p w14:paraId="4CB43C55" w14:textId="236E685A" w:rsidR="0048583D" w:rsidRDefault="0048583D" w:rsidP="00526F24">
      <w:pPr>
        <w:spacing w:line="240" w:lineRule="auto"/>
        <w:rPr>
          <w:rFonts w:cs="Times New Roman"/>
          <w:b/>
          <w:szCs w:val="24"/>
        </w:rPr>
      </w:pPr>
      <w:r w:rsidRPr="00C658A9">
        <w:rPr>
          <w:rFonts w:cs="Times New Roman"/>
          <w:szCs w:val="24"/>
        </w:rPr>
        <w:t xml:space="preserve">Tonsil B cells were cultured </w:t>
      </w:r>
      <w:r w:rsidRPr="00EB1DF6">
        <w:rPr>
          <w:rFonts w:cs="Times New Roman"/>
          <w:i/>
          <w:szCs w:val="24"/>
        </w:rPr>
        <w:t>in vitro</w:t>
      </w:r>
      <w:r w:rsidRPr="00C658A9">
        <w:rPr>
          <w:rFonts w:cs="Times New Roman"/>
          <w:szCs w:val="24"/>
        </w:rPr>
        <w:t xml:space="preserve"> for 40 h without or with PLB-Ag + CpG + IFN</w:t>
      </w:r>
      <w:r>
        <w:rPr>
          <w:rFonts w:cs="Times New Roman"/>
          <w:szCs w:val="24"/>
        </w:rPr>
        <w:t>-</w:t>
      </w:r>
      <w:r w:rsidRPr="00C658A9">
        <w:rPr>
          <w:rFonts w:cs="Times New Roman"/>
          <w:szCs w:val="24"/>
        </w:rPr>
        <w:t>γ stimulation.</w:t>
      </w:r>
      <w:r>
        <w:rPr>
          <w:rFonts w:cs="Times New Roman"/>
          <w:szCs w:val="24"/>
        </w:rPr>
        <w:t xml:space="preserve"> The cells were </w:t>
      </w:r>
      <w:r w:rsidRPr="00D160F3">
        <w:rPr>
          <w:rFonts w:cs="Times New Roman"/>
          <w:szCs w:val="24"/>
        </w:rPr>
        <w:t xml:space="preserve">stained for various surface markers using </w:t>
      </w:r>
      <w:proofErr w:type="spellStart"/>
      <w:r w:rsidRPr="00D160F3">
        <w:rPr>
          <w:rFonts w:cs="Times New Roman"/>
          <w:szCs w:val="24"/>
        </w:rPr>
        <w:t>LEGEND</w:t>
      </w:r>
      <w:r>
        <w:rPr>
          <w:rFonts w:cs="Times New Roman"/>
          <w:szCs w:val="24"/>
        </w:rPr>
        <w:t>Screen</w:t>
      </w:r>
      <w:r w:rsidRPr="009C2126">
        <w:rPr>
          <w:rFonts w:cs="Times New Roman"/>
          <w:szCs w:val="24"/>
          <w:vertAlign w:val="superscript"/>
        </w:rPr>
        <w:t>TM</w:t>
      </w:r>
      <w:proofErr w:type="spellEnd"/>
      <w:r w:rsidRPr="00D160F3">
        <w:rPr>
          <w:rFonts w:cs="Times New Roman"/>
          <w:szCs w:val="24"/>
        </w:rPr>
        <w:t xml:space="preserve"> human cell screening kit (</w:t>
      </w:r>
      <w:proofErr w:type="spellStart"/>
      <w:r w:rsidRPr="00D160F3">
        <w:rPr>
          <w:rFonts w:cs="Times New Roman"/>
          <w:szCs w:val="24"/>
        </w:rPr>
        <w:t>Biolegend</w:t>
      </w:r>
      <w:proofErr w:type="spellEnd"/>
      <w:r w:rsidRPr="00D160F3">
        <w:rPr>
          <w:rFonts w:cs="Times New Roman"/>
          <w:szCs w:val="24"/>
        </w:rPr>
        <w:t>)</w:t>
      </w:r>
      <w:r w:rsidR="00BE05E8">
        <w:rPr>
          <w:rFonts w:cs="Times New Roman"/>
          <w:szCs w:val="24"/>
        </w:rPr>
        <w:t xml:space="preserve"> and analyzed by flow cytometry. </w:t>
      </w:r>
      <w:r w:rsidR="00BE05E8" w:rsidRPr="00BE05E8">
        <w:rPr>
          <w:rFonts w:cs="Times New Roman"/>
          <w:szCs w:val="24"/>
        </w:rPr>
        <w:t xml:space="preserve">The data are displayed as log2 of the ratio of the </w:t>
      </w:r>
      <w:proofErr w:type="spellStart"/>
      <w:r w:rsidR="00BE05E8" w:rsidRPr="00BE05E8">
        <w:rPr>
          <w:rFonts w:cs="Times New Roman"/>
          <w:szCs w:val="24"/>
        </w:rPr>
        <w:t>gMFI</w:t>
      </w:r>
      <w:proofErr w:type="spellEnd"/>
      <w:r w:rsidR="00BE05E8" w:rsidRPr="00BE05E8">
        <w:rPr>
          <w:rFonts w:cs="Times New Roman"/>
          <w:szCs w:val="24"/>
        </w:rPr>
        <w:t xml:space="preserve"> of stimulated cells over the </w:t>
      </w:r>
      <w:proofErr w:type="spellStart"/>
      <w:r w:rsidR="00BE05E8" w:rsidRPr="00BE05E8">
        <w:rPr>
          <w:rFonts w:cs="Times New Roman"/>
          <w:szCs w:val="24"/>
        </w:rPr>
        <w:t>gMFI</w:t>
      </w:r>
      <w:proofErr w:type="spellEnd"/>
      <w:r w:rsidR="00BE05E8" w:rsidRPr="00BE05E8">
        <w:rPr>
          <w:rFonts w:cs="Times New Roman"/>
          <w:szCs w:val="24"/>
        </w:rPr>
        <w:t xml:space="preserve"> of unstimulated cells for tonsil B cells </w:t>
      </w:r>
      <w:r w:rsidR="00BE05E8">
        <w:rPr>
          <w:rFonts w:cs="Times New Roman"/>
          <w:szCs w:val="24"/>
        </w:rPr>
        <w:t xml:space="preserve">(n = 3). Relative difference in transcripts of these surface markers for atypical MBCs and classical MBCs </w:t>
      </w:r>
      <w:r w:rsidR="00BE05E8" w:rsidRPr="00BE05E8">
        <w:rPr>
          <w:rFonts w:cs="Times New Roman"/>
          <w:szCs w:val="24"/>
        </w:rPr>
        <w:t>from Malian adults with life-long exposure to malaria</w:t>
      </w:r>
      <w:r w:rsidR="00BE05E8">
        <w:rPr>
          <w:rFonts w:cs="Times New Roman"/>
          <w:szCs w:val="24"/>
        </w:rPr>
        <w:t xml:space="preserve"> is also included in this table.</w:t>
      </w:r>
    </w:p>
    <w:p w14:paraId="7F702702" w14:textId="367440A0" w:rsidR="00DA4106" w:rsidRDefault="00526F24" w:rsidP="00662F7A">
      <w:pPr>
        <w:spacing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Supplementary Table 5: </w:t>
      </w:r>
      <w:r w:rsidRPr="00071254">
        <w:rPr>
          <w:rFonts w:cs="Times New Roman"/>
          <w:b/>
          <w:szCs w:val="24"/>
        </w:rPr>
        <w:t>List of antibodies</w:t>
      </w:r>
    </w:p>
    <w:p w14:paraId="24E018C3" w14:textId="1938CA0C" w:rsidR="00BE05E8" w:rsidRPr="00BE05E8" w:rsidRDefault="008F7FD1" w:rsidP="00662F7A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Information about f</w:t>
      </w:r>
      <w:r w:rsidR="00BE05E8">
        <w:rPr>
          <w:rFonts w:cs="Times New Roman"/>
          <w:szCs w:val="24"/>
        </w:rPr>
        <w:t xml:space="preserve">luorescently labelled antibodies used for </w:t>
      </w:r>
      <w:r w:rsidR="002723F3" w:rsidRPr="00A95205">
        <w:rPr>
          <w:rFonts w:cs="Times New Roman"/>
          <w:szCs w:val="24"/>
        </w:rPr>
        <w:t>analysis of expression of cell surface markers</w:t>
      </w:r>
      <w:r w:rsidR="002723F3">
        <w:rPr>
          <w:rFonts w:cs="Times New Roman"/>
          <w:szCs w:val="24"/>
        </w:rPr>
        <w:t xml:space="preserve"> and intracellular proteins is given, along with the concentration or the dilution factor for each antibody. </w:t>
      </w:r>
    </w:p>
    <w:sectPr w:rsidR="00BE05E8" w:rsidRPr="00BE05E8" w:rsidSect="00607F62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B2B90" w14:textId="77777777" w:rsidR="00462677" w:rsidRDefault="00462677" w:rsidP="008819F2">
      <w:pPr>
        <w:spacing w:after="0" w:line="240" w:lineRule="auto"/>
      </w:pPr>
      <w:r>
        <w:separator/>
      </w:r>
    </w:p>
  </w:endnote>
  <w:endnote w:type="continuationSeparator" w:id="0">
    <w:p w14:paraId="58CA0FE7" w14:textId="77777777" w:rsidR="00462677" w:rsidRDefault="00462677" w:rsidP="0088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77CDA" w14:textId="77777777" w:rsidR="00462677" w:rsidRDefault="00462677" w:rsidP="008819F2">
      <w:pPr>
        <w:spacing w:after="0" w:line="240" w:lineRule="auto"/>
      </w:pPr>
      <w:r>
        <w:separator/>
      </w:r>
    </w:p>
  </w:footnote>
  <w:footnote w:type="continuationSeparator" w:id="0">
    <w:p w14:paraId="7D273642" w14:textId="77777777" w:rsidR="00462677" w:rsidRDefault="00462677" w:rsidP="00881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94463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C5324F" w14:textId="77777777" w:rsidR="00AC01F7" w:rsidRDefault="00AC01F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FC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4227F79C" w14:textId="77777777" w:rsidR="00AC01F7" w:rsidRDefault="00AC01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95xf9de6v5t5be0swcv2rwlar90xvs9rsrs&quot;&gt;Abhijit_immunolibrary&lt;record-ids&gt;&lt;item&gt;33&lt;/item&gt;&lt;item&gt;40&lt;/item&gt;&lt;item&gt;51&lt;/item&gt;&lt;item&gt;292&lt;/item&gt;&lt;item&gt;294&lt;/item&gt;&lt;item&gt;431&lt;/item&gt;&lt;item&gt;451&lt;/item&gt;&lt;item&gt;465&lt;/item&gt;&lt;item&gt;475&lt;/item&gt;&lt;item&gt;476&lt;/item&gt;&lt;item&gt;556&lt;/item&gt;&lt;item&gt;562&lt;/item&gt;&lt;item&gt;625&lt;/item&gt;&lt;item&gt;10335&lt;/item&gt;&lt;item&gt;10337&lt;/item&gt;&lt;item&gt;10375&lt;/item&gt;&lt;item&gt;10418&lt;/item&gt;&lt;item&gt;10671&lt;/item&gt;&lt;item&gt;10767&lt;/item&gt;&lt;item&gt;10782&lt;/item&gt;&lt;item&gt;10785&lt;/item&gt;&lt;/record-ids&gt;&lt;/item&gt;&lt;/Libraries&gt;"/>
  </w:docVars>
  <w:rsids>
    <w:rsidRoot w:val="00742870"/>
    <w:rsid w:val="00000EB2"/>
    <w:rsid w:val="00000FE5"/>
    <w:rsid w:val="00004C4E"/>
    <w:rsid w:val="00012C6B"/>
    <w:rsid w:val="00017C67"/>
    <w:rsid w:val="00025F68"/>
    <w:rsid w:val="000309EC"/>
    <w:rsid w:val="000316F8"/>
    <w:rsid w:val="00034689"/>
    <w:rsid w:val="00037E20"/>
    <w:rsid w:val="00041804"/>
    <w:rsid w:val="00042E1A"/>
    <w:rsid w:val="00044168"/>
    <w:rsid w:val="0004638B"/>
    <w:rsid w:val="00051447"/>
    <w:rsid w:val="000531CA"/>
    <w:rsid w:val="0005339F"/>
    <w:rsid w:val="000542F1"/>
    <w:rsid w:val="00057C80"/>
    <w:rsid w:val="00061BE4"/>
    <w:rsid w:val="00066AB6"/>
    <w:rsid w:val="00070B4F"/>
    <w:rsid w:val="00071254"/>
    <w:rsid w:val="00072634"/>
    <w:rsid w:val="000756C8"/>
    <w:rsid w:val="00076F11"/>
    <w:rsid w:val="00077826"/>
    <w:rsid w:val="00077A36"/>
    <w:rsid w:val="00080718"/>
    <w:rsid w:val="000833F8"/>
    <w:rsid w:val="0008659C"/>
    <w:rsid w:val="00090AD5"/>
    <w:rsid w:val="00091CA5"/>
    <w:rsid w:val="00093DD0"/>
    <w:rsid w:val="00095932"/>
    <w:rsid w:val="00095B37"/>
    <w:rsid w:val="00095D0F"/>
    <w:rsid w:val="0009795A"/>
    <w:rsid w:val="000A251E"/>
    <w:rsid w:val="000B09A5"/>
    <w:rsid w:val="000B4836"/>
    <w:rsid w:val="000B7D5E"/>
    <w:rsid w:val="000C67A7"/>
    <w:rsid w:val="000C7D99"/>
    <w:rsid w:val="000D1AF2"/>
    <w:rsid w:val="000D2806"/>
    <w:rsid w:val="000D4373"/>
    <w:rsid w:val="000D5B46"/>
    <w:rsid w:val="000E194B"/>
    <w:rsid w:val="000E3DFF"/>
    <w:rsid w:val="000E5ECD"/>
    <w:rsid w:val="000F4A19"/>
    <w:rsid w:val="000F7592"/>
    <w:rsid w:val="000F7A85"/>
    <w:rsid w:val="00107E70"/>
    <w:rsid w:val="00110490"/>
    <w:rsid w:val="00110732"/>
    <w:rsid w:val="00111835"/>
    <w:rsid w:val="00115C28"/>
    <w:rsid w:val="001201B5"/>
    <w:rsid w:val="00121C21"/>
    <w:rsid w:val="00123D61"/>
    <w:rsid w:val="00124897"/>
    <w:rsid w:val="0013213E"/>
    <w:rsid w:val="0013229E"/>
    <w:rsid w:val="00132BCE"/>
    <w:rsid w:val="001337BB"/>
    <w:rsid w:val="00135B2C"/>
    <w:rsid w:val="00135BDB"/>
    <w:rsid w:val="00142E20"/>
    <w:rsid w:val="00143258"/>
    <w:rsid w:val="00143E08"/>
    <w:rsid w:val="00145369"/>
    <w:rsid w:val="001508BD"/>
    <w:rsid w:val="00150A76"/>
    <w:rsid w:val="00154495"/>
    <w:rsid w:val="00156B75"/>
    <w:rsid w:val="0016257B"/>
    <w:rsid w:val="00163BE4"/>
    <w:rsid w:val="001653C9"/>
    <w:rsid w:val="0016660F"/>
    <w:rsid w:val="0016670F"/>
    <w:rsid w:val="00166A4F"/>
    <w:rsid w:val="001677BE"/>
    <w:rsid w:val="001679E9"/>
    <w:rsid w:val="001712E8"/>
    <w:rsid w:val="0017594F"/>
    <w:rsid w:val="00177DAF"/>
    <w:rsid w:val="00182CF6"/>
    <w:rsid w:val="00185843"/>
    <w:rsid w:val="00185ABC"/>
    <w:rsid w:val="001875C6"/>
    <w:rsid w:val="00187FE8"/>
    <w:rsid w:val="001A04A3"/>
    <w:rsid w:val="001A273C"/>
    <w:rsid w:val="001A4F20"/>
    <w:rsid w:val="001A64E0"/>
    <w:rsid w:val="001B2799"/>
    <w:rsid w:val="001B27D7"/>
    <w:rsid w:val="001B3CEF"/>
    <w:rsid w:val="001B635A"/>
    <w:rsid w:val="001B7723"/>
    <w:rsid w:val="001B784D"/>
    <w:rsid w:val="001C5CD8"/>
    <w:rsid w:val="001D4277"/>
    <w:rsid w:val="001D4798"/>
    <w:rsid w:val="001E3A4A"/>
    <w:rsid w:val="001E5841"/>
    <w:rsid w:val="001F1223"/>
    <w:rsid w:val="001F20B2"/>
    <w:rsid w:val="001F2639"/>
    <w:rsid w:val="001F309C"/>
    <w:rsid w:val="00200A64"/>
    <w:rsid w:val="00201F2B"/>
    <w:rsid w:val="00203DA7"/>
    <w:rsid w:val="00205FE7"/>
    <w:rsid w:val="00206424"/>
    <w:rsid w:val="00211721"/>
    <w:rsid w:val="00213DD6"/>
    <w:rsid w:val="00217C24"/>
    <w:rsid w:val="002220DB"/>
    <w:rsid w:val="0022359C"/>
    <w:rsid w:val="002246FB"/>
    <w:rsid w:val="00224719"/>
    <w:rsid w:val="0022618D"/>
    <w:rsid w:val="0023369A"/>
    <w:rsid w:val="00234E2F"/>
    <w:rsid w:val="002360D6"/>
    <w:rsid w:val="00236A5F"/>
    <w:rsid w:val="00241C69"/>
    <w:rsid w:val="00241F0F"/>
    <w:rsid w:val="00244119"/>
    <w:rsid w:val="00246102"/>
    <w:rsid w:val="00246C6E"/>
    <w:rsid w:val="0024776A"/>
    <w:rsid w:val="00250D10"/>
    <w:rsid w:val="00254353"/>
    <w:rsid w:val="00256A93"/>
    <w:rsid w:val="0026001C"/>
    <w:rsid w:val="00264BD2"/>
    <w:rsid w:val="002700BA"/>
    <w:rsid w:val="002723F3"/>
    <w:rsid w:val="0027442F"/>
    <w:rsid w:val="00274964"/>
    <w:rsid w:val="00284886"/>
    <w:rsid w:val="00290441"/>
    <w:rsid w:val="002A0914"/>
    <w:rsid w:val="002A1118"/>
    <w:rsid w:val="002A796A"/>
    <w:rsid w:val="002B4868"/>
    <w:rsid w:val="002B5911"/>
    <w:rsid w:val="002B7091"/>
    <w:rsid w:val="002B7636"/>
    <w:rsid w:val="002C1B6D"/>
    <w:rsid w:val="002C1BFF"/>
    <w:rsid w:val="002C41C1"/>
    <w:rsid w:val="002C5BA1"/>
    <w:rsid w:val="002C7CCE"/>
    <w:rsid w:val="002D43D7"/>
    <w:rsid w:val="002D50B7"/>
    <w:rsid w:val="002D5F35"/>
    <w:rsid w:val="002D732B"/>
    <w:rsid w:val="002D79FE"/>
    <w:rsid w:val="002E2E2B"/>
    <w:rsid w:val="002E7D17"/>
    <w:rsid w:val="002F1B38"/>
    <w:rsid w:val="002F5C79"/>
    <w:rsid w:val="002F680A"/>
    <w:rsid w:val="00300A19"/>
    <w:rsid w:val="003040D7"/>
    <w:rsid w:val="00311B23"/>
    <w:rsid w:val="00315FA1"/>
    <w:rsid w:val="003161EA"/>
    <w:rsid w:val="00316873"/>
    <w:rsid w:val="0032254F"/>
    <w:rsid w:val="003240D4"/>
    <w:rsid w:val="0032509C"/>
    <w:rsid w:val="00327BED"/>
    <w:rsid w:val="0033041E"/>
    <w:rsid w:val="00332DD6"/>
    <w:rsid w:val="003347C7"/>
    <w:rsid w:val="00342FCB"/>
    <w:rsid w:val="0034412C"/>
    <w:rsid w:val="003509C7"/>
    <w:rsid w:val="00351431"/>
    <w:rsid w:val="0035600E"/>
    <w:rsid w:val="00360269"/>
    <w:rsid w:val="00361F5F"/>
    <w:rsid w:val="00362F68"/>
    <w:rsid w:val="003648DC"/>
    <w:rsid w:val="00365E53"/>
    <w:rsid w:val="00366DC6"/>
    <w:rsid w:val="0037132B"/>
    <w:rsid w:val="00371859"/>
    <w:rsid w:val="00371989"/>
    <w:rsid w:val="003724C6"/>
    <w:rsid w:val="00372944"/>
    <w:rsid w:val="003734FB"/>
    <w:rsid w:val="003735ED"/>
    <w:rsid w:val="00373908"/>
    <w:rsid w:val="00375637"/>
    <w:rsid w:val="003762FC"/>
    <w:rsid w:val="00376BBA"/>
    <w:rsid w:val="00376FB3"/>
    <w:rsid w:val="003776C6"/>
    <w:rsid w:val="00377EDF"/>
    <w:rsid w:val="0038250C"/>
    <w:rsid w:val="00382DCE"/>
    <w:rsid w:val="00383D2D"/>
    <w:rsid w:val="00384149"/>
    <w:rsid w:val="00384DF5"/>
    <w:rsid w:val="003919F0"/>
    <w:rsid w:val="003949D4"/>
    <w:rsid w:val="00395961"/>
    <w:rsid w:val="00396313"/>
    <w:rsid w:val="003A0A21"/>
    <w:rsid w:val="003A133D"/>
    <w:rsid w:val="003A45C1"/>
    <w:rsid w:val="003A6D34"/>
    <w:rsid w:val="003A7544"/>
    <w:rsid w:val="003B0174"/>
    <w:rsid w:val="003B47E9"/>
    <w:rsid w:val="003B5B29"/>
    <w:rsid w:val="003B6724"/>
    <w:rsid w:val="003B7B2E"/>
    <w:rsid w:val="003C29C8"/>
    <w:rsid w:val="003C425E"/>
    <w:rsid w:val="003C65C1"/>
    <w:rsid w:val="003C7F8D"/>
    <w:rsid w:val="003D23FD"/>
    <w:rsid w:val="003D3284"/>
    <w:rsid w:val="003D5003"/>
    <w:rsid w:val="003D5D88"/>
    <w:rsid w:val="003D650F"/>
    <w:rsid w:val="003D7835"/>
    <w:rsid w:val="003E1BD7"/>
    <w:rsid w:val="003E205B"/>
    <w:rsid w:val="003F235E"/>
    <w:rsid w:val="003F262F"/>
    <w:rsid w:val="003F3300"/>
    <w:rsid w:val="003F37D9"/>
    <w:rsid w:val="003F4B3D"/>
    <w:rsid w:val="003F55F8"/>
    <w:rsid w:val="003F7975"/>
    <w:rsid w:val="003F7C69"/>
    <w:rsid w:val="004017AE"/>
    <w:rsid w:val="00414EBD"/>
    <w:rsid w:val="00415D70"/>
    <w:rsid w:val="00423638"/>
    <w:rsid w:val="00423769"/>
    <w:rsid w:val="00426339"/>
    <w:rsid w:val="00427C31"/>
    <w:rsid w:val="00436E74"/>
    <w:rsid w:val="00443808"/>
    <w:rsid w:val="004444CC"/>
    <w:rsid w:val="00444AEC"/>
    <w:rsid w:val="0044753A"/>
    <w:rsid w:val="00455411"/>
    <w:rsid w:val="00455639"/>
    <w:rsid w:val="00456EAE"/>
    <w:rsid w:val="00457B2C"/>
    <w:rsid w:val="004609BE"/>
    <w:rsid w:val="00460E73"/>
    <w:rsid w:val="00462677"/>
    <w:rsid w:val="004647C0"/>
    <w:rsid w:val="00466B3D"/>
    <w:rsid w:val="00467F39"/>
    <w:rsid w:val="004704F7"/>
    <w:rsid w:val="00477C74"/>
    <w:rsid w:val="00481D11"/>
    <w:rsid w:val="004826A9"/>
    <w:rsid w:val="0048583D"/>
    <w:rsid w:val="004860F8"/>
    <w:rsid w:val="00486996"/>
    <w:rsid w:val="00486EF9"/>
    <w:rsid w:val="0048718E"/>
    <w:rsid w:val="00487C72"/>
    <w:rsid w:val="0049731F"/>
    <w:rsid w:val="00497974"/>
    <w:rsid w:val="004A098C"/>
    <w:rsid w:val="004A5294"/>
    <w:rsid w:val="004A6644"/>
    <w:rsid w:val="004B4C65"/>
    <w:rsid w:val="004C0943"/>
    <w:rsid w:val="004C309C"/>
    <w:rsid w:val="004C513E"/>
    <w:rsid w:val="004C6441"/>
    <w:rsid w:val="004C66F3"/>
    <w:rsid w:val="004C6EBD"/>
    <w:rsid w:val="004D715C"/>
    <w:rsid w:val="004D7235"/>
    <w:rsid w:val="004E04A8"/>
    <w:rsid w:val="004E0CD3"/>
    <w:rsid w:val="004E3048"/>
    <w:rsid w:val="004E37B9"/>
    <w:rsid w:val="004E3B32"/>
    <w:rsid w:val="004E53C2"/>
    <w:rsid w:val="004E628E"/>
    <w:rsid w:val="004E7565"/>
    <w:rsid w:val="004E7EFF"/>
    <w:rsid w:val="004F08A3"/>
    <w:rsid w:val="004F510A"/>
    <w:rsid w:val="004F5844"/>
    <w:rsid w:val="004F753A"/>
    <w:rsid w:val="00502409"/>
    <w:rsid w:val="005026FF"/>
    <w:rsid w:val="00504B4E"/>
    <w:rsid w:val="00504FDE"/>
    <w:rsid w:val="00506967"/>
    <w:rsid w:val="00507F41"/>
    <w:rsid w:val="00513C3A"/>
    <w:rsid w:val="00514831"/>
    <w:rsid w:val="00516B7B"/>
    <w:rsid w:val="00524804"/>
    <w:rsid w:val="00526F24"/>
    <w:rsid w:val="0053252D"/>
    <w:rsid w:val="005331B8"/>
    <w:rsid w:val="005355A6"/>
    <w:rsid w:val="00537279"/>
    <w:rsid w:val="0054170F"/>
    <w:rsid w:val="00544D3F"/>
    <w:rsid w:val="00546721"/>
    <w:rsid w:val="00554DD8"/>
    <w:rsid w:val="00561D4D"/>
    <w:rsid w:val="00562B59"/>
    <w:rsid w:val="00564244"/>
    <w:rsid w:val="00564E14"/>
    <w:rsid w:val="005658B6"/>
    <w:rsid w:val="005664CC"/>
    <w:rsid w:val="00577665"/>
    <w:rsid w:val="00580CCF"/>
    <w:rsid w:val="00582B3D"/>
    <w:rsid w:val="0058321D"/>
    <w:rsid w:val="005865BA"/>
    <w:rsid w:val="00586C27"/>
    <w:rsid w:val="0058782C"/>
    <w:rsid w:val="0059521E"/>
    <w:rsid w:val="00595661"/>
    <w:rsid w:val="005A2891"/>
    <w:rsid w:val="005A4170"/>
    <w:rsid w:val="005A661A"/>
    <w:rsid w:val="005B044F"/>
    <w:rsid w:val="005B5517"/>
    <w:rsid w:val="005C0712"/>
    <w:rsid w:val="005C5F5E"/>
    <w:rsid w:val="005D0F34"/>
    <w:rsid w:val="005D18AC"/>
    <w:rsid w:val="005D2BBD"/>
    <w:rsid w:val="005D4B20"/>
    <w:rsid w:val="005D744A"/>
    <w:rsid w:val="005D76BD"/>
    <w:rsid w:val="005F4A2C"/>
    <w:rsid w:val="00602CFF"/>
    <w:rsid w:val="006030A0"/>
    <w:rsid w:val="00607F62"/>
    <w:rsid w:val="00611312"/>
    <w:rsid w:val="00612E8C"/>
    <w:rsid w:val="00613D1B"/>
    <w:rsid w:val="00616030"/>
    <w:rsid w:val="0061704C"/>
    <w:rsid w:val="0061705D"/>
    <w:rsid w:val="00622CD7"/>
    <w:rsid w:val="006233EA"/>
    <w:rsid w:val="00623EFD"/>
    <w:rsid w:val="00627F6C"/>
    <w:rsid w:val="00630CD1"/>
    <w:rsid w:val="006315D2"/>
    <w:rsid w:val="00632CC3"/>
    <w:rsid w:val="00634725"/>
    <w:rsid w:val="00634D58"/>
    <w:rsid w:val="006364F1"/>
    <w:rsid w:val="00637E31"/>
    <w:rsid w:val="00643F32"/>
    <w:rsid w:val="00655217"/>
    <w:rsid w:val="00657233"/>
    <w:rsid w:val="006618FD"/>
    <w:rsid w:val="00662F7A"/>
    <w:rsid w:val="0066349B"/>
    <w:rsid w:val="00665794"/>
    <w:rsid w:val="00666461"/>
    <w:rsid w:val="00667DE3"/>
    <w:rsid w:val="006733DC"/>
    <w:rsid w:val="00674EE4"/>
    <w:rsid w:val="00677BEC"/>
    <w:rsid w:val="00677D16"/>
    <w:rsid w:val="00680289"/>
    <w:rsid w:val="00685507"/>
    <w:rsid w:val="00687B54"/>
    <w:rsid w:val="006908B0"/>
    <w:rsid w:val="00697296"/>
    <w:rsid w:val="006A1C07"/>
    <w:rsid w:val="006A29B5"/>
    <w:rsid w:val="006A3669"/>
    <w:rsid w:val="006A4527"/>
    <w:rsid w:val="006A50AC"/>
    <w:rsid w:val="006A67C9"/>
    <w:rsid w:val="006A6A31"/>
    <w:rsid w:val="006B4A65"/>
    <w:rsid w:val="006C0237"/>
    <w:rsid w:val="006C0905"/>
    <w:rsid w:val="006C1FED"/>
    <w:rsid w:val="006C47BD"/>
    <w:rsid w:val="006C5B12"/>
    <w:rsid w:val="006D1AD4"/>
    <w:rsid w:val="006E04B9"/>
    <w:rsid w:val="006E04D6"/>
    <w:rsid w:val="006E38A5"/>
    <w:rsid w:val="006F1071"/>
    <w:rsid w:val="006F3435"/>
    <w:rsid w:val="006F3752"/>
    <w:rsid w:val="006F6DD5"/>
    <w:rsid w:val="0070212D"/>
    <w:rsid w:val="00704050"/>
    <w:rsid w:val="0070407B"/>
    <w:rsid w:val="00704139"/>
    <w:rsid w:val="00704657"/>
    <w:rsid w:val="007046A9"/>
    <w:rsid w:val="00710945"/>
    <w:rsid w:val="007142AE"/>
    <w:rsid w:val="007142D4"/>
    <w:rsid w:val="007151A4"/>
    <w:rsid w:val="0071553A"/>
    <w:rsid w:val="00715CF9"/>
    <w:rsid w:val="00716789"/>
    <w:rsid w:val="007172D4"/>
    <w:rsid w:val="007215B3"/>
    <w:rsid w:val="0072519F"/>
    <w:rsid w:val="007273D9"/>
    <w:rsid w:val="00727D23"/>
    <w:rsid w:val="00730F30"/>
    <w:rsid w:val="00731789"/>
    <w:rsid w:val="00732581"/>
    <w:rsid w:val="007342AF"/>
    <w:rsid w:val="00735AF9"/>
    <w:rsid w:val="00736DF7"/>
    <w:rsid w:val="00737899"/>
    <w:rsid w:val="007379AE"/>
    <w:rsid w:val="00742870"/>
    <w:rsid w:val="00746C00"/>
    <w:rsid w:val="00750B1A"/>
    <w:rsid w:val="00753153"/>
    <w:rsid w:val="00755EA5"/>
    <w:rsid w:val="007562BE"/>
    <w:rsid w:val="00756A32"/>
    <w:rsid w:val="0076119F"/>
    <w:rsid w:val="00762895"/>
    <w:rsid w:val="00764EB3"/>
    <w:rsid w:val="007700D8"/>
    <w:rsid w:val="00772E7F"/>
    <w:rsid w:val="00782C49"/>
    <w:rsid w:val="007850CE"/>
    <w:rsid w:val="00787863"/>
    <w:rsid w:val="007907F8"/>
    <w:rsid w:val="00790E88"/>
    <w:rsid w:val="007912AE"/>
    <w:rsid w:val="00794715"/>
    <w:rsid w:val="00794EEC"/>
    <w:rsid w:val="007961DB"/>
    <w:rsid w:val="00796C2E"/>
    <w:rsid w:val="007A2D3F"/>
    <w:rsid w:val="007A3D93"/>
    <w:rsid w:val="007A4887"/>
    <w:rsid w:val="007B005E"/>
    <w:rsid w:val="007B24E8"/>
    <w:rsid w:val="007B2F19"/>
    <w:rsid w:val="007B452B"/>
    <w:rsid w:val="007B469B"/>
    <w:rsid w:val="007C1818"/>
    <w:rsid w:val="007C3BE5"/>
    <w:rsid w:val="007C51B2"/>
    <w:rsid w:val="007D0CEE"/>
    <w:rsid w:val="007D1D64"/>
    <w:rsid w:val="007D2E2E"/>
    <w:rsid w:val="007D6BF2"/>
    <w:rsid w:val="007D6E78"/>
    <w:rsid w:val="007E73DF"/>
    <w:rsid w:val="007F12ED"/>
    <w:rsid w:val="007F4137"/>
    <w:rsid w:val="007F58D2"/>
    <w:rsid w:val="007F5D92"/>
    <w:rsid w:val="007F6CE0"/>
    <w:rsid w:val="00800940"/>
    <w:rsid w:val="008023D9"/>
    <w:rsid w:val="0080282E"/>
    <w:rsid w:val="00803BF3"/>
    <w:rsid w:val="00804596"/>
    <w:rsid w:val="00811A7B"/>
    <w:rsid w:val="0081413F"/>
    <w:rsid w:val="008216F6"/>
    <w:rsid w:val="008229FD"/>
    <w:rsid w:val="0082421C"/>
    <w:rsid w:val="008301C9"/>
    <w:rsid w:val="008303F0"/>
    <w:rsid w:val="00835ECE"/>
    <w:rsid w:val="00840872"/>
    <w:rsid w:val="00841930"/>
    <w:rsid w:val="00845315"/>
    <w:rsid w:val="008471AD"/>
    <w:rsid w:val="008501D5"/>
    <w:rsid w:val="0086203C"/>
    <w:rsid w:val="008672B2"/>
    <w:rsid w:val="008701C6"/>
    <w:rsid w:val="0087115C"/>
    <w:rsid w:val="00876688"/>
    <w:rsid w:val="0087682B"/>
    <w:rsid w:val="008819F2"/>
    <w:rsid w:val="00884532"/>
    <w:rsid w:val="00891836"/>
    <w:rsid w:val="00892D21"/>
    <w:rsid w:val="00894242"/>
    <w:rsid w:val="008A528B"/>
    <w:rsid w:val="008A779C"/>
    <w:rsid w:val="008B1A98"/>
    <w:rsid w:val="008B4347"/>
    <w:rsid w:val="008B53F0"/>
    <w:rsid w:val="008B6ED5"/>
    <w:rsid w:val="008C07A8"/>
    <w:rsid w:val="008C5AFC"/>
    <w:rsid w:val="008C703C"/>
    <w:rsid w:val="008C710B"/>
    <w:rsid w:val="008D04E6"/>
    <w:rsid w:val="008D282A"/>
    <w:rsid w:val="008D3BEF"/>
    <w:rsid w:val="008D5E1C"/>
    <w:rsid w:val="008D6784"/>
    <w:rsid w:val="008D7AA3"/>
    <w:rsid w:val="008E694A"/>
    <w:rsid w:val="008F14A7"/>
    <w:rsid w:val="008F480D"/>
    <w:rsid w:val="008F4AB4"/>
    <w:rsid w:val="008F4F56"/>
    <w:rsid w:val="008F6E6A"/>
    <w:rsid w:val="008F7FD1"/>
    <w:rsid w:val="00902911"/>
    <w:rsid w:val="00902977"/>
    <w:rsid w:val="00902D25"/>
    <w:rsid w:val="00903A0D"/>
    <w:rsid w:val="00904756"/>
    <w:rsid w:val="00910DFB"/>
    <w:rsid w:val="00915206"/>
    <w:rsid w:val="00921128"/>
    <w:rsid w:val="009213BC"/>
    <w:rsid w:val="00921A4F"/>
    <w:rsid w:val="00923FFB"/>
    <w:rsid w:val="0092597F"/>
    <w:rsid w:val="00925C95"/>
    <w:rsid w:val="009262E4"/>
    <w:rsid w:val="0093108C"/>
    <w:rsid w:val="0093192F"/>
    <w:rsid w:val="00935924"/>
    <w:rsid w:val="009419A1"/>
    <w:rsid w:val="0094329A"/>
    <w:rsid w:val="00944F1B"/>
    <w:rsid w:val="00945F7D"/>
    <w:rsid w:val="00950F21"/>
    <w:rsid w:val="009514B5"/>
    <w:rsid w:val="009520EB"/>
    <w:rsid w:val="00952C3A"/>
    <w:rsid w:val="00953E48"/>
    <w:rsid w:val="009560EA"/>
    <w:rsid w:val="00957CA0"/>
    <w:rsid w:val="00957FD9"/>
    <w:rsid w:val="00960220"/>
    <w:rsid w:val="00961C2E"/>
    <w:rsid w:val="0096258D"/>
    <w:rsid w:val="00962FE5"/>
    <w:rsid w:val="00964435"/>
    <w:rsid w:val="00967EDC"/>
    <w:rsid w:val="009731BA"/>
    <w:rsid w:val="00973F3C"/>
    <w:rsid w:val="00974D9D"/>
    <w:rsid w:val="0097785E"/>
    <w:rsid w:val="00977DFE"/>
    <w:rsid w:val="0098095B"/>
    <w:rsid w:val="0098148F"/>
    <w:rsid w:val="00983852"/>
    <w:rsid w:val="009901A5"/>
    <w:rsid w:val="00990318"/>
    <w:rsid w:val="00991649"/>
    <w:rsid w:val="00992C85"/>
    <w:rsid w:val="009935AA"/>
    <w:rsid w:val="009A0EFE"/>
    <w:rsid w:val="009B07B6"/>
    <w:rsid w:val="009B0BB3"/>
    <w:rsid w:val="009B2315"/>
    <w:rsid w:val="009B5FEF"/>
    <w:rsid w:val="009B70DD"/>
    <w:rsid w:val="009C09E5"/>
    <w:rsid w:val="009C2126"/>
    <w:rsid w:val="009C4873"/>
    <w:rsid w:val="009C4D07"/>
    <w:rsid w:val="009C58DF"/>
    <w:rsid w:val="009C6EF6"/>
    <w:rsid w:val="009C758B"/>
    <w:rsid w:val="009C7CBB"/>
    <w:rsid w:val="009D0396"/>
    <w:rsid w:val="009D052D"/>
    <w:rsid w:val="009D132E"/>
    <w:rsid w:val="009D2B4A"/>
    <w:rsid w:val="009E22DE"/>
    <w:rsid w:val="009E58C1"/>
    <w:rsid w:val="009E7106"/>
    <w:rsid w:val="009F2563"/>
    <w:rsid w:val="009F3C42"/>
    <w:rsid w:val="009F5377"/>
    <w:rsid w:val="009F6386"/>
    <w:rsid w:val="009F6635"/>
    <w:rsid w:val="009F674B"/>
    <w:rsid w:val="00A01E1C"/>
    <w:rsid w:val="00A02DAB"/>
    <w:rsid w:val="00A12042"/>
    <w:rsid w:val="00A14E52"/>
    <w:rsid w:val="00A154E9"/>
    <w:rsid w:val="00A17D96"/>
    <w:rsid w:val="00A21A89"/>
    <w:rsid w:val="00A234BD"/>
    <w:rsid w:val="00A24A73"/>
    <w:rsid w:val="00A25031"/>
    <w:rsid w:val="00A26522"/>
    <w:rsid w:val="00A27599"/>
    <w:rsid w:val="00A337C3"/>
    <w:rsid w:val="00A35086"/>
    <w:rsid w:val="00A365FA"/>
    <w:rsid w:val="00A36A2F"/>
    <w:rsid w:val="00A401E2"/>
    <w:rsid w:val="00A44254"/>
    <w:rsid w:val="00A46BBB"/>
    <w:rsid w:val="00A46C34"/>
    <w:rsid w:val="00A47F8D"/>
    <w:rsid w:val="00A51884"/>
    <w:rsid w:val="00A5646E"/>
    <w:rsid w:val="00A573E1"/>
    <w:rsid w:val="00A575A8"/>
    <w:rsid w:val="00A57F26"/>
    <w:rsid w:val="00A609A4"/>
    <w:rsid w:val="00A643CA"/>
    <w:rsid w:val="00A650E6"/>
    <w:rsid w:val="00A6781C"/>
    <w:rsid w:val="00A71D0E"/>
    <w:rsid w:val="00A75213"/>
    <w:rsid w:val="00A77356"/>
    <w:rsid w:val="00A90489"/>
    <w:rsid w:val="00A9471A"/>
    <w:rsid w:val="00A96438"/>
    <w:rsid w:val="00AA4089"/>
    <w:rsid w:val="00AA4DEE"/>
    <w:rsid w:val="00AB169E"/>
    <w:rsid w:val="00AB3CCD"/>
    <w:rsid w:val="00AB40C1"/>
    <w:rsid w:val="00AB465D"/>
    <w:rsid w:val="00AB5435"/>
    <w:rsid w:val="00AB724D"/>
    <w:rsid w:val="00AC01F7"/>
    <w:rsid w:val="00AC23EC"/>
    <w:rsid w:val="00AC330D"/>
    <w:rsid w:val="00AD5FE8"/>
    <w:rsid w:val="00AD6050"/>
    <w:rsid w:val="00AD77BD"/>
    <w:rsid w:val="00AE3699"/>
    <w:rsid w:val="00AE4A0F"/>
    <w:rsid w:val="00AF3BFA"/>
    <w:rsid w:val="00AF492F"/>
    <w:rsid w:val="00B05BF9"/>
    <w:rsid w:val="00B062CF"/>
    <w:rsid w:val="00B06756"/>
    <w:rsid w:val="00B06AD5"/>
    <w:rsid w:val="00B1170D"/>
    <w:rsid w:val="00B14E7E"/>
    <w:rsid w:val="00B21B34"/>
    <w:rsid w:val="00B249D5"/>
    <w:rsid w:val="00B251E7"/>
    <w:rsid w:val="00B271A9"/>
    <w:rsid w:val="00B279E8"/>
    <w:rsid w:val="00B3193E"/>
    <w:rsid w:val="00B32885"/>
    <w:rsid w:val="00B34CAD"/>
    <w:rsid w:val="00B3633A"/>
    <w:rsid w:val="00B366B1"/>
    <w:rsid w:val="00B406E1"/>
    <w:rsid w:val="00B426F5"/>
    <w:rsid w:val="00B4606A"/>
    <w:rsid w:val="00B4627F"/>
    <w:rsid w:val="00B4785F"/>
    <w:rsid w:val="00B51966"/>
    <w:rsid w:val="00B51A0A"/>
    <w:rsid w:val="00B5209B"/>
    <w:rsid w:val="00B52151"/>
    <w:rsid w:val="00B52BE7"/>
    <w:rsid w:val="00B55D58"/>
    <w:rsid w:val="00B60B6E"/>
    <w:rsid w:val="00B6120F"/>
    <w:rsid w:val="00B6258E"/>
    <w:rsid w:val="00B64197"/>
    <w:rsid w:val="00B65D2A"/>
    <w:rsid w:val="00B706CD"/>
    <w:rsid w:val="00B80CB4"/>
    <w:rsid w:val="00B811D0"/>
    <w:rsid w:val="00B8665E"/>
    <w:rsid w:val="00B872E1"/>
    <w:rsid w:val="00B9299E"/>
    <w:rsid w:val="00B9329C"/>
    <w:rsid w:val="00B93DF8"/>
    <w:rsid w:val="00B944A4"/>
    <w:rsid w:val="00B95A4E"/>
    <w:rsid w:val="00BA2250"/>
    <w:rsid w:val="00BA2F92"/>
    <w:rsid w:val="00BA6D20"/>
    <w:rsid w:val="00BB1DA0"/>
    <w:rsid w:val="00BB234D"/>
    <w:rsid w:val="00BD3EC6"/>
    <w:rsid w:val="00BD5811"/>
    <w:rsid w:val="00BD7ED0"/>
    <w:rsid w:val="00BE05E8"/>
    <w:rsid w:val="00BF297C"/>
    <w:rsid w:val="00BF46A9"/>
    <w:rsid w:val="00C022C3"/>
    <w:rsid w:val="00C037BA"/>
    <w:rsid w:val="00C06272"/>
    <w:rsid w:val="00C07566"/>
    <w:rsid w:val="00C10BA7"/>
    <w:rsid w:val="00C11714"/>
    <w:rsid w:val="00C20C17"/>
    <w:rsid w:val="00C2352B"/>
    <w:rsid w:val="00C27947"/>
    <w:rsid w:val="00C27B53"/>
    <w:rsid w:val="00C30F01"/>
    <w:rsid w:val="00C323A7"/>
    <w:rsid w:val="00C32FE5"/>
    <w:rsid w:val="00C33086"/>
    <w:rsid w:val="00C352B4"/>
    <w:rsid w:val="00C358D6"/>
    <w:rsid w:val="00C361DB"/>
    <w:rsid w:val="00C36EE8"/>
    <w:rsid w:val="00C4571A"/>
    <w:rsid w:val="00C513DE"/>
    <w:rsid w:val="00C647FF"/>
    <w:rsid w:val="00C7087A"/>
    <w:rsid w:val="00C71ECF"/>
    <w:rsid w:val="00C72840"/>
    <w:rsid w:val="00C73A25"/>
    <w:rsid w:val="00C75A41"/>
    <w:rsid w:val="00C76DD6"/>
    <w:rsid w:val="00C77385"/>
    <w:rsid w:val="00C80019"/>
    <w:rsid w:val="00C8023B"/>
    <w:rsid w:val="00C81064"/>
    <w:rsid w:val="00C90253"/>
    <w:rsid w:val="00C90C02"/>
    <w:rsid w:val="00C90CF2"/>
    <w:rsid w:val="00C917C6"/>
    <w:rsid w:val="00C92B7D"/>
    <w:rsid w:val="00C966A9"/>
    <w:rsid w:val="00C97A1D"/>
    <w:rsid w:val="00CA0FAA"/>
    <w:rsid w:val="00CA1729"/>
    <w:rsid w:val="00CA7DE9"/>
    <w:rsid w:val="00CA7E30"/>
    <w:rsid w:val="00CB0ADE"/>
    <w:rsid w:val="00CB6A22"/>
    <w:rsid w:val="00CC323A"/>
    <w:rsid w:val="00CD1869"/>
    <w:rsid w:val="00CD195B"/>
    <w:rsid w:val="00CD5DBE"/>
    <w:rsid w:val="00CD6A13"/>
    <w:rsid w:val="00CD74F2"/>
    <w:rsid w:val="00CD7B19"/>
    <w:rsid w:val="00CE13EB"/>
    <w:rsid w:val="00CE6F53"/>
    <w:rsid w:val="00CE7533"/>
    <w:rsid w:val="00CF1E2F"/>
    <w:rsid w:val="00D04396"/>
    <w:rsid w:val="00D05FC1"/>
    <w:rsid w:val="00D06B67"/>
    <w:rsid w:val="00D108D0"/>
    <w:rsid w:val="00D10986"/>
    <w:rsid w:val="00D12F9A"/>
    <w:rsid w:val="00D15554"/>
    <w:rsid w:val="00D15EEC"/>
    <w:rsid w:val="00D163CC"/>
    <w:rsid w:val="00D20E4A"/>
    <w:rsid w:val="00D26C1C"/>
    <w:rsid w:val="00D3221E"/>
    <w:rsid w:val="00D32DF2"/>
    <w:rsid w:val="00D354B6"/>
    <w:rsid w:val="00D355BA"/>
    <w:rsid w:val="00D37611"/>
    <w:rsid w:val="00D42C44"/>
    <w:rsid w:val="00D42D86"/>
    <w:rsid w:val="00D42F75"/>
    <w:rsid w:val="00D43A77"/>
    <w:rsid w:val="00D45746"/>
    <w:rsid w:val="00D5090A"/>
    <w:rsid w:val="00D51DE3"/>
    <w:rsid w:val="00D53E75"/>
    <w:rsid w:val="00D55A49"/>
    <w:rsid w:val="00D57913"/>
    <w:rsid w:val="00D57C9C"/>
    <w:rsid w:val="00D62F77"/>
    <w:rsid w:val="00D65458"/>
    <w:rsid w:val="00D668F2"/>
    <w:rsid w:val="00D73DCA"/>
    <w:rsid w:val="00D76197"/>
    <w:rsid w:val="00D77184"/>
    <w:rsid w:val="00D828EE"/>
    <w:rsid w:val="00D82AB9"/>
    <w:rsid w:val="00D85677"/>
    <w:rsid w:val="00D874C8"/>
    <w:rsid w:val="00D90BF8"/>
    <w:rsid w:val="00D93529"/>
    <w:rsid w:val="00DA318C"/>
    <w:rsid w:val="00DA369C"/>
    <w:rsid w:val="00DA4106"/>
    <w:rsid w:val="00DA42FB"/>
    <w:rsid w:val="00DA5DD8"/>
    <w:rsid w:val="00DA684A"/>
    <w:rsid w:val="00DB43A4"/>
    <w:rsid w:val="00DB7086"/>
    <w:rsid w:val="00DC3929"/>
    <w:rsid w:val="00DC61F7"/>
    <w:rsid w:val="00DD1310"/>
    <w:rsid w:val="00DD1794"/>
    <w:rsid w:val="00DD1B3B"/>
    <w:rsid w:val="00DD28F7"/>
    <w:rsid w:val="00DD2B01"/>
    <w:rsid w:val="00DD4A29"/>
    <w:rsid w:val="00DD65D1"/>
    <w:rsid w:val="00DD7E88"/>
    <w:rsid w:val="00DD7EB6"/>
    <w:rsid w:val="00DE4717"/>
    <w:rsid w:val="00DE47F9"/>
    <w:rsid w:val="00DE5687"/>
    <w:rsid w:val="00DF30C4"/>
    <w:rsid w:val="00DF420E"/>
    <w:rsid w:val="00E02740"/>
    <w:rsid w:val="00E103AD"/>
    <w:rsid w:val="00E10C91"/>
    <w:rsid w:val="00E141E1"/>
    <w:rsid w:val="00E206B4"/>
    <w:rsid w:val="00E23869"/>
    <w:rsid w:val="00E2414D"/>
    <w:rsid w:val="00E2603B"/>
    <w:rsid w:val="00E30C5B"/>
    <w:rsid w:val="00E3285B"/>
    <w:rsid w:val="00E33DA1"/>
    <w:rsid w:val="00E33F91"/>
    <w:rsid w:val="00E35AAE"/>
    <w:rsid w:val="00E40DB6"/>
    <w:rsid w:val="00E43850"/>
    <w:rsid w:val="00E47A5F"/>
    <w:rsid w:val="00E50504"/>
    <w:rsid w:val="00E55E02"/>
    <w:rsid w:val="00E5717B"/>
    <w:rsid w:val="00E71475"/>
    <w:rsid w:val="00E72F9A"/>
    <w:rsid w:val="00E74C1C"/>
    <w:rsid w:val="00E77931"/>
    <w:rsid w:val="00E80743"/>
    <w:rsid w:val="00E85D31"/>
    <w:rsid w:val="00E86ADA"/>
    <w:rsid w:val="00E86AFE"/>
    <w:rsid w:val="00E87482"/>
    <w:rsid w:val="00E87863"/>
    <w:rsid w:val="00E87B81"/>
    <w:rsid w:val="00E96E22"/>
    <w:rsid w:val="00E97AF4"/>
    <w:rsid w:val="00EA0004"/>
    <w:rsid w:val="00EA0F7B"/>
    <w:rsid w:val="00EA10E6"/>
    <w:rsid w:val="00EA1523"/>
    <w:rsid w:val="00EA2689"/>
    <w:rsid w:val="00EA67A0"/>
    <w:rsid w:val="00EB13EE"/>
    <w:rsid w:val="00EB1DF6"/>
    <w:rsid w:val="00EB20A0"/>
    <w:rsid w:val="00EB2746"/>
    <w:rsid w:val="00EB3EAD"/>
    <w:rsid w:val="00EC03C7"/>
    <w:rsid w:val="00EC1B07"/>
    <w:rsid w:val="00EC1CC3"/>
    <w:rsid w:val="00EC21A6"/>
    <w:rsid w:val="00EC4A9E"/>
    <w:rsid w:val="00EC4D88"/>
    <w:rsid w:val="00ED190B"/>
    <w:rsid w:val="00ED3534"/>
    <w:rsid w:val="00EE0B89"/>
    <w:rsid w:val="00EE4AE5"/>
    <w:rsid w:val="00EF484B"/>
    <w:rsid w:val="00F011CC"/>
    <w:rsid w:val="00F05071"/>
    <w:rsid w:val="00F05788"/>
    <w:rsid w:val="00F07C2D"/>
    <w:rsid w:val="00F112A5"/>
    <w:rsid w:val="00F11950"/>
    <w:rsid w:val="00F13EE7"/>
    <w:rsid w:val="00F14C7A"/>
    <w:rsid w:val="00F20B9E"/>
    <w:rsid w:val="00F241D0"/>
    <w:rsid w:val="00F3024A"/>
    <w:rsid w:val="00F359C6"/>
    <w:rsid w:val="00F36573"/>
    <w:rsid w:val="00F43479"/>
    <w:rsid w:val="00F43DB9"/>
    <w:rsid w:val="00F454C6"/>
    <w:rsid w:val="00F4613C"/>
    <w:rsid w:val="00F536CA"/>
    <w:rsid w:val="00F54A8F"/>
    <w:rsid w:val="00F75DAF"/>
    <w:rsid w:val="00F76204"/>
    <w:rsid w:val="00F76A6B"/>
    <w:rsid w:val="00F83CA3"/>
    <w:rsid w:val="00F8765B"/>
    <w:rsid w:val="00F93C52"/>
    <w:rsid w:val="00F94709"/>
    <w:rsid w:val="00F9503D"/>
    <w:rsid w:val="00FA01A9"/>
    <w:rsid w:val="00FA2CB9"/>
    <w:rsid w:val="00FA70E3"/>
    <w:rsid w:val="00FB1603"/>
    <w:rsid w:val="00FB7198"/>
    <w:rsid w:val="00FC114D"/>
    <w:rsid w:val="00FC6358"/>
    <w:rsid w:val="00FD0B9B"/>
    <w:rsid w:val="00FD0DEE"/>
    <w:rsid w:val="00FD0EFF"/>
    <w:rsid w:val="00FD1987"/>
    <w:rsid w:val="00FD29DA"/>
    <w:rsid w:val="00FD316E"/>
    <w:rsid w:val="00FE1096"/>
    <w:rsid w:val="00FE41C5"/>
    <w:rsid w:val="00FE75A3"/>
    <w:rsid w:val="00FF06CE"/>
    <w:rsid w:val="00FF0D7C"/>
    <w:rsid w:val="00FF1EF8"/>
    <w:rsid w:val="00FF48C2"/>
    <w:rsid w:val="00FF7507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D1AA88"/>
  <w15:chartTrackingRefBased/>
  <w15:docId w15:val="{02E7E9E5-A89F-4E58-94C3-B09C634F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ine number"/>
    <w:qFormat/>
    <w:rsid w:val="005865B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8F6E6A"/>
    <w:pPr>
      <w:spacing w:after="0"/>
      <w:jc w:val="center"/>
    </w:pPr>
    <w:rPr>
      <w:rFonts w:ascii="Calibri" w:hAnsi="Calibri" w:cs="Calibri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F6E6A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F6E6A"/>
    <w:pPr>
      <w:spacing w:line="240" w:lineRule="auto"/>
    </w:pPr>
    <w:rPr>
      <w:rFonts w:ascii="Calibri" w:hAnsi="Calibri" w:cs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8F6E6A"/>
    <w:rPr>
      <w:rFonts w:ascii="Calibri" w:hAnsi="Calibri" w:cs="Calibri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042"/>
    <w:rPr>
      <w:rFonts w:ascii="Segoe UI" w:hAnsi="Segoe UI" w:cs="Segoe UI"/>
      <w:sz w:val="18"/>
      <w:szCs w:val="18"/>
    </w:rPr>
  </w:style>
  <w:style w:type="character" w:styleId="Hyperlink">
    <w:name w:val="Hyperlink"/>
    <w:rsid w:val="007D0CE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1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9F2"/>
  </w:style>
  <w:style w:type="paragraph" w:styleId="Footer">
    <w:name w:val="footer"/>
    <w:basedOn w:val="Normal"/>
    <w:link w:val="FooterChar"/>
    <w:uiPriority w:val="99"/>
    <w:unhideWhenUsed/>
    <w:rsid w:val="00881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9F2"/>
  </w:style>
  <w:style w:type="paragraph" w:styleId="NormalWeb">
    <w:name w:val="Normal (Web)"/>
    <w:basedOn w:val="Normal"/>
    <w:uiPriority w:val="99"/>
    <w:unhideWhenUsed/>
    <w:rsid w:val="002E2E2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9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neNumber">
    <w:name w:val="line number"/>
    <w:basedOn w:val="DefaultParagraphFont"/>
    <w:uiPriority w:val="99"/>
    <w:semiHidden/>
    <w:unhideWhenUsed/>
    <w:rsid w:val="005865BA"/>
  </w:style>
  <w:style w:type="paragraph" w:customStyle="1" w:styleId="SupplementaryMaterial">
    <w:name w:val="Supplementary Material"/>
    <w:basedOn w:val="Title"/>
    <w:next w:val="Title"/>
    <w:qFormat/>
    <w:rsid w:val="004A6644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27201-4397-49B9-84E9-BDE00088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NIH\NIAID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Ambegaonkar, Abhijit (NIH/NIAID) [F]</dc:creator>
  <cp:keywords/>
  <dc:description/>
  <cp:lastModifiedBy>Frontiers Media SA</cp:lastModifiedBy>
  <cp:revision>3</cp:revision>
  <cp:lastPrinted>2018-08-07T20:43:00Z</cp:lastPrinted>
  <dcterms:created xsi:type="dcterms:W3CDTF">2019-04-10T09:34:00Z</dcterms:created>
  <dcterms:modified xsi:type="dcterms:W3CDTF">2019-04-10T09:35:00Z</dcterms:modified>
</cp:coreProperties>
</file>