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8AD7" w14:textId="1EB80F5B" w:rsidR="00597041" w:rsidRDefault="00597041" w:rsidP="00597041">
      <w:pPr>
        <w:snapToGrid w:val="0"/>
        <w:spacing w:beforeLines="120" w:before="288" w:afterLines="240" w:after="576"/>
        <w:contextualSpacing/>
        <w:jc w:val="both"/>
        <w:rPr>
          <w:color w:val="000000"/>
        </w:rPr>
      </w:pPr>
      <w:r w:rsidRPr="00F521BD">
        <w:rPr>
          <w:b/>
          <w:color w:val="000000"/>
        </w:rPr>
        <w:t>Supplementary table 1. Variants with suggestive association</w:t>
      </w:r>
      <w:r w:rsidR="00F521BD" w:rsidRPr="00F521BD">
        <w:rPr>
          <w:b/>
          <w:color w:val="000000"/>
        </w:rPr>
        <w:t xml:space="preserve"> </w:t>
      </w:r>
      <w:r w:rsidR="00F521BD" w:rsidRPr="00F521BD">
        <w:rPr>
          <w:b/>
          <w:color w:val="000000"/>
        </w:rPr>
        <w:t>(p&lt;1x10</w:t>
      </w:r>
      <w:r w:rsidR="00F521BD" w:rsidRPr="00F521BD">
        <w:rPr>
          <w:b/>
          <w:color w:val="000000"/>
          <w:vertAlign w:val="superscript"/>
        </w:rPr>
        <w:t>-5</w:t>
      </w:r>
      <w:r w:rsidR="00F521BD" w:rsidRPr="00F521BD">
        <w:rPr>
          <w:b/>
          <w:color w:val="000000"/>
        </w:rPr>
        <w:t>)</w:t>
      </w:r>
      <w:r w:rsidRPr="00F521BD">
        <w:rPr>
          <w:b/>
          <w:color w:val="000000"/>
        </w:rPr>
        <w:t xml:space="preserve"> with OP-MG or control MG</w:t>
      </w:r>
      <w:r w:rsidRPr="00E80348">
        <w:rPr>
          <w:color w:val="000000"/>
        </w:rPr>
        <w:t xml:space="preserve"> </w:t>
      </w:r>
    </w:p>
    <w:p w14:paraId="5C799542" w14:textId="77777777" w:rsidR="00F521BD" w:rsidRPr="00E80348" w:rsidRDefault="00F521BD" w:rsidP="00597041">
      <w:pPr>
        <w:snapToGrid w:val="0"/>
        <w:spacing w:beforeLines="120" w:before="288" w:afterLines="240" w:after="576"/>
        <w:contextualSpacing/>
        <w:jc w:val="both"/>
        <w:rPr>
          <w:color w:val="00000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910"/>
        <w:gridCol w:w="1176"/>
        <w:gridCol w:w="1418"/>
        <w:gridCol w:w="1559"/>
        <w:gridCol w:w="2259"/>
      </w:tblGrid>
      <w:tr w:rsidR="00597041" w:rsidRPr="00E80348" w14:paraId="4C54FF99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6E9D003E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rsID</w:t>
            </w:r>
            <w:proofErr w:type="spellEnd"/>
          </w:p>
        </w:tc>
        <w:tc>
          <w:tcPr>
            <w:tcW w:w="1910" w:type="dxa"/>
            <w:shd w:val="clear" w:color="auto" w:fill="auto"/>
            <w:vAlign w:val="center"/>
          </w:tcPr>
          <w:p w14:paraId="181F35D3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location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609754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OP-MG MAF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A236C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control MG MAF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D98A9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African control freq</w:t>
            </w:r>
            <w:r w:rsidRPr="00F521BD">
              <w:rPr>
                <w:b/>
                <w:color w:val="000000"/>
                <w:sz w:val="22"/>
                <w:szCs w:val="22"/>
                <w:vertAlign w:val="superscript"/>
                <w:lang w:eastAsia="zh-CN" w:bidi="hi-IN"/>
              </w:rPr>
              <w:t>1,2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3E67CF7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b/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b/>
                <w:color w:val="000000"/>
                <w:sz w:val="22"/>
                <w:szCs w:val="22"/>
                <w:lang w:eastAsia="zh-CN" w:bidi="hi-IN"/>
              </w:rPr>
              <w:t>Gene (location)</w:t>
            </w:r>
          </w:p>
        </w:tc>
      </w:tr>
      <w:tr w:rsidR="00597041" w:rsidRPr="00E80348" w14:paraId="369CD325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73DE71B0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rs12172905 G&gt;A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7BC565D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chr2:190403536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F49F724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AF33F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A98D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0.20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BDF751E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MFSD6 (upstream)</w:t>
            </w:r>
          </w:p>
        </w:tc>
      </w:tr>
      <w:tr w:rsidR="00597041" w:rsidRPr="00E80348" w14:paraId="121BEBAE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395D04B7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rs1566487 A&gt;G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8AA4E4" w14:textId="77777777" w:rsidR="00597041" w:rsidRPr="00F521BD" w:rsidRDefault="00A50794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hyperlink r:id="rId5" w:history="1">
              <w:r w:rsidR="00597041" w:rsidRPr="00F521BD">
                <w:rPr>
                  <w:rStyle w:val="Hyperlink"/>
                  <w:color w:val="000000"/>
                  <w:sz w:val="22"/>
                  <w:szCs w:val="22"/>
                  <w:lang w:eastAsia="zh-CN" w:bidi="hi-IN"/>
                </w:rPr>
                <w:t>chr</w:t>
              </w:r>
              <w:r w:rsidR="00597041" w:rsidRPr="00F521BD">
                <w:rPr>
                  <w:rStyle w:val="Hyperlink"/>
                  <w:bCs/>
                  <w:color w:val="000000"/>
                  <w:sz w:val="22"/>
                  <w:szCs w:val="22"/>
                  <w:lang w:eastAsia="zh-CN" w:bidi="hi-IN"/>
                </w:rPr>
                <w:t>3:56813803</w:t>
              </w:r>
            </w:hyperlink>
          </w:p>
        </w:tc>
        <w:tc>
          <w:tcPr>
            <w:tcW w:w="1176" w:type="dxa"/>
            <w:shd w:val="clear" w:color="auto" w:fill="auto"/>
            <w:vAlign w:val="center"/>
          </w:tcPr>
          <w:p w14:paraId="21E49273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31487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75536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0.28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E1CCE1C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ARHGEF3 (intron)</w:t>
            </w:r>
          </w:p>
        </w:tc>
      </w:tr>
      <w:tr w:rsidR="00597041" w:rsidRPr="00E80348" w14:paraId="405EDECF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42D2E14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rs4946675 C&gt;G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44D941F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chr</w:t>
            </w:r>
            <w:r w:rsidRPr="00F521BD">
              <w:rPr>
                <w:bCs/>
                <w:color w:val="000000"/>
                <w:sz w:val="22"/>
                <w:szCs w:val="22"/>
                <w:lang w:eastAsia="zh-CN" w:bidi="hi-IN"/>
              </w:rPr>
              <w:t>6:105620951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F3867D2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38EC0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6B3BA" w14:textId="77777777" w:rsidR="00F521BD" w:rsidRDefault="00F521BD" w:rsidP="00F521BD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</w:p>
          <w:p w14:paraId="74B852E0" w14:textId="77777777" w:rsidR="00F521BD" w:rsidRDefault="00F521BD" w:rsidP="00F521BD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</w:p>
          <w:p w14:paraId="77B81CB6" w14:textId="56D99866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0.42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D325E77" w14:textId="77777777" w:rsidR="00597041" w:rsidRPr="00F521BD" w:rsidRDefault="00597041" w:rsidP="00F521BD">
            <w:pPr>
              <w:pStyle w:val="Heading1"/>
              <w:snapToGrid w:val="0"/>
              <w:spacing w:beforeLines="120" w:before="288" w:afterLines="240" w:after="576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F521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lincRNA </w:t>
            </w:r>
            <w:r w:rsidRPr="00F521B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Z97206.2 </w:t>
            </w:r>
            <w:r w:rsidRPr="00F521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(intron)</w:t>
            </w:r>
          </w:p>
        </w:tc>
      </w:tr>
      <w:tr w:rsidR="00597041" w:rsidRPr="00E80348" w14:paraId="6982C60A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296947A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 xml:space="preserve">rs201559392 </w:t>
            </w:r>
            <w:r w:rsidRPr="00F521BD">
              <w:rPr>
                <w:bCs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TCCAT</w:t>
            </w:r>
            <w:r w:rsidRPr="00F521BD">
              <w:rPr>
                <w:bCs/>
                <w:color w:val="000000"/>
                <w:sz w:val="22"/>
                <w:szCs w:val="22"/>
                <w:lang w:eastAsia="zh-CN" w:bidi="hi-IN"/>
              </w:rPr>
              <w:t>/</w:t>
            </w:r>
            <w:r w:rsidRPr="00F521BD">
              <w:rPr>
                <w:bCs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-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CAC7AA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sz w:val="22"/>
                <w:szCs w:val="22"/>
                <w:lang w:eastAsia="zh-CN" w:bidi="hi-IN"/>
              </w:rPr>
            </w:pPr>
            <w:r w:rsidRPr="00F521BD">
              <w:rPr>
                <w:sz w:val="22"/>
                <w:szCs w:val="22"/>
                <w:lang w:eastAsia="zh-CN" w:bidi="hi-IN"/>
              </w:rPr>
              <w:t>chr</w:t>
            </w:r>
            <w:r w:rsidRPr="00F521BD">
              <w:rPr>
                <w:bCs/>
                <w:sz w:val="22"/>
                <w:szCs w:val="22"/>
                <w:lang w:eastAsia="zh-CN" w:bidi="hi-IN"/>
              </w:rPr>
              <w:t>10:38784347-38784351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5A9934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42E92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B3FE0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0.50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57E4DFD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intergenic</w:t>
            </w:r>
          </w:p>
        </w:tc>
      </w:tr>
      <w:tr w:rsidR="00597041" w:rsidRPr="00E80348" w14:paraId="5580AB9F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58F45362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rs8062164 (C&gt;G)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2FCA11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sz w:val="22"/>
                <w:szCs w:val="22"/>
                <w:lang w:eastAsia="zh-CN" w:bidi="hi-IN"/>
              </w:rPr>
            </w:pPr>
            <w:r w:rsidRPr="00F521BD">
              <w:rPr>
                <w:sz w:val="22"/>
                <w:szCs w:val="22"/>
                <w:lang w:eastAsia="zh-CN" w:bidi="hi-IN"/>
              </w:rPr>
              <w:t>chr</w:t>
            </w:r>
            <w:r w:rsidRPr="00F521BD">
              <w:rPr>
                <w:bCs/>
                <w:sz w:val="22"/>
                <w:szCs w:val="22"/>
                <w:lang w:eastAsia="zh-CN" w:bidi="hi-IN"/>
              </w:rPr>
              <w:t>16:85269617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467C47F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9F935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A1B28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0.67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C08A26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GSE1 (intron)</w:t>
            </w:r>
          </w:p>
        </w:tc>
      </w:tr>
      <w:tr w:rsidR="00597041" w:rsidRPr="00E80348" w14:paraId="67ED2867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4444C81B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rs13338394 (C&gt;T)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DBD8961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sz w:val="22"/>
                <w:szCs w:val="22"/>
                <w:lang w:eastAsia="zh-CN" w:bidi="hi-IN"/>
              </w:rPr>
            </w:pPr>
            <w:r w:rsidRPr="00F521BD">
              <w:rPr>
                <w:sz w:val="22"/>
                <w:szCs w:val="22"/>
                <w:lang w:eastAsia="zh-CN" w:bidi="hi-IN"/>
              </w:rPr>
              <w:t>chr</w:t>
            </w:r>
            <w:r w:rsidRPr="00F521BD">
              <w:rPr>
                <w:bCs/>
                <w:sz w:val="22"/>
                <w:szCs w:val="22"/>
                <w:lang w:eastAsia="zh-CN" w:bidi="hi-IN"/>
              </w:rPr>
              <w:t>16:85269814</w:t>
            </w:r>
            <w:r w:rsidRPr="00F521BD">
              <w:rPr>
                <w:rStyle w:val="apple-converted-space"/>
                <w:rFonts w:eastAsia="Noto Sans CJK SC Regular"/>
                <w:color w:val="666666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4C125A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8BE72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ED449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0.62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02C931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GSE1 (intron)</w:t>
            </w:r>
          </w:p>
        </w:tc>
      </w:tr>
      <w:tr w:rsidR="00597041" w:rsidRPr="00E80348" w14:paraId="62E6575C" w14:textId="77777777" w:rsidTr="00F521BD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14:paraId="1033DBD3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rs2603698 (C&gt;T)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84F06A" w14:textId="77777777" w:rsidR="00597041" w:rsidRPr="00F521BD" w:rsidRDefault="00597041" w:rsidP="00F521BD">
            <w:pPr>
              <w:snapToGrid w:val="0"/>
              <w:spacing w:beforeLines="120" w:before="288" w:afterLines="240" w:after="576"/>
              <w:contextualSpacing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chr</w:t>
            </w:r>
            <w:r w:rsidRPr="00F521BD">
              <w:rPr>
                <w:bCs/>
                <w:color w:val="000000"/>
                <w:sz w:val="22"/>
                <w:szCs w:val="22"/>
                <w:lang w:eastAsia="zh-CN" w:bidi="hi-IN"/>
              </w:rPr>
              <w:t>19:55098006</w:t>
            </w:r>
            <w:r w:rsidRPr="00F521BD">
              <w:rPr>
                <w:rStyle w:val="apple-converted-space"/>
                <w:rFonts w:eastAsia="Noto Sans CJK SC Regular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07E646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A0E7C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A52AF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0.30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32E0C9" w14:textId="77777777" w:rsidR="00597041" w:rsidRPr="00F521BD" w:rsidRDefault="00597041" w:rsidP="0005743F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F521BD">
              <w:rPr>
                <w:color w:val="000000"/>
                <w:sz w:val="22"/>
                <w:szCs w:val="22"/>
                <w:lang w:eastAsia="zh-CN" w:bidi="hi-IN"/>
              </w:rPr>
              <w:t>PPP1R12C (intron)</w:t>
            </w:r>
          </w:p>
        </w:tc>
      </w:tr>
    </w:tbl>
    <w:p w14:paraId="39B2442E" w14:textId="59754966" w:rsidR="00A50794" w:rsidRDefault="00A50794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38DBA1B" w14:textId="77777777" w:rsidR="00A50794" w:rsidRDefault="00A50794">
      <w:pPr>
        <w:rPr>
          <w:rFonts w:eastAsia="Noto Sans CJK SC Regular"/>
          <w:color w:val="000000"/>
          <w:lang w:eastAsia="zh-CN" w:bidi="hi-IN"/>
        </w:rPr>
      </w:pPr>
      <w:r>
        <w:rPr>
          <w:color w:val="000000"/>
        </w:rPr>
        <w:br w:type="page"/>
      </w:r>
    </w:p>
    <w:p w14:paraId="06EE77CC" w14:textId="2A841246" w:rsidR="00597041" w:rsidRDefault="00597041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0794">
        <w:rPr>
          <w:rFonts w:ascii="Times New Roman" w:hAnsi="Times New Roman" w:cs="Times New Roman"/>
          <w:b/>
          <w:color w:val="000000"/>
        </w:rPr>
        <w:lastRenderedPageBreak/>
        <w:t>Supplementary table 2.</w:t>
      </w:r>
      <w:r w:rsidR="00963F45" w:rsidRPr="00A50794">
        <w:rPr>
          <w:rFonts w:ascii="Times New Roman" w:hAnsi="Times New Roman" w:cs="Times New Roman"/>
          <w:b/>
          <w:color w:val="000000"/>
        </w:rPr>
        <w:t xml:space="preserve"> Custom pathways interrogated by VEGAS2 pathway analysis</w:t>
      </w:r>
    </w:p>
    <w:p w14:paraId="27BDE325" w14:textId="77777777" w:rsidR="00A50794" w:rsidRPr="00E80348" w:rsidRDefault="00A50794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5339"/>
      </w:tblGrid>
      <w:tr w:rsidR="00597041" w:rsidRPr="00E80348" w14:paraId="5907D8FD" w14:textId="77777777" w:rsidTr="00D007BC">
        <w:trPr>
          <w:trHeight w:val="12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7693D8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Custom pathway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28AEE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Observed 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88E8D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Empirical p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35CA6A9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3172A4" w14:textId="42654D8B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Genes in pathway</w:t>
            </w:r>
          </w:p>
        </w:tc>
      </w:tr>
      <w:tr w:rsidR="00597041" w:rsidRPr="00E80348" w14:paraId="11EE741A" w14:textId="77777777" w:rsidTr="00D007B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1C52D4" w14:textId="77777777" w:rsidR="00597041" w:rsidRPr="00A50794" w:rsidRDefault="00597041" w:rsidP="00A50794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 expression changes in differentiating myoblasts from mouse EOM</w:t>
            </w: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25E96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5B450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0D10341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A139CF4" w14:textId="2F335F05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2D78E4CE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NID1, DLX1, SHOX2, EREG, GSTA2, TWIST1, SLC38A4, PRKCB, MYH8, MRC2, SERPINB2, IL12RB1, BLVRB, KCNN4</w:t>
            </w:r>
          </w:p>
        </w:tc>
      </w:tr>
      <w:tr w:rsidR="00597041" w:rsidRPr="00E80348" w14:paraId="6E1383DA" w14:textId="77777777" w:rsidTr="00D007B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E8C4F1" w14:textId="77777777" w:rsidR="00597041" w:rsidRPr="00A50794" w:rsidRDefault="00597041" w:rsidP="00A50794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 expression changes in mouse ocular fibroblasts</w:t>
            </w: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80D92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5DBD8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F9719C4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28D6078" w14:textId="390FD625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64BAD1E7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DDAH1, NES, FMO2, LMOD1, MYBPH, CNTN2, ACTA1, RASGRP3, VIT, CYP26B1, ACTG2, HNMT, NEB, CHRNA1, FRZB, MYL1, IGFBP2, DNER, KIF1A, RARB, MAPKAPK3, COL8A1, MASP1, TLR1, RASSF6, PLAC8, SNCA, PITX2, PDE5A, IL15, TLL1, SORBS2, NKD2, NPR3, LRRTM2, SERPINB9, CDKN1A, GSTA3, CD109, SLC35F1, LAMA2, CTGF, VNN1, PERP, SOSTDC1, IL6, AQP1, BMPER, HSPB1, SERPINE1, EPHX2, ADRB3, SNTG1, STMN2, FABP4, TNFRSF11B, PTPLAD2, ALDH1A1, SYK, PALM2, ANXA8, ACTA2, ANKRD1, ENTPD1, SLC22A18, PDE2A, PRSS23, GRIA4, MFRP, FLI1, ACVRL1, WIF1, PTPRB, GLIPR1, NTN4, CMKLR1, SMOC1, ACTC1, ALDH1A2, TLN2, MYLPF, HP, MYH3, PMAIP1, SLC1A6, CLEC11A, TNNT1, PEG3, LBP, WISP2, TNNC2, EYA2, SH3BGR</w:t>
            </w:r>
          </w:p>
        </w:tc>
      </w:tr>
      <w:tr w:rsidR="00597041" w:rsidRPr="00E80348" w14:paraId="4E0FBCAF" w14:textId="77777777" w:rsidTr="00D007B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B6227A" w14:textId="77777777" w:rsidR="00597041" w:rsidRPr="00A50794" w:rsidRDefault="00597041" w:rsidP="00A50794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 expression changes in rat EOM following passive EAMG</w:t>
            </w: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58BE5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0.999</w:t>
            </w:r>
          </w:p>
          <w:p w14:paraId="1FE4A77C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0AFA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0.958</w:t>
            </w:r>
          </w:p>
          <w:p w14:paraId="1083E4E0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39" w:type="dxa"/>
            <w:shd w:val="clear" w:color="auto" w:fill="auto"/>
            <w:vAlign w:val="center"/>
          </w:tcPr>
          <w:p w14:paraId="2EF026DD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KIF1B, C1QB, PTAFR, LAPTM5, DBT, CD53, RAB13, CRABP2, SOAT1, MYBPH, GRB14, FN1, CCL20, COLQ, NR1D2, SCN5A, CCR1, ST3GAL6, MASP1, KDR, CXCL9, EGF, GHR, EMB, CD14, CD74, GM2A, C2, PSMB8, SLC35B2, TINAG, ENPP3, AKAP12, ARPC1B, NOV, SQLE, JAK2, NINJ1, TNC, NEK6, COMMD3, CREM, PPIF, ADM, SPON1, MYOD1, CD44, CPT1A, IL18, APOBEC1, A2M, MGP, IGF1, SCARB1, ALOX5AP, MYH6, GPX2, EHD4, ALDH1A2, CIB1, IGSF6, CYBA, DUSP3, LGALS3BP, SECTM1, RAB3A, FXYD5, TYROBP, EMP3, PANK2, HCK, CSTB, BID, ACO2</w:t>
            </w:r>
          </w:p>
        </w:tc>
      </w:tr>
      <w:tr w:rsidR="00597041" w:rsidRPr="00E80348" w14:paraId="5EE6B228" w14:textId="77777777" w:rsidTr="00D007B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C65B97" w14:textId="77777777" w:rsidR="00597041" w:rsidRPr="00A50794" w:rsidRDefault="00597041" w:rsidP="00A50794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 expression changes in rat EOM following active EAMG</w:t>
            </w: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49DC6" w14:textId="77777777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4E04A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D1F3C9E" w14:textId="77777777" w:rsidR="00A50794" w:rsidRDefault="00A50794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C15A0AD" w14:textId="292D6242" w:rsidR="00597041" w:rsidRPr="00A50794" w:rsidRDefault="00597041" w:rsidP="00D007BC">
            <w:pPr>
              <w:pStyle w:val="BodyText"/>
              <w:snapToGrid w:val="0"/>
              <w:spacing w:beforeLines="120" w:before="288" w:afterLines="240" w:after="576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0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4C1EE7B" w14:textId="77777777" w:rsidR="00597041" w:rsidRPr="00A50794" w:rsidRDefault="00597041" w:rsidP="00D007BC">
            <w:pPr>
              <w:snapToGrid w:val="0"/>
              <w:spacing w:beforeLines="120" w:before="288" w:afterLines="240" w:after="576"/>
              <w:contextualSpacing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 w:rsidRPr="00A50794">
              <w:rPr>
                <w:color w:val="000000"/>
                <w:sz w:val="22"/>
                <w:szCs w:val="22"/>
                <w:lang w:eastAsia="zh-CN" w:bidi="hi-IN"/>
              </w:rPr>
              <w:t>S100A9, TPM3, FMO3, CTSE, LAMB3, SMYD2, TMEM37, CHRNA1, NPPC, HDAC4, ST3GAL6, AADAC, EHHADH, BDH1, SPP1, HMP19, TINAG, FABP5, PTGDS, CXCL12, ACSL5, FOLR1, DGAT2, THRSP, ZBTB16, MGP, MGST1, DYRK2, TNFRSF19, DCT, CLDN10, ACSBG1, CES3, RASD1, CCL2, SPHK1, FASN, C3, KLK7, CEBPB, RUNX1</w:t>
            </w:r>
          </w:p>
        </w:tc>
      </w:tr>
    </w:tbl>
    <w:p w14:paraId="534DA1B0" w14:textId="77777777" w:rsidR="00597041" w:rsidRDefault="00597041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E80348">
        <w:rPr>
          <w:rFonts w:ascii="Times New Roman" w:hAnsi="Times New Roman" w:cs="Times New Roman"/>
          <w:color w:val="000000"/>
        </w:rPr>
        <w:t xml:space="preserve">EAMG=experimentally acquired myasthenia gravis. 1. </w:t>
      </w:r>
      <w:bookmarkStart w:id="0" w:name="_GoBack"/>
      <w:bookmarkEnd w:id="0"/>
      <w:r w:rsidR="003F52BF" w:rsidRPr="003F52BF">
        <w:rPr>
          <w:rFonts w:ascii="Times New Roman" w:hAnsi="Times New Roman" w:cs="Times New Roman"/>
          <w:noProof/>
          <w:color w:val="000000"/>
        </w:rPr>
        <w:t>(Porter et al., 2006)</w:t>
      </w:r>
      <w:r w:rsidRPr="00E80348">
        <w:rPr>
          <w:rFonts w:ascii="Times New Roman" w:hAnsi="Times New Roman" w:cs="Times New Roman"/>
          <w:color w:val="000000"/>
        </w:rPr>
        <w:t xml:space="preserve">. 2. </w:t>
      </w:r>
      <w:r w:rsidR="003F52BF" w:rsidRPr="003F52BF">
        <w:rPr>
          <w:rFonts w:ascii="Times New Roman" w:hAnsi="Times New Roman" w:cs="Times New Roman"/>
          <w:noProof/>
          <w:color w:val="000000"/>
        </w:rPr>
        <w:t>(Kusner et al., 2010)</w:t>
      </w:r>
      <w:r w:rsidRPr="00E80348">
        <w:rPr>
          <w:rFonts w:ascii="Times New Roman" w:hAnsi="Times New Roman" w:cs="Times New Roman"/>
          <w:color w:val="000000"/>
        </w:rPr>
        <w:t xml:space="preserve">. 3. </w:t>
      </w:r>
      <w:r w:rsidR="003F52BF" w:rsidRPr="003F52BF">
        <w:rPr>
          <w:rFonts w:ascii="Times New Roman" w:hAnsi="Times New Roman" w:cs="Times New Roman"/>
          <w:noProof/>
          <w:color w:val="000000"/>
        </w:rPr>
        <w:t>(Zhou et al., 2014)</w:t>
      </w:r>
      <w:r w:rsidRPr="00E80348">
        <w:rPr>
          <w:rFonts w:ascii="Times New Roman" w:hAnsi="Times New Roman" w:cs="Times New Roman"/>
          <w:color w:val="000000"/>
        </w:rPr>
        <w:t xml:space="preserve">. 4. </w:t>
      </w:r>
      <w:r w:rsidR="00DD1424" w:rsidRPr="00DD1424">
        <w:rPr>
          <w:rFonts w:ascii="Times New Roman" w:hAnsi="Times New Roman" w:cs="Times New Roman"/>
          <w:noProof/>
          <w:color w:val="000000"/>
        </w:rPr>
        <w:t>(Kaminski et al., 2016)</w:t>
      </w:r>
      <w:r w:rsidRPr="00E80348">
        <w:rPr>
          <w:rFonts w:ascii="Times New Roman" w:hAnsi="Times New Roman" w:cs="Times New Roman"/>
          <w:color w:val="000000"/>
        </w:rPr>
        <w:t>.</w:t>
      </w:r>
    </w:p>
    <w:p w14:paraId="6440D220" w14:textId="77777777" w:rsidR="00597041" w:rsidRDefault="00597041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5C9F2C3" w14:textId="77777777" w:rsidR="00597041" w:rsidRPr="00963F45" w:rsidRDefault="00597041" w:rsidP="00597041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963F45">
        <w:rPr>
          <w:rFonts w:ascii="Times New Roman" w:hAnsi="Times New Roman" w:cs="Times New Roman"/>
          <w:b/>
          <w:color w:val="000000"/>
        </w:rPr>
        <w:t>References</w:t>
      </w:r>
    </w:p>
    <w:p w14:paraId="4F72F436" w14:textId="77777777" w:rsidR="00963F45" w:rsidRPr="00963F45" w:rsidRDefault="00963F45" w:rsidP="00963F45">
      <w:pPr>
        <w:widowControl w:val="0"/>
        <w:autoSpaceDE w:val="0"/>
        <w:autoSpaceDN w:val="0"/>
        <w:adjustRightInd w:val="0"/>
        <w:spacing w:before="280" w:after="580"/>
        <w:ind w:left="480" w:hanging="480"/>
        <w:contextualSpacing/>
        <w:rPr>
          <w:noProof/>
          <w:lang w:val="en-US"/>
        </w:rPr>
      </w:pPr>
      <w:r w:rsidRPr="00963F45">
        <w:rPr>
          <w:noProof/>
          <w:lang w:val="en-US"/>
        </w:rPr>
        <w:t xml:space="preserve">Kaminski, H. J., Himuro, K., Alshaikh, J., Gong, B., Cheng, G., and Kusner, L. L. (2016). Differential RNA Expression Profile of Skeletal Muscle Induced by Experimental Autoimmune Myasthenia Gravis in Rats. </w:t>
      </w:r>
      <w:r w:rsidRPr="00963F45">
        <w:rPr>
          <w:i/>
          <w:iCs/>
          <w:noProof/>
          <w:lang w:val="en-US"/>
        </w:rPr>
        <w:t>Front. Physiol.</w:t>
      </w:r>
      <w:r w:rsidRPr="00963F45">
        <w:rPr>
          <w:noProof/>
          <w:lang w:val="en-US"/>
        </w:rPr>
        <w:t xml:space="preserve"> 7, 524. doi:10.3389/fphys.2016.00524.</w:t>
      </w:r>
    </w:p>
    <w:p w14:paraId="080F9F80" w14:textId="77777777" w:rsidR="00963F45" w:rsidRPr="00963F45" w:rsidRDefault="00963F45" w:rsidP="00963F45">
      <w:pPr>
        <w:widowControl w:val="0"/>
        <w:autoSpaceDE w:val="0"/>
        <w:autoSpaceDN w:val="0"/>
        <w:adjustRightInd w:val="0"/>
        <w:spacing w:before="280" w:after="580"/>
        <w:ind w:left="480" w:hanging="480"/>
        <w:contextualSpacing/>
        <w:rPr>
          <w:noProof/>
          <w:lang w:val="en-US"/>
        </w:rPr>
      </w:pPr>
      <w:r w:rsidRPr="00963F45">
        <w:rPr>
          <w:noProof/>
          <w:lang w:val="en-US"/>
        </w:rPr>
        <w:t xml:space="preserve">Kusner, L. L., Young, A., Tjoe, S., Leahy, P., and Kaminski, H. J. (2010). Perimysial fibroblasts of extraocular muscle, as unique as the muscle fibers. </w:t>
      </w:r>
      <w:r w:rsidRPr="00963F45">
        <w:rPr>
          <w:i/>
          <w:iCs/>
          <w:noProof/>
          <w:lang w:val="en-US"/>
        </w:rPr>
        <w:t>Invest. Ophthalmol. Vis. Sci.</w:t>
      </w:r>
      <w:r w:rsidRPr="00963F45">
        <w:rPr>
          <w:noProof/>
          <w:lang w:val="en-US"/>
        </w:rPr>
        <w:t xml:space="preserve"> 51, 192–200. doi:10.1167/iovs.08-2857.</w:t>
      </w:r>
    </w:p>
    <w:p w14:paraId="5A66A9D8" w14:textId="77777777" w:rsidR="00963F45" w:rsidRPr="00963F45" w:rsidRDefault="00963F45" w:rsidP="00963F45">
      <w:pPr>
        <w:widowControl w:val="0"/>
        <w:autoSpaceDE w:val="0"/>
        <w:autoSpaceDN w:val="0"/>
        <w:adjustRightInd w:val="0"/>
        <w:spacing w:before="280" w:after="580"/>
        <w:ind w:left="480" w:hanging="480"/>
        <w:contextualSpacing/>
        <w:rPr>
          <w:noProof/>
          <w:lang w:val="en-US"/>
        </w:rPr>
      </w:pPr>
      <w:r w:rsidRPr="00963F45">
        <w:rPr>
          <w:noProof/>
          <w:lang w:val="en-US"/>
        </w:rPr>
        <w:t xml:space="preserve">Porter, J. D., Israel, S., Gong, B., Merriam, A. P., Feuerman, J., Khanna, S., et al. (2006). Distinctive morphological and gene/protein expression signatures during myogenesis in novel cell lines from extraocular and hindlimb muscle. </w:t>
      </w:r>
      <w:r w:rsidRPr="00963F45">
        <w:rPr>
          <w:i/>
          <w:iCs/>
          <w:noProof/>
          <w:lang w:val="en-US"/>
        </w:rPr>
        <w:t>Physiol. Genomics</w:t>
      </w:r>
      <w:r w:rsidRPr="00963F45">
        <w:rPr>
          <w:noProof/>
          <w:lang w:val="en-US"/>
        </w:rPr>
        <w:t xml:space="preserve"> 24, 264–275. doi:10.1152/physiolgenomics.00234.2004.</w:t>
      </w:r>
    </w:p>
    <w:p w14:paraId="2F8EB416" w14:textId="77777777" w:rsidR="00963F45" w:rsidRPr="00963F45" w:rsidRDefault="00963F45" w:rsidP="00963F45">
      <w:pPr>
        <w:widowControl w:val="0"/>
        <w:autoSpaceDE w:val="0"/>
        <w:autoSpaceDN w:val="0"/>
        <w:adjustRightInd w:val="0"/>
        <w:spacing w:before="280" w:after="580"/>
        <w:ind w:left="480" w:hanging="480"/>
        <w:contextualSpacing/>
        <w:rPr>
          <w:noProof/>
        </w:rPr>
      </w:pPr>
      <w:r w:rsidRPr="00963F45">
        <w:rPr>
          <w:noProof/>
          <w:lang w:val="en-US"/>
        </w:rPr>
        <w:t xml:space="preserve">Zhou, Y., Kaminski, H. J., Gong, B., Cheng, G., Feuerman, J. M., and Kusner, L. (2014). RNA expression analysis of passive transfer myasthenia supports extraocular muscle as a unique immunological environment. </w:t>
      </w:r>
      <w:r w:rsidRPr="00963F45">
        <w:rPr>
          <w:i/>
          <w:iCs/>
          <w:noProof/>
          <w:lang w:val="en-US"/>
        </w:rPr>
        <w:t>Investig. Ophthalmol. Vis. Sci.</w:t>
      </w:r>
      <w:r w:rsidRPr="00963F45">
        <w:rPr>
          <w:noProof/>
          <w:lang w:val="en-US"/>
        </w:rPr>
        <w:t xml:space="preserve"> 55, 4348–4359. doi:10.1167/iovs.14-14422.</w:t>
      </w:r>
    </w:p>
    <w:p w14:paraId="109F8A0F" w14:textId="77777777" w:rsidR="0005743F" w:rsidRPr="00963F45" w:rsidRDefault="0005743F" w:rsidP="00963F45">
      <w:pPr>
        <w:pStyle w:val="BodyText"/>
        <w:snapToGrid w:val="0"/>
        <w:spacing w:beforeLines="120" w:before="288" w:afterLines="240" w:after="576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sectPr w:rsidR="0005743F" w:rsidRPr="00963F45" w:rsidSect="00987F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 Regular">
    <w:charset w:val="0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4F"/>
    <w:rsid w:val="0005743F"/>
    <w:rsid w:val="00340325"/>
    <w:rsid w:val="003F52BF"/>
    <w:rsid w:val="004D4187"/>
    <w:rsid w:val="00597041"/>
    <w:rsid w:val="00787E0C"/>
    <w:rsid w:val="0092481D"/>
    <w:rsid w:val="0096347A"/>
    <w:rsid w:val="00963F45"/>
    <w:rsid w:val="00987F13"/>
    <w:rsid w:val="00A50794"/>
    <w:rsid w:val="00AD1E37"/>
    <w:rsid w:val="00D007BC"/>
    <w:rsid w:val="00DD1424"/>
    <w:rsid w:val="00EC554F"/>
    <w:rsid w:val="00F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43C8"/>
  <w14:defaultImageDpi w14:val="32767"/>
  <w15:chartTrackingRefBased/>
  <w15:docId w15:val="{0B407F2E-87ED-0146-8C15-DB2B650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0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97041"/>
    <w:pPr>
      <w:keepNext/>
      <w:spacing w:before="240" w:after="120"/>
      <w:outlineLvl w:val="0"/>
    </w:pPr>
    <w:rPr>
      <w:rFonts w:ascii="Liberation Sans" w:eastAsia="Noto Sans CJK SC Regular" w:hAnsi="Liberation Sans" w:cs="FreeSans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7041"/>
    <w:rPr>
      <w:rFonts w:ascii="Liberation Sans" w:eastAsia="Noto Sans CJK SC Regular" w:hAnsi="Liberation Sans" w:cs="FreeSans"/>
      <w:sz w:val="28"/>
      <w:szCs w:val="28"/>
      <w:lang w:val="en-ZA" w:eastAsia="zh-CN" w:bidi="hi-IN"/>
    </w:rPr>
  </w:style>
  <w:style w:type="paragraph" w:styleId="BodyText">
    <w:name w:val="Body Text"/>
    <w:basedOn w:val="Normal"/>
    <w:link w:val="BodyTextChar"/>
    <w:rsid w:val="00597041"/>
    <w:pPr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customStyle="1" w:styleId="BodyTextChar">
    <w:name w:val="Body Text Char"/>
    <w:link w:val="BodyText"/>
    <w:rsid w:val="00597041"/>
    <w:rPr>
      <w:rFonts w:ascii="Liberation Serif" w:eastAsia="Noto Sans CJK SC Regular" w:hAnsi="Liberation Serif" w:cs="FreeSans"/>
      <w:lang w:val="en-ZA" w:eastAsia="zh-CN" w:bidi="hi-IN"/>
    </w:rPr>
  </w:style>
  <w:style w:type="character" w:customStyle="1" w:styleId="apple-converted-space">
    <w:name w:val="apple-converted-space"/>
    <w:rsid w:val="00597041"/>
  </w:style>
  <w:style w:type="paragraph" w:styleId="NormalWeb">
    <w:name w:val="Normal (Web)"/>
    <w:basedOn w:val="Normal"/>
    <w:uiPriority w:val="99"/>
    <w:unhideWhenUsed/>
    <w:rsid w:val="0059704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597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east.ensembl.org/Homo_sapiens/Location/View?contigviewbottom=variation_feature_variation%3Dnormal%2Cseq%3Dnormal;db=core;r=3:56813753-56813853;source=dbSNP;v=rs1566487;vdb=variation;vf=615611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2CF3A-FA4C-4384-AB80-A0CC6FC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https://useast.ensembl.org/Homo_sapiens/Location/View?contigviewbottom=variation_feature_variation%3Dnormal%2Cseq%3Dnormal;db=core;r=3:56813753-56813853;source=dbSNP;v=rs1566487;vdb=variation;vf=615611755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Jeanine Heckmann</cp:lastModifiedBy>
  <cp:revision>3</cp:revision>
  <dcterms:created xsi:type="dcterms:W3CDTF">2018-11-12T12:18:00Z</dcterms:created>
  <dcterms:modified xsi:type="dcterms:W3CDTF">2018-11-12T12:20:00Z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http://www.zotero.org/styles/frontiers-in-genetics</vt:lpwstr>
  </property>
  <property fmtid="{D5CDD505-2E9C-101B-9397-08002B2CF9AE}" pid="13" name="Mendeley Recent Style Name 5_1">
    <vt:lpwstr>Frontiers in Genetics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http://csl.mendeley.com/styles/23468161/vancouver-modified-superscript</vt:lpwstr>
  </property>
  <property fmtid="{D5CDD505-2E9C-101B-9397-08002B2CF9AE}" pid="21" name="Mendeley Recent Style Name 9_1">
    <vt:lpwstr>Vancouver - Melissa Nel</vt:lpwstr>
  </property>
</Properties>
</file>