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E85C" w14:textId="175E5F78" w:rsidR="008E7D11" w:rsidRDefault="00133429" w:rsidP="008E7D11">
      <w:pPr>
        <w:rPr>
          <w:b/>
          <w:sz w:val="24"/>
          <w:szCs w:val="24"/>
        </w:rPr>
      </w:pPr>
      <w:proofErr w:type="spellStart"/>
      <w:r w:rsidRPr="0036088E">
        <w:rPr>
          <w:b/>
          <w:sz w:val="24"/>
          <w:szCs w:val="24"/>
        </w:rPr>
        <w:t>Supplementary</w:t>
      </w:r>
      <w:proofErr w:type="spellEnd"/>
      <w:r w:rsidRPr="0036088E">
        <w:rPr>
          <w:b/>
          <w:sz w:val="24"/>
          <w:szCs w:val="24"/>
        </w:rPr>
        <w:t xml:space="preserve"> material - </w:t>
      </w:r>
      <w:proofErr w:type="spellStart"/>
      <w:r w:rsidRPr="0036088E">
        <w:rPr>
          <w:b/>
          <w:sz w:val="24"/>
          <w:szCs w:val="24"/>
        </w:rPr>
        <w:t>T</w:t>
      </w:r>
      <w:r w:rsidR="008E7D11" w:rsidRPr="0036088E">
        <w:rPr>
          <w:b/>
          <w:sz w:val="24"/>
          <w:szCs w:val="24"/>
        </w:rPr>
        <w:t>able</w:t>
      </w:r>
      <w:proofErr w:type="spellEnd"/>
      <w:r w:rsidR="008E7D11" w:rsidRPr="0036088E">
        <w:rPr>
          <w:b/>
          <w:sz w:val="24"/>
          <w:szCs w:val="24"/>
        </w:rPr>
        <w:t xml:space="preserve"> 01</w:t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82"/>
        <w:gridCol w:w="1645"/>
        <w:gridCol w:w="1843"/>
        <w:gridCol w:w="2551"/>
        <w:gridCol w:w="4111"/>
      </w:tblGrid>
      <w:tr w:rsidR="0036088E" w:rsidRPr="0036088E" w14:paraId="386D08EB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50DFFB22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Target</w:t>
            </w:r>
          </w:p>
        </w:tc>
        <w:tc>
          <w:tcPr>
            <w:tcW w:w="2182" w:type="dxa"/>
            <w:noWrap/>
            <w:hideMark/>
          </w:tcPr>
          <w:p w14:paraId="3BB21667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Antibody name</w:t>
            </w:r>
          </w:p>
        </w:tc>
        <w:tc>
          <w:tcPr>
            <w:tcW w:w="1645" w:type="dxa"/>
            <w:noWrap/>
            <w:hideMark/>
          </w:tcPr>
          <w:p w14:paraId="3A123919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Species raised</w:t>
            </w:r>
          </w:p>
        </w:tc>
        <w:tc>
          <w:tcPr>
            <w:tcW w:w="1843" w:type="dxa"/>
            <w:noWrap/>
            <w:hideMark/>
          </w:tcPr>
          <w:p w14:paraId="68253917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Company</w:t>
            </w:r>
          </w:p>
        </w:tc>
        <w:tc>
          <w:tcPr>
            <w:tcW w:w="2551" w:type="dxa"/>
            <w:noWrap/>
            <w:hideMark/>
          </w:tcPr>
          <w:p w14:paraId="770C0C5B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Reference</w:t>
            </w:r>
          </w:p>
        </w:tc>
        <w:tc>
          <w:tcPr>
            <w:tcW w:w="4111" w:type="dxa"/>
            <w:noWrap/>
            <w:hideMark/>
          </w:tcPr>
          <w:p w14:paraId="2442F992" w14:textId="77777777" w:rsidR="00737637" w:rsidRPr="0036088E" w:rsidRDefault="00737637" w:rsidP="00737637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Information extracted from the cited article</w:t>
            </w:r>
          </w:p>
        </w:tc>
      </w:tr>
      <w:tr w:rsidR="0036088E" w14:paraId="524F540E" w14:textId="77777777" w:rsidTr="00FD2C75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00F1AB90" w14:textId="77777777" w:rsidR="0036088E" w:rsidRPr="00680615" w:rsidRDefault="0036088E" w:rsidP="00816D92">
            <w:pPr>
              <w:rPr>
                <w:b/>
                <w:i/>
              </w:rPr>
            </w:pPr>
            <w:r w:rsidRPr="00680615">
              <w:rPr>
                <w:b/>
                <w:i/>
              </w:rPr>
              <w:t>C. elegans</w:t>
            </w:r>
          </w:p>
        </w:tc>
      </w:tr>
      <w:tr w:rsidR="0036088E" w:rsidRPr="0036088E" w14:paraId="1BCBD070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72A1F20E" w14:textId="1EFF518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>C</w:t>
            </w:r>
            <w:r w:rsidR="00FD2C75" w:rsidRPr="00FD2C75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 xml:space="preserve"> elegans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TEN-S/TEN-L</w:t>
            </w:r>
          </w:p>
        </w:tc>
        <w:tc>
          <w:tcPr>
            <w:tcW w:w="2182" w:type="dxa"/>
            <w:noWrap/>
            <w:hideMark/>
          </w:tcPr>
          <w:p w14:paraId="49CFF65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anti-ten1 (C-terminal) / anti-ten1 (N-terminal)</w:t>
            </w:r>
          </w:p>
        </w:tc>
        <w:tc>
          <w:tcPr>
            <w:tcW w:w="1645" w:type="dxa"/>
            <w:noWrap/>
            <w:hideMark/>
          </w:tcPr>
          <w:p w14:paraId="4A29B614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3D3AF4A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Neosystem</w:t>
            </w:r>
            <w:proofErr w:type="spellEnd"/>
          </w:p>
        </w:tc>
        <w:tc>
          <w:tcPr>
            <w:tcW w:w="2551" w:type="dxa"/>
            <w:noWrap/>
            <w:hideMark/>
          </w:tcPr>
          <w:p w14:paraId="19C7BCC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Drabikowski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2005</w:t>
            </w:r>
          </w:p>
        </w:tc>
        <w:tc>
          <w:tcPr>
            <w:tcW w:w="4111" w:type="dxa"/>
            <w:noWrap/>
            <w:hideMark/>
          </w:tcPr>
          <w:p w14:paraId="1EA0D9AF" w14:textId="416A4F90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"Anti-Ten-1 antibodies were raised against the Ten-1-specific peptides from the N-terminus of the long variant (MFQHRTTNAQGPPPNRPMPR) and the common C-terminus (PAHQSGLLASVHSWKFRKSE). The peptides were synthesized and the rabbits</w:t>
            </w:r>
            <w:r w:rsidR="0036088E">
              <w:rPr>
                <w:rFonts w:eastAsia="Times New Roman" w:cstheme="minorHAnsi"/>
                <w:color w:val="000000"/>
                <w:lang w:eastAsia="pt-BR"/>
              </w:rPr>
              <w:t xml:space="preserve"> immunized at </w:t>
            </w:r>
            <w:proofErr w:type="spellStart"/>
            <w:r w:rsidR="0036088E">
              <w:rPr>
                <w:rFonts w:eastAsia="Times New Roman" w:cstheme="minorHAnsi"/>
                <w:color w:val="000000"/>
                <w:lang w:eastAsia="pt-BR"/>
              </w:rPr>
              <w:t>Neosystem</w:t>
            </w:r>
            <w:proofErr w:type="spellEnd"/>
            <w:r w:rsidR="0036088E">
              <w:rPr>
                <w:rFonts w:eastAsia="Times New Roman" w:cstheme="minorHAnsi"/>
                <w:color w:val="000000"/>
                <w:lang w:eastAsia="pt-BR"/>
              </w:rPr>
              <w:t>.”</w:t>
            </w:r>
          </w:p>
        </w:tc>
      </w:tr>
      <w:tr w:rsidR="0036088E" w14:paraId="2E35E80C" w14:textId="77777777" w:rsidTr="00FD2C75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2E87E3AB" w14:textId="77777777" w:rsidR="0036088E" w:rsidRPr="00680615" w:rsidRDefault="0036088E" w:rsidP="00816D92">
            <w:pPr>
              <w:rPr>
                <w:b/>
                <w:i/>
              </w:rPr>
            </w:pPr>
            <w:r w:rsidRPr="00680615">
              <w:rPr>
                <w:b/>
                <w:i/>
              </w:rPr>
              <w:t>D. melanogaster</w:t>
            </w:r>
          </w:p>
        </w:tc>
      </w:tr>
      <w:tr w:rsidR="0036088E" w:rsidRPr="0036088E" w14:paraId="661424D7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6C8262C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>D. melanogaster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TEN-m</w:t>
            </w:r>
          </w:p>
        </w:tc>
        <w:tc>
          <w:tcPr>
            <w:tcW w:w="2182" w:type="dxa"/>
            <w:noWrap/>
            <w:hideMark/>
          </w:tcPr>
          <w:p w14:paraId="6113C867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anti-MAb20</w:t>
            </w:r>
          </w:p>
        </w:tc>
        <w:tc>
          <w:tcPr>
            <w:tcW w:w="1645" w:type="dxa"/>
            <w:noWrap/>
            <w:hideMark/>
          </w:tcPr>
          <w:p w14:paraId="4EFBF11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mouse monoclonal</w:t>
            </w:r>
          </w:p>
        </w:tc>
        <w:tc>
          <w:tcPr>
            <w:tcW w:w="1843" w:type="dxa"/>
            <w:noWrap/>
            <w:hideMark/>
          </w:tcPr>
          <w:p w14:paraId="325D82E9" w14:textId="375BB161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4873DFEA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Levine et al, 1994; Levine, 1997; Zheng et al, 2011; Hong et al, 2012</w:t>
            </w:r>
          </w:p>
        </w:tc>
        <w:tc>
          <w:tcPr>
            <w:tcW w:w="4111" w:type="dxa"/>
            <w:noWrap/>
            <w:hideMark/>
          </w:tcPr>
          <w:p w14:paraId="2061E17C" w14:textId="2314E485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"Monoclonal antibodies against a collection of Drosophila proteins immunopurified (...) A number of antibodies against specific pro</w:t>
            </w:r>
            <w:r w:rsidR="00FD2C75">
              <w:rPr>
                <w:rFonts w:eastAsia="Times New Roman" w:cstheme="minorHAnsi"/>
                <w:color w:val="000000"/>
                <w:lang w:eastAsia="pt-BR"/>
              </w:rPr>
              <w:t>te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ins, including MAb20, were generated."</w:t>
            </w:r>
          </w:p>
        </w:tc>
      </w:tr>
      <w:tr w:rsidR="0036088E" w:rsidRPr="0036088E" w14:paraId="2FE15542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2DD6414B" w14:textId="0602C8ED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>D. melanogaster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TEN-m</w:t>
            </w:r>
          </w:p>
        </w:tc>
        <w:tc>
          <w:tcPr>
            <w:tcW w:w="2182" w:type="dxa"/>
            <w:noWrap/>
            <w:hideMark/>
          </w:tcPr>
          <w:p w14:paraId="0F93B76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anti-mab113</w:t>
            </w:r>
          </w:p>
        </w:tc>
        <w:tc>
          <w:tcPr>
            <w:tcW w:w="1645" w:type="dxa"/>
            <w:noWrap/>
            <w:hideMark/>
          </w:tcPr>
          <w:p w14:paraId="30EEFBFA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mouse monoclonal</w:t>
            </w:r>
          </w:p>
        </w:tc>
        <w:tc>
          <w:tcPr>
            <w:tcW w:w="1843" w:type="dxa"/>
            <w:noWrap/>
            <w:hideMark/>
          </w:tcPr>
          <w:p w14:paraId="5B456356" w14:textId="53B09481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1000B8F4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Baumgartner et al, 1994</w:t>
            </w:r>
          </w:p>
        </w:tc>
        <w:tc>
          <w:tcPr>
            <w:tcW w:w="4111" w:type="dxa"/>
            <w:noWrap/>
            <w:hideMark/>
          </w:tcPr>
          <w:p w14:paraId="06C432E6" w14:textId="6FFD240B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"Fusion proteins c13.2 and c5.4 correspond to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aminoacids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56-251 and 912-1391 respectively of the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tenm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 w:rsidRPr="0036088E">
              <w:rPr>
                <w:rFonts w:eastAsia="Times New Roman" w:cstheme="minorHAnsi"/>
                <w:color w:val="000000"/>
                <w:lang w:eastAsia="pt-BR"/>
              </w:rPr>
              <w:t>sequence.The</w:t>
            </w:r>
            <w:proofErr w:type="spellEnd"/>
            <w:proofErr w:type="gram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fusion proteins were used to generate monoclonal antibodies and rabbit polyclonal antisera.(...) For embryo staining, mab113 was used."</w:t>
            </w:r>
          </w:p>
        </w:tc>
      </w:tr>
      <w:tr w:rsidR="0036088E" w:rsidRPr="0036088E" w14:paraId="7DD8A5D4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7290853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>D. melanogaster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TEN-a</w:t>
            </w:r>
          </w:p>
        </w:tc>
        <w:tc>
          <w:tcPr>
            <w:tcW w:w="2182" w:type="dxa"/>
            <w:noWrap/>
            <w:hideMark/>
          </w:tcPr>
          <w:p w14:paraId="2D5275D4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anti-Ten-a</w:t>
            </w:r>
          </w:p>
        </w:tc>
        <w:tc>
          <w:tcPr>
            <w:tcW w:w="1645" w:type="dxa"/>
            <w:noWrap/>
            <w:hideMark/>
          </w:tcPr>
          <w:p w14:paraId="4F7F155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rabbit polyclonal </w:t>
            </w:r>
          </w:p>
        </w:tc>
        <w:tc>
          <w:tcPr>
            <w:tcW w:w="1843" w:type="dxa"/>
            <w:noWrap/>
            <w:hideMark/>
          </w:tcPr>
          <w:p w14:paraId="59637856" w14:textId="383DF088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580C5621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Fascetti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and Baumgartner, 2002</w:t>
            </w:r>
          </w:p>
        </w:tc>
        <w:tc>
          <w:tcPr>
            <w:tcW w:w="4111" w:type="dxa"/>
            <w:noWrap/>
            <w:hideMark/>
          </w:tcPr>
          <w:p w14:paraId="6C51167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"A 2.3-kbEco RI fragment from cDT17.4 was expressed in bacteria, the fusion protein was cut out from an agarose gel, and the eluted fusion protein was injected into rabbits."</w:t>
            </w:r>
          </w:p>
        </w:tc>
      </w:tr>
    </w:tbl>
    <w:p w14:paraId="4641A46D" w14:textId="77777777" w:rsidR="00157FAC" w:rsidRDefault="00157FAC">
      <w:r>
        <w:br w:type="page"/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82"/>
        <w:gridCol w:w="1645"/>
        <w:gridCol w:w="1843"/>
        <w:gridCol w:w="2551"/>
        <w:gridCol w:w="4111"/>
      </w:tblGrid>
      <w:tr w:rsidR="00FD2C75" w14:paraId="428CF95D" w14:textId="77777777" w:rsidTr="00FD2C75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5CCD1434" w14:textId="4EDE6E7E" w:rsidR="00FD2C75" w:rsidRPr="00680615" w:rsidRDefault="00FD2C75" w:rsidP="00816D92">
            <w:pPr>
              <w:rPr>
                <w:b/>
                <w:i/>
              </w:rPr>
            </w:pPr>
            <w:r w:rsidRPr="00680615">
              <w:rPr>
                <w:b/>
                <w:i/>
              </w:rPr>
              <w:lastRenderedPageBreak/>
              <w:t>C. intestinalis</w:t>
            </w:r>
          </w:p>
        </w:tc>
      </w:tr>
      <w:tr w:rsidR="0036088E" w:rsidRPr="0036088E" w14:paraId="475632EB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7333D517" w14:textId="43E76FE6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>C</w:t>
            </w:r>
            <w:r w:rsidR="00FD2C75" w:rsidRPr="00FD2C75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FD2C75">
              <w:rPr>
                <w:rFonts w:eastAsia="Times New Roman" w:cstheme="minorHAnsi"/>
                <w:i/>
                <w:color w:val="000000"/>
                <w:lang w:eastAsia="pt-BR"/>
              </w:rPr>
              <w:t xml:space="preserve"> intestinalis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Ten1</w:t>
            </w:r>
          </w:p>
        </w:tc>
        <w:tc>
          <w:tcPr>
            <w:tcW w:w="2182" w:type="dxa"/>
            <w:noWrap/>
            <w:hideMark/>
          </w:tcPr>
          <w:p w14:paraId="2682BDF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TNR5 (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Ciona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TCAP N-terminal Region Rabbit 5)</w:t>
            </w:r>
          </w:p>
        </w:tc>
        <w:tc>
          <w:tcPr>
            <w:tcW w:w="1645" w:type="dxa"/>
            <w:noWrap/>
            <w:hideMark/>
          </w:tcPr>
          <w:p w14:paraId="00BF0BF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3C39FA83" w14:textId="3B4158D0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174C44E4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D'Aquila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2017</w:t>
            </w:r>
          </w:p>
        </w:tc>
        <w:tc>
          <w:tcPr>
            <w:tcW w:w="4111" w:type="dxa"/>
            <w:noWrap/>
            <w:hideMark/>
          </w:tcPr>
          <w:p w14:paraId="63FBA0D7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"The N and C terminal fragments of the (...) TCAP peptide were used as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haptens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for the development of the antisera. Briefly, (...) N-terminal TCAP, C-terminal TCAP (...)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haptens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were injected into three rabbits each to immunize for antisera production."</w:t>
            </w:r>
          </w:p>
        </w:tc>
      </w:tr>
      <w:tr w:rsidR="00FD2C75" w14:paraId="320E4375" w14:textId="77777777" w:rsidTr="00FD2C75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6AF0C6FA" w14:textId="77777777" w:rsidR="00FD2C75" w:rsidRPr="00680615" w:rsidRDefault="00FD2C75" w:rsidP="00816D92">
            <w:pPr>
              <w:rPr>
                <w:b/>
                <w:i/>
              </w:rPr>
            </w:pPr>
            <w:r w:rsidRPr="00680615">
              <w:rPr>
                <w:b/>
                <w:i/>
              </w:rPr>
              <w:t xml:space="preserve">G. </w:t>
            </w:r>
            <w:proofErr w:type="spellStart"/>
            <w:r w:rsidRPr="00680615">
              <w:rPr>
                <w:b/>
                <w:i/>
              </w:rPr>
              <w:t>gallus</w:t>
            </w:r>
            <w:proofErr w:type="spellEnd"/>
          </w:p>
        </w:tc>
      </w:tr>
      <w:tr w:rsidR="0036088E" w:rsidRPr="0036088E" w14:paraId="2479B388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6D3E08FD" w14:textId="475258D9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G</w:t>
            </w:r>
            <w:r w:rsidR="00FD2C75" w:rsidRPr="00157FAC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 </w:t>
            </w:r>
            <w:proofErr w:type="spellStart"/>
            <w:r w:rsidR="00157FAC" w:rsidRPr="00157FAC">
              <w:rPr>
                <w:rFonts w:eastAsia="Times New Roman" w:cstheme="minorHAnsi"/>
                <w:i/>
                <w:color w:val="000000"/>
                <w:lang w:eastAsia="pt-BR"/>
              </w:rPr>
              <w:t>g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allus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</w:t>
            </w:r>
            <w:r w:rsidR="00FD2C75">
              <w:rPr>
                <w:rFonts w:eastAsia="Times New Roman" w:cstheme="minorHAnsi"/>
                <w:color w:val="000000"/>
                <w:lang w:eastAsia="pt-BR"/>
              </w:rPr>
              <w:t>EN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2182" w:type="dxa"/>
            <w:noWrap/>
            <w:hideMark/>
          </w:tcPr>
          <w:p w14:paraId="7FEBCA04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anti-tenascin c (antiTn60)</w:t>
            </w:r>
          </w:p>
        </w:tc>
        <w:tc>
          <w:tcPr>
            <w:tcW w:w="1645" w:type="dxa"/>
            <w:noWrap/>
            <w:hideMark/>
          </w:tcPr>
          <w:p w14:paraId="13B20241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mouse monoclonal</w:t>
            </w:r>
          </w:p>
        </w:tc>
        <w:tc>
          <w:tcPr>
            <w:tcW w:w="1843" w:type="dxa"/>
            <w:noWrap/>
            <w:hideMark/>
          </w:tcPr>
          <w:p w14:paraId="2F0D2266" w14:textId="54F9015F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25ED7208" w14:textId="6AA62815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6529E5">
              <w:rPr>
                <w:rFonts w:eastAsia="Times New Roman" w:cstheme="minorHAnsi"/>
                <w:lang w:eastAsia="pt-BR"/>
              </w:rPr>
              <w:t>Pearson et al, 198</w:t>
            </w:r>
            <w:r w:rsidR="006529E5" w:rsidRPr="006529E5">
              <w:rPr>
                <w:rFonts w:eastAsia="Times New Roman" w:cstheme="minorHAnsi"/>
                <w:lang w:eastAsia="pt-BR"/>
              </w:rPr>
              <w:t>8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;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Minet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1999</w:t>
            </w:r>
          </w:p>
        </w:tc>
        <w:tc>
          <w:tcPr>
            <w:tcW w:w="4111" w:type="dxa"/>
            <w:noWrap/>
            <w:hideMark/>
          </w:tcPr>
          <w:p w14:paraId="213C619E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"The N-terminal part of chicken tenascin-C (nucleotides 1-794 of the tenascin-C EMBL database entry M23121) including its 5′ UTR, and the coding sequence for the signal and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propeptide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as well as the 153 N-terminal amino acids carrying the epitope for the monoclonal antibody anti-TN6"</w:t>
            </w:r>
          </w:p>
        </w:tc>
      </w:tr>
      <w:tr w:rsidR="0036088E" w:rsidRPr="0036088E" w14:paraId="7999062A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6BE926AB" w14:textId="103A8829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G. </w:t>
            </w:r>
            <w:proofErr w:type="spellStart"/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gallus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</w:t>
            </w:r>
            <w:r>
              <w:rPr>
                <w:rFonts w:eastAsia="Times New Roman" w:cstheme="minorHAnsi"/>
                <w:color w:val="000000"/>
                <w:lang w:eastAsia="pt-BR"/>
              </w:rPr>
              <w:t>EN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2182" w:type="dxa"/>
            <w:noWrap/>
            <w:hideMark/>
          </w:tcPr>
          <w:p w14:paraId="6A7D6C26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anti-ICD teneurin 1</w:t>
            </w:r>
          </w:p>
        </w:tc>
        <w:tc>
          <w:tcPr>
            <w:tcW w:w="1645" w:type="dxa"/>
            <w:noWrap/>
            <w:hideMark/>
          </w:tcPr>
          <w:p w14:paraId="68AADBB9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7DBC33F3" w14:textId="6FB6833C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3821F92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Kenzelmann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al., 2008</w:t>
            </w:r>
          </w:p>
        </w:tc>
        <w:tc>
          <w:tcPr>
            <w:tcW w:w="4111" w:type="dxa"/>
            <w:noWrap/>
            <w:hideMark/>
          </w:tcPr>
          <w:p w14:paraId="0A5F003E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"...the 160 N-terminal amino acids of the ICD of chicken teneurin-1"</w:t>
            </w:r>
          </w:p>
        </w:tc>
      </w:tr>
      <w:tr w:rsidR="0036088E" w:rsidRPr="0036088E" w14:paraId="2B2271F4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7E8E6992" w14:textId="308637FB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G. </w:t>
            </w:r>
            <w:proofErr w:type="spellStart"/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gallus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</w:t>
            </w:r>
            <w:r>
              <w:rPr>
                <w:rFonts w:eastAsia="Times New Roman" w:cstheme="minorHAnsi"/>
                <w:color w:val="000000"/>
                <w:lang w:eastAsia="pt-BR"/>
              </w:rPr>
              <w:t>EN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2182" w:type="dxa"/>
            <w:noWrap/>
            <w:hideMark/>
          </w:tcPr>
          <w:p w14:paraId="38751108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anti-ECD teneurin 1</w:t>
            </w:r>
          </w:p>
        </w:tc>
        <w:tc>
          <w:tcPr>
            <w:tcW w:w="1645" w:type="dxa"/>
            <w:noWrap/>
            <w:hideMark/>
          </w:tcPr>
          <w:p w14:paraId="7E1B37A5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7532A9AD" w14:textId="47D579F3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33A4520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Kenzelmann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al., 2008</w:t>
            </w:r>
          </w:p>
        </w:tc>
        <w:tc>
          <w:tcPr>
            <w:tcW w:w="4111" w:type="dxa"/>
            <w:noWrap/>
            <w:hideMark/>
          </w:tcPr>
          <w:p w14:paraId="41EC8E78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"...the 300 C-terminal amino acids of the extracellular domain of chicken teneurin-1"</w:t>
            </w:r>
          </w:p>
        </w:tc>
      </w:tr>
      <w:tr w:rsidR="0036088E" w:rsidRPr="0036088E" w14:paraId="604DB679" w14:textId="77777777" w:rsidTr="00BD37F8">
        <w:trPr>
          <w:trHeight w:val="288"/>
        </w:trPr>
        <w:tc>
          <w:tcPr>
            <w:tcW w:w="2553" w:type="dxa"/>
            <w:noWrap/>
            <w:hideMark/>
          </w:tcPr>
          <w:p w14:paraId="637A67BE" w14:textId="281E5CAB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G. </w:t>
            </w:r>
            <w:proofErr w:type="spellStart"/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gallus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</w:t>
            </w:r>
            <w:r>
              <w:rPr>
                <w:rFonts w:eastAsia="Times New Roman" w:cstheme="minorHAnsi"/>
                <w:color w:val="000000"/>
                <w:lang w:eastAsia="pt-BR"/>
              </w:rPr>
              <w:t>EN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1</w:t>
            </w:r>
          </w:p>
        </w:tc>
        <w:tc>
          <w:tcPr>
            <w:tcW w:w="2182" w:type="dxa"/>
            <w:noWrap/>
            <w:hideMark/>
          </w:tcPr>
          <w:p w14:paraId="69EAD68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anti-EGF teneurin 1</w:t>
            </w:r>
          </w:p>
        </w:tc>
        <w:tc>
          <w:tcPr>
            <w:tcW w:w="1645" w:type="dxa"/>
            <w:noWrap/>
            <w:hideMark/>
          </w:tcPr>
          <w:p w14:paraId="71344E68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7EB0DE6B" w14:textId="63B44182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6251ABC6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Kenzelmann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al., 2008</w:t>
            </w:r>
          </w:p>
        </w:tc>
        <w:tc>
          <w:tcPr>
            <w:tcW w:w="4111" w:type="dxa"/>
            <w:noWrap/>
            <w:hideMark/>
          </w:tcPr>
          <w:p w14:paraId="7237C356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"...a fusion of the N-terminus of tenascin-C (for protein purification purposes) and the 8 EGF-like domains of chicken teneurin-1"</w:t>
            </w:r>
          </w:p>
        </w:tc>
      </w:tr>
    </w:tbl>
    <w:p w14:paraId="72BBE18E" w14:textId="77777777" w:rsidR="00157FAC" w:rsidRDefault="00157FAC">
      <w:r>
        <w:br w:type="page"/>
      </w:r>
    </w:p>
    <w:tbl>
      <w:tblPr>
        <w:tblStyle w:val="TableGrid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82"/>
        <w:gridCol w:w="1645"/>
        <w:gridCol w:w="1843"/>
        <w:gridCol w:w="2551"/>
        <w:gridCol w:w="4111"/>
      </w:tblGrid>
      <w:tr w:rsidR="0036088E" w:rsidRPr="0036088E" w14:paraId="23C45A25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205E2018" w14:textId="073E0E6B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lastRenderedPageBreak/>
              <w:t xml:space="preserve">G. </w:t>
            </w:r>
            <w:proofErr w:type="spellStart"/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gallus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</w:t>
            </w:r>
            <w:r>
              <w:rPr>
                <w:rFonts w:eastAsia="Times New Roman" w:cstheme="minorHAnsi"/>
                <w:color w:val="000000"/>
                <w:lang w:eastAsia="pt-BR"/>
              </w:rPr>
              <w:t>EN2</w:t>
            </w:r>
          </w:p>
        </w:tc>
        <w:tc>
          <w:tcPr>
            <w:tcW w:w="2182" w:type="dxa"/>
            <w:noWrap/>
            <w:hideMark/>
          </w:tcPr>
          <w:p w14:paraId="5601EDE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anti-chicken teneurin 2</w:t>
            </w:r>
          </w:p>
        </w:tc>
        <w:tc>
          <w:tcPr>
            <w:tcW w:w="1645" w:type="dxa"/>
            <w:noWrap/>
            <w:hideMark/>
          </w:tcPr>
          <w:p w14:paraId="231128D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64596D9D" w14:textId="1541F71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55CF1D3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Rubin et al, 1999; Tucker et al, 20001; Rubin et al, 2002;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Kenzelmann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2008</w:t>
            </w:r>
          </w:p>
        </w:tc>
        <w:tc>
          <w:tcPr>
            <w:tcW w:w="4111" w:type="dxa"/>
            <w:noWrap/>
            <w:hideMark/>
          </w:tcPr>
          <w:p w14:paraId="05A19B0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"anti-Tenascin-C/Teneurin-2 Fusion Protein (TN/ten-2) (..) The N-terminal part of chicken tenascin-C (nucleotides 1–794 tenascin-C  EMBL  database  entry  M23121),  which  contains  the epitope  for  the  monoclonal  antibody  anti-TN60  (Pearson et  al. , 1988),  was  fused  to  the  extracellular  half  of  chicken  teneurin-2 (amino acids 429 – 831).  (...) The affinity-purified protein TN/ten-2 was injected into rabbits for antibody production."</w:t>
            </w:r>
          </w:p>
        </w:tc>
      </w:tr>
      <w:tr w:rsidR="00157FAC" w14:paraId="01986BB0" w14:textId="77777777" w:rsidTr="00157FAC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5CBE0A27" w14:textId="77777777" w:rsidR="00157FAC" w:rsidRPr="00680615" w:rsidRDefault="00157FAC" w:rsidP="00816D92">
            <w:pPr>
              <w:rPr>
                <w:b/>
                <w:i/>
              </w:rPr>
            </w:pPr>
            <w:r w:rsidRPr="00680615">
              <w:rPr>
                <w:b/>
                <w:i/>
              </w:rPr>
              <w:t>M. musculus</w:t>
            </w:r>
          </w:p>
        </w:tc>
      </w:tr>
      <w:tr w:rsidR="0036088E" w:rsidRPr="0036088E" w14:paraId="68BF8E1D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7E35CD8F" w14:textId="14E6245A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</w:t>
            </w:r>
            <w:r w:rsidR="00FD2C75" w:rsidRPr="00157FAC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TEN1</w:t>
            </w:r>
          </w:p>
        </w:tc>
        <w:tc>
          <w:tcPr>
            <w:tcW w:w="2182" w:type="dxa"/>
            <w:noWrap/>
            <w:hideMark/>
          </w:tcPr>
          <w:p w14:paraId="711BEF2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anti-mouse Ten-m1</w:t>
            </w:r>
          </w:p>
        </w:tc>
        <w:tc>
          <w:tcPr>
            <w:tcW w:w="1645" w:type="dxa"/>
            <w:noWrap/>
            <w:hideMark/>
          </w:tcPr>
          <w:p w14:paraId="57B32727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0EF1D79E" w14:textId="1EB0DF2F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6EE970B5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Oohashi et al, 1999; Zhou et al, 2003</w:t>
            </w:r>
          </w:p>
        </w:tc>
        <w:tc>
          <w:tcPr>
            <w:tcW w:w="4111" w:type="dxa"/>
            <w:noWrap/>
            <w:hideMark/>
          </w:tcPr>
          <w:p w14:paraId="0C95C55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"...extracellular domain of Ten-m1"</w:t>
            </w:r>
          </w:p>
        </w:tc>
      </w:tr>
      <w:tr w:rsidR="0036088E" w:rsidRPr="0036088E" w14:paraId="6CB7C4E6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17BBD8A3" w14:textId="62DCB1E5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TEN1</w:t>
            </w:r>
          </w:p>
        </w:tc>
        <w:tc>
          <w:tcPr>
            <w:tcW w:w="2182" w:type="dxa"/>
            <w:noWrap/>
            <w:hideMark/>
          </w:tcPr>
          <w:p w14:paraId="1C72A07C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anti-teneurin-1</w:t>
            </w:r>
          </w:p>
        </w:tc>
        <w:tc>
          <w:tcPr>
            <w:tcW w:w="1645" w:type="dxa"/>
            <w:noWrap/>
            <w:hideMark/>
          </w:tcPr>
          <w:p w14:paraId="74838285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mouse monoclonal</w:t>
            </w:r>
          </w:p>
        </w:tc>
        <w:tc>
          <w:tcPr>
            <w:tcW w:w="1843" w:type="dxa"/>
            <w:noWrap/>
            <w:hideMark/>
          </w:tcPr>
          <w:p w14:paraId="74332179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ABNOVA</w:t>
            </w:r>
          </w:p>
        </w:tc>
        <w:tc>
          <w:tcPr>
            <w:tcW w:w="2551" w:type="dxa"/>
            <w:noWrap/>
            <w:hideMark/>
          </w:tcPr>
          <w:p w14:paraId="68981438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Chand et al, 2013; Chand et al, 2014</w:t>
            </w:r>
          </w:p>
        </w:tc>
        <w:tc>
          <w:tcPr>
            <w:tcW w:w="4111" w:type="dxa"/>
            <w:noWrap/>
            <w:hideMark/>
          </w:tcPr>
          <w:p w14:paraId="2D4C8C86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36088E" w:rsidRPr="0036088E" w14:paraId="56D16EFD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61098BB0" w14:textId="5C0D5DA5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</w:t>
            </w:r>
            <w:r w:rsidR="00FD2C75" w:rsidRPr="00157FAC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TEN2</w:t>
            </w:r>
          </w:p>
        </w:tc>
        <w:tc>
          <w:tcPr>
            <w:tcW w:w="2182" w:type="dxa"/>
            <w:noWrap/>
            <w:hideMark/>
          </w:tcPr>
          <w:p w14:paraId="4640BA9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anti-mouse Ten-m/Odz2</w:t>
            </w:r>
          </w:p>
        </w:tc>
        <w:tc>
          <w:tcPr>
            <w:tcW w:w="1645" w:type="dxa"/>
            <w:noWrap/>
            <w:hideMark/>
          </w:tcPr>
          <w:p w14:paraId="3C4278DD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5D23797F" w14:textId="026EDFE6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34F8D45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Zhou et al, 2003; Young et al, 2013</w:t>
            </w:r>
          </w:p>
        </w:tc>
        <w:tc>
          <w:tcPr>
            <w:tcW w:w="4111" w:type="dxa"/>
            <w:noWrap/>
            <w:hideMark/>
          </w:tcPr>
          <w:p w14:paraId="48F76B05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 against extracellular parts of Ten-m/Odz2"</w:t>
            </w:r>
          </w:p>
        </w:tc>
      </w:tr>
      <w:tr w:rsidR="0036088E" w:rsidRPr="0036088E" w14:paraId="0674C81C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3B9BC763" w14:textId="07CE7D31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</w:t>
            </w:r>
            <w:r w:rsidR="00FD2C75" w:rsidRPr="00157FAC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TEN3</w:t>
            </w:r>
          </w:p>
        </w:tc>
        <w:tc>
          <w:tcPr>
            <w:tcW w:w="2182" w:type="dxa"/>
            <w:noWrap/>
            <w:hideMark/>
          </w:tcPr>
          <w:p w14:paraId="623CF4E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anti-mouse Ten-m/Odz3</w:t>
            </w:r>
          </w:p>
        </w:tc>
        <w:tc>
          <w:tcPr>
            <w:tcW w:w="1645" w:type="dxa"/>
            <w:noWrap/>
            <w:hideMark/>
          </w:tcPr>
          <w:p w14:paraId="578B6CB9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1AD6E142" w14:textId="72903B84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408C519B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Zhou et al, 2003;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Leamey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2015</w:t>
            </w:r>
          </w:p>
        </w:tc>
        <w:tc>
          <w:tcPr>
            <w:tcW w:w="4111" w:type="dxa"/>
            <w:noWrap/>
            <w:hideMark/>
          </w:tcPr>
          <w:p w14:paraId="62237CBA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 against extracellular parts of (...) Ten-m/Odz3"</w:t>
            </w:r>
          </w:p>
        </w:tc>
      </w:tr>
      <w:tr w:rsidR="0036088E" w:rsidRPr="0036088E" w14:paraId="7E24173F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492D9A29" w14:textId="16BF1291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TEN3</w:t>
            </w:r>
          </w:p>
        </w:tc>
        <w:tc>
          <w:tcPr>
            <w:tcW w:w="2182" w:type="dxa"/>
            <w:noWrap/>
            <w:hideMark/>
          </w:tcPr>
          <w:p w14:paraId="757FF56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anti-Ten3IC</w:t>
            </w:r>
          </w:p>
        </w:tc>
        <w:tc>
          <w:tcPr>
            <w:tcW w:w="1645" w:type="dxa"/>
            <w:noWrap/>
            <w:hideMark/>
          </w:tcPr>
          <w:p w14:paraId="48F565F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095501B5" w14:textId="2248234E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1D2F3BD9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Berns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2018</w:t>
            </w:r>
          </w:p>
        </w:tc>
        <w:tc>
          <w:tcPr>
            <w:tcW w:w="4111" w:type="dxa"/>
            <w:noWrap/>
            <w:hideMark/>
          </w:tcPr>
          <w:p w14:paraId="3817A51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"... custom antibody against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aminoacids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163-173"</w:t>
            </w:r>
          </w:p>
        </w:tc>
      </w:tr>
      <w:tr w:rsidR="0036088E" w:rsidRPr="0036088E" w14:paraId="530FFA14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499CD42E" w14:textId="3B37FC46" w:rsidR="00737637" w:rsidRPr="0036088E" w:rsidRDefault="00157FAC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TEN3</w:t>
            </w:r>
          </w:p>
        </w:tc>
        <w:tc>
          <w:tcPr>
            <w:tcW w:w="2182" w:type="dxa"/>
            <w:noWrap/>
            <w:hideMark/>
          </w:tcPr>
          <w:p w14:paraId="2084D223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anti-Ten3EC</w:t>
            </w:r>
          </w:p>
        </w:tc>
        <w:tc>
          <w:tcPr>
            <w:tcW w:w="1645" w:type="dxa"/>
            <w:noWrap/>
            <w:hideMark/>
          </w:tcPr>
          <w:p w14:paraId="227E51FF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631C6FD6" w14:textId="447F248D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mercial</w:t>
            </w:r>
          </w:p>
        </w:tc>
        <w:tc>
          <w:tcPr>
            <w:tcW w:w="2551" w:type="dxa"/>
            <w:noWrap/>
            <w:hideMark/>
          </w:tcPr>
          <w:p w14:paraId="54FB5A87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Berns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2018</w:t>
            </w:r>
          </w:p>
        </w:tc>
        <w:tc>
          <w:tcPr>
            <w:tcW w:w="4111" w:type="dxa"/>
            <w:noWrap/>
            <w:hideMark/>
          </w:tcPr>
          <w:p w14:paraId="49CCDB90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"... custom antibody against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aminoacids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346-364"</w:t>
            </w:r>
          </w:p>
        </w:tc>
      </w:tr>
      <w:tr w:rsidR="0036088E" w:rsidRPr="0036088E" w14:paraId="665C48C1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26F9B825" w14:textId="17A56E5C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</w:t>
            </w:r>
            <w:r w:rsidR="00FD2C75" w:rsidRPr="00157FAC">
              <w:rPr>
                <w:rFonts w:eastAsia="Times New Roman" w:cstheme="minorHAnsi"/>
                <w:i/>
                <w:color w:val="000000"/>
                <w:lang w:eastAsia="pt-BR"/>
              </w:rPr>
              <w:t>.</w:t>
            </w: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 xml:space="preserve">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TEN4</w:t>
            </w:r>
          </w:p>
        </w:tc>
        <w:tc>
          <w:tcPr>
            <w:tcW w:w="2182" w:type="dxa"/>
            <w:noWrap/>
            <w:hideMark/>
          </w:tcPr>
          <w:p w14:paraId="551A25FA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anti-mouse Ten-m/Odz4</w:t>
            </w:r>
          </w:p>
        </w:tc>
        <w:tc>
          <w:tcPr>
            <w:tcW w:w="1645" w:type="dxa"/>
            <w:noWrap/>
            <w:hideMark/>
          </w:tcPr>
          <w:p w14:paraId="672FCD0C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2FDA2E69" w14:textId="5CAA1E6C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60333EF2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Zhou et al, 2003</w:t>
            </w:r>
          </w:p>
        </w:tc>
        <w:tc>
          <w:tcPr>
            <w:tcW w:w="4111" w:type="dxa"/>
            <w:noWrap/>
            <w:hideMark/>
          </w:tcPr>
          <w:p w14:paraId="2902AAB9" w14:textId="77777777" w:rsidR="00737637" w:rsidRPr="0036088E" w:rsidRDefault="00737637" w:rsidP="00737637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"... against extracellular parts of (...) Ten-m/Odz4"</w:t>
            </w:r>
          </w:p>
        </w:tc>
      </w:tr>
      <w:tr w:rsidR="00157FAC" w:rsidRPr="0036088E" w14:paraId="2057EB5F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7D60143D" w14:textId="2B007326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TEN4</w:t>
            </w:r>
          </w:p>
        </w:tc>
        <w:tc>
          <w:tcPr>
            <w:tcW w:w="2182" w:type="dxa"/>
            <w:noWrap/>
            <w:hideMark/>
          </w:tcPr>
          <w:p w14:paraId="69F5593A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anti-DOC4</w:t>
            </w:r>
          </w:p>
        </w:tc>
        <w:tc>
          <w:tcPr>
            <w:tcW w:w="1645" w:type="dxa"/>
            <w:noWrap/>
            <w:hideMark/>
          </w:tcPr>
          <w:p w14:paraId="046CE3A9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606678D9" w14:textId="055DEFFA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56370E59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Wang et al, 1998</w:t>
            </w:r>
          </w:p>
        </w:tc>
        <w:tc>
          <w:tcPr>
            <w:tcW w:w="4111" w:type="dxa"/>
            <w:noWrap/>
            <w:hideMark/>
          </w:tcPr>
          <w:p w14:paraId="192E4D4B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"peptide encoded by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na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Nco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I fragment (nucleotides 7791–8237) from the 3' end of the cDNA"</w:t>
            </w:r>
          </w:p>
        </w:tc>
      </w:tr>
      <w:tr w:rsidR="00157FAC" w:rsidRPr="0036088E" w14:paraId="131F4CF8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67ED6D08" w14:textId="22658FD3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TEN4</w:t>
            </w:r>
          </w:p>
        </w:tc>
        <w:tc>
          <w:tcPr>
            <w:tcW w:w="2182" w:type="dxa"/>
            <w:noWrap/>
            <w:hideMark/>
          </w:tcPr>
          <w:p w14:paraId="1A7CBDBA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anti-Ten-4 (DOC4-M17): sc-10970</w:t>
            </w:r>
          </w:p>
        </w:tc>
        <w:tc>
          <w:tcPr>
            <w:tcW w:w="1645" w:type="dxa"/>
            <w:noWrap/>
            <w:hideMark/>
          </w:tcPr>
          <w:p w14:paraId="3E8738AD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goat polyclonal</w:t>
            </w:r>
          </w:p>
        </w:tc>
        <w:tc>
          <w:tcPr>
            <w:tcW w:w="1843" w:type="dxa"/>
            <w:noWrap/>
            <w:hideMark/>
          </w:tcPr>
          <w:p w14:paraId="64960FD9" w14:textId="1D838A02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Santa Cruz Biotechnology</w:t>
            </w:r>
          </w:p>
        </w:tc>
        <w:tc>
          <w:tcPr>
            <w:tcW w:w="2551" w:type="dxa"/>
            <w:noWrap/>
            <w:hideMark/>
          </w:tcPr>
          <w:p w14:paraId="6BEAF137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Graumman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2017</w:t>
            </w:r>
          </w:p>
        </w:tc>
        <w:tc>
          <w:tcPr>
            <w:tcW w:w="4111" w:type="dxa"/>
            <w:noWrap/>
            <w:hideMark/>
          </w:tcPr>
          <w:p w14:paraId="2F34AEB6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157FAC" w:rsidRPr="0036088E" w14:paraId="0D79107F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32D87932" w14:textId="408783AF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lastRenderedPageBreak/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TCAP-1</w:t>
            </w:r>
          </w:p>
        </w:tc>
        <w:tc>
          <w:tcPr>
            <w:tcW w:w="2182" w:type="dxa"/>
            <w:noWrap/>
            <w:hideMark/>
          </w:tcPr>
          <w:p w14:paraId="35AE485C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 N-terminal TCAP1 (TNR308)</w:t>
            </w:r>
          </w:p>
        </w:tc>
        <w:tc>
          <w:tcPr>
            <w:tcW w:w="1645" w:type="dxa"/>
            <w:noWrap/>
            <w:hideMark/>
          </w:tcPr>
          <w:p w14:paraId="7A1AB90D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6E3A1A6F" w14:textId="7FCBFC05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4615181F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Chand et al, 2013; Chand et al, 2014;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Colacci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2015</w:t>
            </w:r>
          </w:p>
        </w:tc>
        <w:tc>
          <w:tcPr>
            <w:tcW w:w="4111" w:type="dxa"/>
            <w:noWrap/>
            <w:hideMark/>
          </w:tcPr>
          <w:p w14:paraId="324B4A95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"The sequences used as 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haptens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> were KLH-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pEQLLGTGRVQGYDGYFVLSVEQYLE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>-OH (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pE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>: pyroglutamic acid) and KLH-VLSVEQYLELSDSANNIHFMRQSEI-NH2. (...) Two un-conjugated peptide sequences of N-TCAP-1 and C-TCAP-1 were used for antisera specificity studies."</w:t>
            </w:r>
          </w:p>
        </w:tc>
      </w:tr>
      <w:tr w:rsidR="00157FAC" w:rsidRPr="0036088E" w14:paraId="1239BF37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787A8DDB" w14:textId="6DF9B860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TCAP-1</w:t>
            </w:r>
          </w:p>
        </w:tc>
        <w:tc>
          <w:tcPr>
            <w:tcW w:w="2182" w:type="dxa"/>
            <w:noWrap/>
            <w:hideMark/>
          </w:tcPr>
          <w:p w14:paraId="10A113D5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 C-terminal TCAP1 (TCR108)</w:t>
            </w:r>
          </w:p>
        </w:tc>
        <w:tc>
          <w:tcPr>
            <w:tcW w:w="1645" w:type="dxa"/>
            <w:noWrap/>
            <w:hideMark/>
          </w:tcPr>
          <w:p w14:paraId="0E827CDE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3EFD03C0" w14:textId="4F90407B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non-com</w:t>
            </w:r>
            <w:r w:rsidR="00BD37F8">
              <w:rPr>
                <w:rFonts w:eastAsia="Times New Roman" w:cstheme="minorHAnsi"/>
                <w:color w:val="000000"/>
                <w:lang w:eastAsia="pt-BR"/>
              </w:rPr>
              <w:t>m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>ercial</w:t>
            </w:r>
          </w:p>
        </w:tc>
        <w:tc>
          <w:tcPr>
            <w:tcW w:w="2551" w:type="dxa"/>
            <w:noWrap/>
            <w:hideMark/>
          </w:tcPr>
          <w:p w14:paraId="0B85B1F2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Chand et al, 2013; </w:t>
            </w: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Colacci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2015</w:t>
            </w:r>
          </w:p>
        </w:tc>
        <w:tc>
          <w:tcPr>
            <w:tcW w:w="4111" w:type="dxa"/>
            <w:noWrap/>
            <w:hideMark/>
          </w:tcPr>
          <w:p w14:paraId="2308588C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157FAC" w:rsidRPr="0036088E" w14:paraId="212309F1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4C6957FA" w14:textId="20231BD6" w:rsidR="00157FAC" w:rsidRPr="0036088E" w:rsidRDefault="00157FAC" w:rsidP="00157FAC">
            <w:pPr>
              <w:rPr>
                <w:rFonts w:eastAsia="Times New Roman" w:cstheme="minorHAnsi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M. musculus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TCAP-1</w:t>
            </w:r>
          </w:p>
        </w:tc>
        <w:tc>
          <w:tcPr>
            <w:tcW w:w="2182" w:type="dxa"/>
            <w:noWrap/>
            <w:hideMark/>
          </w:tcPr>
          <w:p w14:paraId="0060F81A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anti-TCAP-1</w:t>
            </w:r>
          </w:p>
        </w:tc>
        <w:tc>
          <w:tcPr>
            <w:tcW w:w="1645" w:type="dxa"/>
            <w:noWrap/>
            <w:hideMark/>
          </w:tcPr>
          <w:p w14:paraId="231AAE9A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mouse monoclonal</w:t>
            </w:r>
          </w:p>
        </w:tc>
        <w:tc>
          <w:tcPr>
            <w:tcW w:w="1843" w:type="dxa"/>
            <w:noWrap/>
            <w:hideMark/>
          </w:tcPr>
          <w:p w14:paraId="51A9036B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ProMab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Biotechnologies</w:t>
            </w:r>
          </w:p>
        </w:tc>
        <w:tc>
          <w:tcPr>
            <w:tcW w:w="2551" w:type="dxa"/>
            <w:noWrap/>
            <w:hideMark/>
          </w:tcPr>
          <w:p w14:paraId="5BF4EDF2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Chand et al, 2014</w:t>
            </w:r>
          </w:p>
        </w:tc>
        <w:tc>
          <w:tcPr>
            <w:tcW w:w="4111" w:type="dxa"/>
            <w:noWrap/>
            <w:hideMark/>
          </w:tcPr>
          <w:p w14:paraId="5E594117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157FAC" w14:paraId="108CCF9F" w14:textId="77777777" w:rsidTr="00157FAC">
        <w:tc>
          <w:tcPr>
            <w:tcW w:w="14885" w:type="dxa"/>
            <w:gridSpan w:val="6"/>
            <w:shd w:val="clear" w:color="auto" w:fill="F2F2F2" w:themeFill="background1" w:themeFillShade="F2"/>
          </w:tcPr>
          <w:p w14:paraId="1B43BBEA" w14:textId="77777777" w:rsidR="00157FAC" w:rsidRPr="00680615" w:rsidRDefault="00157FAC" w:rsidP="00816D92">
            <w:pPr>
              <w:rPr>
                <w:i/>
              </w:rPr>
            </w:pPr>
            <w:r w:rsidRPr="00680615">
              <w:rPr>
                <w:b/>
                <w:i/>
              </w:rPr>
              <w:t>H. sapiens</w:t>
            </w:r>
          </w:p>
        </w:tc>
      </w:tr>
      <w:tr w:rsidR="00157FAC" w:rsidRPr="0036088E" w14:paraId="16350C2A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5F012C48" w14:textId="29D39642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H. sapiens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TEN2</w:t>
            </w:r>
          </w:p>
        </w:tc>
        <w:tc>
          <w:tcPr>
            <w:tcW w:w="2182" w:type="dxa"/>
            <w:noWrap/>
            <w:hideMark/>
          </w:tcPr>
          <w:p w14:paraId="4B0CA7F0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 teneurin-2 (N-13): sc-165674</w:t>
            </w:r>
          </w:p>
        </w:tc>
        <w:tc>
          <w:tcPr>
            <w:tcW w:w="1645" w:type="dxa"/>
            <w:noWrap/>
            <w:hideMark/>
          </w:tcPr>
          <w:p w14:paraId="3F937D9A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goat polyclonal</w:t>
            </w:r>
          </w:p>
        </w:tc>
        <w:tc>
          <w:tcPr>
            <w:tcW w:w="1843" w:type="dxa"/>
            <w:noWrap/>
            <w:hideMark/>
          </w:tcPr>
          <w:p w14:paraId="18464780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Santa Cruz Biotechnology,</w:t>
            </w:r>
          </w:p>
        </w:tc>
        <w:tc>
          <w:tcPr>
            <w:tcW w:w="2551" w:type="dxa"/>
            <w:noWrap/>
            <w:hideMark/>
          </w:tcPr>
          <w:p w14:paraId="5B31C913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Torres-da-Silva et al, 2017</w:t>
            </w:r>
          </w:p>
        </w:tc>
        <w:tc>
          <w:tcPr>
            <w:tcW w:w="4111" w:type="dxa"/>
            <w:noWrap/>
            <w:hideMark/>
          </w:tcPr>
          <w:p w14:paraId="1FFBB3FF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157FAC" w:rsidRPr="0036088E" w14:paraId="0F4AC107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0C206886" w14:textId="4A9C572D" w:rsidR="00157FAC" w:rsidRPr="0036088E" w:rsidRDefault="00157FAC" w:rsidP="00157FAC">
            <w:pPr>
              <w:rPr>
                <w:rFonts w:eastAsia="Times New Roman" w:cstheme="minorHAnsi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H. sapiens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TEN2</w:t>
            </w:r>
          </w:p>
        </w:tc>
        <w:tc>
          <w:tcPr>
            <w:tcW w:w="2182" w:type="dxa"/>
            <w:noWrap/>
            <w:hideMark/>
          </w:tcPr>
          <w:p w14:paraId="5256982C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anti-Ten-2 (HPA038420)</w:t>
            </w:r>
          </w:p>
        </w:tc>
        <w:tc>
          <w:tcPr>
            <w:tcW w:w="1645" w:type="dxa"/>
            <w:noWrap/>
            <w:hideMark/>
          </w:tcPr>
          <w:p w14:paraId="5F18B25D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rabbit polyclonal</w:t>
            </w:r>
          </w:p>
        </w:tc>
        <w:tc>
          <w:tcPr>
            <w:tcW w:w="1843" w:type="dxa"/>
            <w:noWrap/>
            <w:hideMark/>
          </w:tcPr>
          <w:p w14:paraId="517F8695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Sigma-Aldrich</w:t>
            </w:r>
          </w:p>
        </w:tc>
        <w:tc>
          <w:tcPr>
            <w:tcW w:w="2551" w:type="dxa"/>
            <w:noWrap/>
            <w:hideMark/>
          </w:tcPr>
          <w:p w14:paraId="245AD214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Graumman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2017</w:t>
            </w:r>
          </w:p>
        </w:tc>
        <w:tc>
          <w:tcPr>
            <w:tcW w:w="4111" w:type="dxa"/>
            <w:noWrap/>
            <w:hideMark/>
          </w:tcPr>
          <w:p w14:paraId="4B3A1BD6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157FAC" w:rsidRPr="0036088E" w14:paraId="09698E05" w14:textId="77777777" w:rsidTr="00157FAC">
        <w:trPr>
          <w:trHeight w:val="288"/>
        </w:trPr>
        <w:tc>
          <w:tcPr>
            <w:tcW w:w="2553" w:type="dxa"/>
            <w:noWrap/>
            <w:hideMark/>
          </w:tcPr>
          <w:p w14:paraId="41DBECAE" w14:textId="353838F8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157FAC">
              <w:rPr>
                <w:rFonts w:eastAsia="Times New Roman" w:cstheme="minorHAnsi"/>
                <w:i/>
                <w:color w:val="000000"/>
                <w:lang w:eastAsia="pt-BR"/>
              </w:rPr>
              <w:t>H. sapiens</w:t>
            </w:r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TEN4</w:t>
            </w:r>
          </w:p>
        </w:tc>
        <w:tc>
          <w:tcPr>
            <w:tcW w:w="2182" w:type="dxa"/>
            <w:noWrap/>
            <w:hideMark/>
          </w:tcPr>
          <w:p w14:paraId="2D139F76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anti-Ten-4 (DOC4-T15): sc-103484</w:t>
            </w:r>
          </w:p>
        </w:tc>
        <w:tc>
          <w:tcPr>
            <w:tcW w:w="1645" w:type="dxa"/>
            <w:noWrap/>
            <w:hideMark/>
          </w:tcPr>
          <w:p w14:paraId="64D939F2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goat polyclonal</w:t>
            </w:r>
          </w:p>
        </w:tc>
        <w:tc>
          <w:tcPr>
            <w:tcW w:w="1843" w:type="dxa"/>
            <w:noWrap/>
            <w:hideMark/>
          </w:tcPr>
          <w:p w14:paraId="7C90EF13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r w:rsidRPr="0036088E">
              <w:rPr>
                <w:rFonts w:eastAsia="Times New Roman" w:cstheme="minorHAnsi"/>
                <w:color w:val="000000"/>
                <w:lang w:eastAsia="pt-BR"/>
              </w:rPr>
              <w:t>Santa Cruz Biotechnology,</w:t>
            </w:r>
          </w:p>
        </w:tc>
        <w:tc>
          <w:tcPr>
            <w:tcW w:w="2551" w:type="dxa"/>
            <w:noWrap/>
            <w:hideMark/>
          </w:tcPr>
          <w:p w14:paraId="5F3096E6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6088E">
              <w:rPr>
                <w:rFonts w:eastAsia="Times New Roman" w:cstheme="minorHAnsi"/>
                <w:color w:val="000000"/>
                <w:lang w:eastAsia="pt-BR"/>
              </w:rPr>
              <w:t>Graumman</w:t>
            </w:r>
            <w:proofErr w:type="spellEnd"/>
            <w:r w:rsidRPr="0036088E">
              <w:rPr>
                <w:rFonts w:eastAsia="Times New Roman" w:cstheme="minorHAnsi"/>
                <w:color w:val="000000"/>
                <w:lang w:eastAsia="pt-BR"/>
              </w:rPr>
              <w:t xml:space="preserve"> et al, 2017</w:t>
            </w:r>
          </w:p>
        </w:tc>
        <w:tc>
          <w:tcPr>
            <w:tcW w:w="4111" w:type="dxa"/>
            <w:noWrap/>
            <w:hideMark/>
          </w:tcPr>
          <w:p w14:paraId="6619DE14" w14:textId="77777777" w:rsidR="00157FAC" w:rsidRPr="0036088E" w:rsidRDefault="00157FAC" w:rsidP="00157FAC">
            <w:pPr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549EDD4D" w14:textId="49A6F72A" w:rsidR="006529E5" w:rsidRDefault="006529E5" w:rsidP="008E7D11">
      <w:pPr>
        <w:rPr>
          <w:b/>
        </w:rPr>
      </w:pPr>
    </w:p>
    <w:p w14:paraId="07C11B4D" w14:textId="6B2AD60D" w:rsidR="00114895" w:rsidRPr="007B667D" w:rsidRDefault="007B667D" w:rsidP="007B667D">
      <w:pPr>
        <w:spacing w:line="240" w:lineRule="auto"/>
        <w:jc w:val="both"/>
        <w:rPr>
          <w:rFonts w:ascii="Calibri" w:hAnsi="Calibri" w:cs="Calibri"/>
          <w:noProof/>
          <w:sz w:val="28"/>
          <w:szCs w:val="28"/>
          <w:lang w:val="en-US"/>
        </w:rPr>
      </w:pPr>
      <w:r w:rsidRPr="007B667D">
        <w:rPr>
          <w:rFonts w:ascii="Calibri" w:hAnsi="Calibri" w:cs="Calibri"/>
          <w:noProof/>
          <w:sz w:val="28"/>
          <w:szCs w:val="28"/>
          <w:lang w:val="en-US"/>
        </w:rPr>
        <w:t>Supplementary material - Table 1:</w:t>
      </w:r>
      <w:bookmarkStart w:id="0" w:name="_GoBack"/>
      <w:bookmarkEnd w:id="0"/>
      <w:r w:rsidRPr="007B667D">
        <w:rPr>
          <w:rFonts w:ascii="Calibri" w:hAnsi="Calibri" w:cs="Calibri"/>
          <w:noProof/>
          <w:sz w:val="28"/>
          <w:szCs w:val="28"/>
          <w:lang w:val="en-US"/>
        </w:rPr>
        <w:t xml:space="preserve"> List of antibodies used in the reviewed articles. The table presents a comprehensive list of antibodies used in immunohistochemistry experiments cited in th</w:t>
      </w:r>
      <w:r w:rsidR="00BD37F8">
        <w:rPr>
          <w:rFonts w:ascii="Calibri" w:hAnsi="Calibri" w:cs="Calibri"/>
          <w:noProof/>
          <w:sz w:val="28"/>
          <w:szCs w:val="28"/>
          <w:lang w:val="en-US"/>
        </w:rPr>
        <w:t>is</w:t>
      </w:r>
      <w:r w:rsidRPr="007B667D">
        <w:rPr>
          <w:rFonts w:ascii="Calibri" w:hAnsi="Calibri" w:cs="Calibri"/>
          <w:noProof/>
          <w:sz w:val="28"/>
          <w:szCs w:val="28"/>
          <w:lang w:val="en-US"/>
        </w:rPr>
        <w:t xml:space="preserve"> review. The original articles provided the primary source of information enclosed in the table, but additional aspects of commercial antibodies were obtained in their respective datasheets</w:t>
      </w:r>
      <w:r>
        <w:rPr>
          <w:rFonts w:ascii="Calibri" w:hAnsi="Calibri" w:cs="Calibri"/>
          <w:noProof/>
          <w:sz w:val="28"/>
          <w:szCs w:val="28"/>
          <w:lang w:val="en-US"/>
        </w:rPr>
        <w:t xml:space="preserve"> available online</w:t>
      </w:r>
      <w:r w:rsidRPr="007B667D">
        <w:rPr>
          <w:rFonts w:ascii="Calibri" w:hAnsi="Calibri" w:cs="Calibri"/>
          <w:noProof/>
          <w:sz w:val="28"/>
          <w:szCs w:val="28"/>
          <w:lang w:val="en-US"/>
        </w:rPr>
        <w:t>.</w:t>
      </w:r>
    </w:p>
    <w:sectPr w:rsidR="00114895" w:rsidRPr="007B667D" w:rsidSect="00B20C9F">
      <w:footerReference w:type="firs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BCE5" w14:textId="77777777" w:rsidR="009C6112" w:rsidRDefault="009C6112" w:rsidP="004E2066">
      <w:pPr>
        <w:spacing w:after="0" w:line="240" w:lineRule="auto"/>
      </w:pPr>
      <w:r>
        <w:separator/>
      </w:r>
    </w:p>
  </w:endnote>
  <w:endnote w:type="continuationSeparator" w:id="0">
    <w:p w14:paraId="3138395F" w14:textId="77777777" w:rsidR="009C6112" w:rsidRDefault="009C6112" w:rsidP="004E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Bold SemiCondensed">
    <w:panose1 w:val="020B07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Semibold SemiCondens">
    <w:panose1 w:val="020B06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SemiCondensed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5CA7" w14:textId="77777777" w:rsidR="00737637" w:rsidRDefault="00737637">
    <w:pPr>
      <w:pStyle w:val="Footer"/>
    </w:pPr>
  </w:p>
  <w:p w14:paraId="516A635C" w14:textId="77777777" w:rsidR="00737637" w:rsidRDefault="00737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EC05" w14:textId="77777777" w:rsidR="009C6112" w:rsidRDefault="009C6112" w:rsidP="004E2066">
      <w:pPr>
        <w:spacing w:after="0" w:line="240" w:lineRule="auto"/>
      </w:pPr>
      <w:r>
        <w:separator/>
      </w:r>
    </w:p>
  </w:footnote>
  <w:footnote w:type="continuationSeparator" w:id="0">
    <w:p w14:paraId="3A967B1F" w14:textId="77777777" w:rsidR="009C6112" w:rsidRDefault="009C6112" w:rsidP="004E2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25A"/>
    <w:multiLevelType w:val="multilevel"/>
    <w:tmpl w:val="168655C2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70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7CC2505"/>
    <w:multiLevelType w:val="multilevel"/>
    <w:tmpl w:val="40E87FA6"/>
    <w:lvl w:ilvl="0">
      <w:start w:val="2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A6372F9"/>
    <w:multiLevelType w:val="multilevel"/>
    <w:tmpl w:val="4E0C9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8160C57"/>
    <w:multiLevelType w:val="multilevel"/>
    <w:tmpl w:val="ACDC005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606C8D"/>
    <w:multiLevelType w:val="multilevel"/>
    <w:tmpl w:val="6A0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</w:num>
  <w:num w:numId="5">
    <w:abstractNumId w:val="0"/>
  </w:num>
  <w:num w:numId="6">
    <w:abstractNumId w:val="1"/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xMTEwtjAwMbMwsjRT0lEKTi0uzszPAykwrQUAwY52X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veaewa02far6e9zwrp5v5je5rxxtf0fvxv&quot;&gt;Sita n Diniz 2019&lt;record-ids&gt;&lt;item&gt;78&lt;/item&gt;&lt;/record-ids&gt;&lt;/item&gt;&lt;/Libraries&gt;"/>
  </w:docVars>
  <w:rsids>
    <w:rsidRoot w:val="006E0F85"/>
    <w:rsid w:val="00000AFD"/>
    <w:rsid w:val="00002191"/>
    <w:rsid w:val="00002629"/>
    <w:rsid w:val="00004A16"/>
    <w:rsid w:val="000053C4"/>
    <w:rsid w:val="00006EAE"/>
    <w:rsid w:val="00010B86"/>
    <w:rsid w:val="000129FD"/>
    <w:rsid w:val="000156A1"/>
    <w:rsid w:val="00015DEF"/>
    <w:rsid w:val="00017315"/>
    <w:rsid w:val="00020456"/>
    <w:rsid w:val="00023B95"/>
    <w:rsid w:val="0002448D"/>
    <w:rsid w:val="00026284"/>
    <w:rsid w:val="000272B3"/>
    <w:rsid w:val="00027708"/>
    <w:rsid w:val="000309FE"/>
    <w:rsid w:val="00030C76"/>
    <w:rsid w:val="00032787"/>
    <w:rsid w:val="00034605"/>
    <w:rsid w:val="00034BF3"/>
    <w:rsid w:val="00036C2A"/>
    <w:rsid w:val="00040A27"/>
    <w:rsid w:val="00040AC1"/>
    <w:rsid w:val="00041102"/>
    <w:rsid w:val="000424F2"/>
    <w:rsid w:val="00043065"/>
    <w:rsid w:val="00043B88"/>
    <w:rsid w:val="000443BB"/>
    <w:rsid w:val="000461A8"/>
    <w:rsid w:val="00047ED6"/>
    <w:rsid w:val="00047EE6"/>
    <w:rsid w:val="000518EE"/>
    <w:rsid w:val="000543B8"/>
    <w:rsid w:val="000552F2"/>
    <w:rsid w:val="000559C8"/>
    <w:rsid w:val="00055E43"/>
    <w:rsid w:val="00056503"/>
    <w:rsid w:val="00060AA5"/>
    <w:rsid w:val="00062D59"/>
    <w:rsid w:val="00063B10"/>
    <w:rsid w:val="000647BA"/>
    <w:rsid w:val="00065EA1"/>
    <w:rsid w:val="00066A2D"/>
    <w:rsid w:val="00070C0E"/>
    <w:rsid w:val="00071886"/>
    <w:rsid w:val="00072789"/>
    <w:rsid w:val="000727FD"/>
    <w:rsid w:val="00073278"/>
    <w:rsid w:val="000734FC"/>
    <w:rsid w:val="0007445D"/>
    <w:rsid w:val="00075272"/>
    <w:rsid w:val="00075C12"/>
    <w:rsid w:val="00075EAA"/>
    <w:rsid w:val="00081363"/>
    <w:rsid w:val="00082037"/>
    <w:rsid w:val="000824BB"/>
    <w:rsid w:val="00084FDB"/>
    <w:rsid w:val="00086FFC"/>
    <w:rsid w:val="000900B7"/>
    <w:rsid w:val="000905EF"/>
    <w:rsid w:val="000906E7"/>
    <w:rsid w:val="00091761"/>
    <w:rsid w:val="000930F4"/>
    <w:rsid w:val="00094F88"/>
    <w:rsid w:val="0009507C"/>
    <w:rsid w:val="00095F2B"/>
    <w:rsid w:val="0009668B"/>
    <w:rsid w:val="000973FD"/>
    <w:rsid w:val="000A1765"/>
    <w:rsid w:val="000A1A5C"/>
    <w:rsid w:val="000A2DCB"/>
    <w:rsid w:val="000A3671"/>
    <w:rsid w:val="000A3802"/>
    <w:rsid w:val="000A5EE0"/>
    <w:rsid w:val="000A74A9"/>
    <w:rsid w:val="000A79F3"/>
    <w:rsid w:val="000B2CB7"/>
    <w:rsid w:val="000B39D7"/>
    <w:rsid w:val="000B5004"/>
    <w:rsid w:val="000C0409"/>
    <w:rsid w:val="000C1517"/>
    <w:rsid w:val="000C2329"/>
    <w:rsid w:val="000C27C0"/>
    <w:rsid w:val="000C3A4C"/>
    <w:rsid w:val="000C59F2"/>
    <w:rsid w:val="000C6813"/>
    <w:rsid w:val="000D0856"/>
    <w:rsid w:val="000D0BBB"/>
    <w:rsid w:val="000D0F90"/>
    <w:rsid w:val="000D1FD2"/>
    <w:rsid w:val="000D2634"/>
    <w:rsid w:val="000D750C"/>
    <w:rsid w:val="000E2EA3"/>
    <w:rsid w:val="000E3939"/>
    <w:rsid w:val="000E40EC"/>
    <w:rsid w:val="000F18CA"/>
    <w:rsid w:val="000F3949"/>
    <w:rsid w:val="000F3C1C"/>
    <w:rsid w:val="000F698A"/>
    <w:rsid w:val="000F6F1D"/>
    <w:rsid w:val="000F719D"/>
    <w:rsid w:val="000F751E"/>
    <w:rsid w:val="0010208C"/>
    <w:rsid w:val="00102594"/>
    <w:rsid w:val="0010497D"/>
    <w:rsid w:val="00104A03"/>
    <w:rsid w:val="00105DE4"/>
    <w:rsid w:val="00106950"/>
    <w:rsid w:val="001071E6"/>
    <w:rsid w:val="00111639"/>
    <w:rsid w:val="001126D8"/>
    <w:rsid w:val="001127B6"/>
    <w:rsid w:val="001146BF"/>
    <w:rsid w:val="00114895"/>
    <w:rsid w:val="00117DE8"/>
    <w:rsid w:val="00121758"/>
    <w:rsid w:val="00122FC2"/>
    <w:rsid w:val="0012413C"/>
    <w:rsid w:val="001249A9"/>
    <w:rsid w:val="00124C73"/>
    <w:rsid w:val="00132DB4"/>
    <w:rsid w:val="00133429"/>
    <w:rsid w:val="00136718"/>
    <w:rsid w:val="0014182D"/>
    <w:rsid w:val="001420E1"/>
    <w:rsid w:val="0014231C"/>
    <w:rsid w:val="001427DC"/>
    <w:rsid w:val="00143046"/>
    <w:rsid w:val="00143BB3"/>
    <w:rsid w:val="00143F6C"/>
    <w:rsid w:val="00144DA0"/>
    <w:rsid w:val="001457F0"/>
    <w:rsid w:val="00146242"/>
    <w:rsid w:val="00146E14"/>
    <w:rsid w:val="001470F7"/>
    <w:rsid w:val="00150E22"/>
    <w:rsid w:val="0015122C"/>
    <w:rsid w:val="00154718"/>
    <w:rsid w:val="00155C90"/>
    <w:rsid w:val="00157FAC"/>
    <w:rsid w:val="00160ED7"/>
    <w:rsid w:val="0016420B"/>
    <w:rsid w:val="001643E2"/>
    <w:rsid w:val="00166D2A"/>
    <w:rsid w:val="0016726D"/>
    <w:rsid w:val="001672C2"/>
    <w:rsid w:val="0017014C"/>
    <w:rsid w:val="00170F4F"/>
    <w:rsid w:val="00170F9A"/>
    <w:rsid w:val="00173C1D"/>
    <w:rsid w:val="00175084"/>
    <w:rsid w:val="001753F3"/>
    <w:rsid w:val="0017765B"/>
    <w:rsid w:val="001805A7"/>
    <w:rsid w:val="0018139C"/>
    <w:rsid w:val="00182A32"/>
    <w:rsid w:val="00182CFD"/>
    <w:rsid w:val="00182D6E"/>
    <w:rsid w:val="00184ECB"/>
    <w:rsid w:val="00186A36"/>
    <w:rsid w:val="00186F47"/>
    <w:rsid w:val="00190C57"/>
    <w:rsid w:val="0019283D"/>
    <w:rsid w:val="00192F78"/>
    <w:rsid w:val="0019445E"/>
    <w:rsid w:val="00194E7D"/>
    <w:rsid w:val="001A4586"/>
    <w:rsid w:val="001A483E"/>
    <w:rsid w:val="001A55F5"/>
    <w:rsid w:val="001B11D8"/>
    <w:rsid w:val="001B16C3"/>
    <w:rsid w:val="001B2517"/>
    <w:rsid w:val="001B2E46"/>
    <w:rsid w:val="001B2FEB"/>
    <w:rsid w:val="001B43A8"/>
    <w:rsid w:val="001B54B1"/>
    <w:rsid w:val="001B674A"/>
    <w:rsid w:val="001B686D"/>
    <w:rsid w:val="001C0F66"/>
    <w:rsid w:val="001C194A"/>
    <w:rsid w:val="001C1F5F"/>
    <w:rsid w:val="001C21D8"/>
    <w:rsid w:val="001C36E3"/>
    <w:rsid w:val="001C5FA8"/>
    <w:rsid w:val="001C6915"/>
    <w:rsid w:val="001C7079"/>
    <w:rsid w:val="001D2D75"/>
    <w:rsid w:val="001D2E6A"/>
    <w:rsid w:val="001D318E"/>
    <w:rsid w:val="001D43E5"/>
    <w:rsid w:val="001D695E"/>
    <w:rsid w:val="001E09F6"/>
    <w:rsid w:val="001E1E46"/>
    <w:rsid w:val="001E258D"/>
    <w:rsid w:val="001E4BE7"/>
    <w:rsid w:val="001E5D46"/>
    <w:rsid w:val="001F3AD9"/>
    <w:rsid w:val="001F423E"/>
    <w:rsid w:val="001F4278"/>
    <w:rsid w:val="001F6629"/>
    <w:rsid w:val="001F6786"/>
    <w:rsid w:val="001F7D4C"/>
    <w:rsid w:val="002002F2"/>
    <w:rsid w:val="002006FE"/>
    <w:rsid w:val="00200FC9"/>
    <w:rsid w:val="002010AD"/>
    <w:rsid w:val="002010E1"/>
    <w:rsid w:val="002029A8"/>
    <w:rsid w:val="00204455"/>
    <w:rsid w:val="00205885"/>
    <w:rsid w:val="00205A1C"/>
    <w:rsid w:val="002114B1"/>
    <w:rsid w:val="00212BAE"/>
    <w:rsid w:val="00213CA7"/>
    <w:rsid w:val="0021537E"/>
    <w:rsid w:val="00215E96"/>
    <w:rsid w:val="0021748E"/>
    <w:rsid w:val="0022125B"/>
    <w:rsid w:val="002215A1"/>
    <w:rsid w:val="0022205C"/>
    <w:rsid w:val="00222C07"/>
    <w:rsid w:val="0022525D"/>
    <w:rsid w:val="00226463"/>
    <w:rsid w:val="00227B99"/>
    <w:rsid w:val="0023253B"/>
    <w:rsid w:val="002327DF"/>
    <w:rsid w:val="00232D22"/>
    <w:rsid w:val="00237389"/>
    <w:rsid w:val="00244E39"/>
    <w:rsid w:val="0024647F"/>
    <w:rsid w:val="0024691E"/>
    <w:rsid w:val="002470B3"/>
    <w:rsid w:val="0025066C"/>
    <w:rsid w:val="00250A90"/>
    <w:rsid w:val="00252382"/>
    <w:rsid w:val="002564E4"/>
    <w:rsid w:val="00257329"/>
    <w:rsid w:val="00261818"/>
    <w:rsid w:val="0026336F"/>
    <w:rsid w:val="00264BD0"/>
    <w:rsid w:val="00264E5A"/>
    <w:rsid w:val="00270F2D"/>
    <w:rsid w:val="002749DF"/>
    <w:rsid w:val="0027726E"/>
    <w:rsid w:val="00277CFB"/>
    <w:rsid w:val="00280E4A"/>
    <w:rsid w:val="002823F4"/>
    <w:rsid w:val="002836EF"/>
    <w:rsid w:val="00284882"/>
    <w:rsid w:val="002853E8"/>
    <w:rsid w:val="0028773F"/>
    <w:rsid w:val="00292507"/>
    <w:rsid w:val="0029292C"/>
    <w:rsid w:val="00296998"/>
    <w:rsid w:val="00296C04"/>
    <w:rsid w:val="0029704B"/>
    <w:rsid w:val="002972C6"/>
    <w:rsid w:val="002A1B41"/>
    <w:rsid w:val="002A1F14"/>
    <w:rsid w:val="002A2AB7"/>
    <w:rsid w:val="002A34AB"/>
    <w:rsid w:val="002A3F7B"/>
    <w:rsid w:val="002A523E"/>
    <w:rsid w:val="002A63C4"/>
    <w:rsid w:val="002A63E1"/>
    <w:rsid w:val="002A6B6E"/>
    <w:rsid w:val="002A74F7"/>
    <w:rsid w:val="002B13B7"/>
    <w:rsid w:val="002B5AE3"/>
    <w:rsid w:val="002C5F69"/>
    <w:rsid w:val="002C62C3"/>
    <w:rsid w:val="002C6BCD"/>
    <w:rsid w:val="002C739C"/>
    <w:rsid w:val="002C7D5A"/>
    <w:rsid w:val="002D020B"/>
    <w:rsid w:val="002D47A6"/>
    <w:rsid w:val="002E032F"/>
    <w:rsid w:val="002E177F"/>
    <w:rsid w:val="002E4B7A"/>
    <w:rsid w:val="002E6577"/>
    <w:rsid w:val="002F09E0"/>
    <w:rsid w:val="002F1E2F"/>
    <w:rsid w:val="002F28A4"/>
    <w:rsid w:val="002F6341"/>
    <w:rsid w:val="002F7011"/>
    <w:rsid w:val="00300148"/>
    <w:rsid w:val="00300EF3"/>
    <w:rsid w:val="00301C2E"/>
    <w:rsid w:val="003024B0"/>
    <w:rsid w:val="00306347"/>
    <w:rsid w:val="00307C67"/>
    <w:rsid w:val="003109AC"/>
    <w:rsid w:val="00315087"/>
    <w:rsid w:val="00315791"/>
    <w:rsid w:val="003166CE"/>
    <w:rsid w:val="003179B4"/>
    <w:rsid w:val="00320716"/>
    <w:rsid w:val="00323F1B"/>
    <w:rsid w:val="003318FE"/>
    <w:rsid w:val="003319D3"/>
    <w:rsid w:val="0033292B"/>
    <w:rsid w:val="003348AA"/>
    <w:rsid w:val="0033540A"/>
    <w:rsid w:val="00335CDC"/>
    <w:rsid w:val="00340855"/>
    <w:rsid w:val="00340898"/>
    <w:rsid w:val="00341A7E"/>
    <w:rsid w:val="003429CC"/>
    <w:rsid w:val="00343AD0"/>
    <w:rsid w:val="00343D9A"/>
    <w:rsid w:val="00345F1D"/>
    <w:rsid w:val="00346042"/>
    <w:rsid w:val="003462B2"/>
    <w:rsid w:val="003464BD"/>
    <w:rsid w:val="00346B45"/>
    <w:rsid w:val="00350084"/>
    <w:rsid w:val="00350308"/>
    <w:rsid w:val="0035049A"/>
    <w:rsid w:val="003545DF"/>
    <w:rsid w:val="003558B3"/>
    <w:rsid w:val="00356706"/>
    <w:rsid w:val="0036088E"/>
    <w:rsid w:val="00362656"/>
    <w:rsid w:val="00364B99"/>
    <w:rsid w:val="0036595C"/>
    <w:rsid w:val="0036796A"/>
    <w:rsid w:val="00374A66"/>
    <w:rsid w:val="003752E0"/>
    <w:rsid w:val="00375E41"/>
    <w:rsid w:val="0037791D"/>
    <w:rsid w:val="00381D53"/>
    <w:rsid w:val="00383E2A"/>
    <w:rsid w:val="00383E8F"/>
    <w:rsid w:val="00387536"/>
    <w:rsid w:val="00390281"/>
    <w:rsid w:val="0039039B"/>
    <w:rsid w:val="00393DD3"/>
    <w:rsid w:val="0039664B"/>
    <w:rsid w:val="00396870"/>
    <w:rsid w:val="0039764F"/>
    <w:rsid w:val="00397EFB"/>
    <w:rsid w:val="003A0C08"/>
    <w:rsid w:val="003A21A8"/>
    <w:rsid w:val="003A35A1"/>
    <w:rsid w:val="003A4AC6"/>
    <w:rsid w:val="003A5708"/>
    <w:rsid w:val="003A5B47"/>
    <w:rsid w:val="003A6A7E"/>
    <w:rsid w:val="003B04F7"/>
    <w:rsid w:val="003B0EB7"/>
    <w:rsid w:val="003B5619"/>
    <w:rsid w:val="003B606E"/>
    <w:rsid w:val="003B7A01"/>
    <w:rsid w:val="003C0785"/>
    <w:rsid w:val="003C29AA"/>
    <w:rsid w:val="003C301D"/>
    <w:rsid w:val="003C5C89"/>
    <w:rsid w:val="003C6819"/>
    <w:rsid w:val="003C6F58"/>
    <w:rsid w:val="003C7663"/>
    <w:rsid w:val="003C7956"/>
    <w:rsid w:val="003D2928"/>
    <w:rsid w:val="003D2B8F"/>
    <w:rsid w:val="003D37C0"/>
    <w:rsid w:val="003D37D1"/>
    <w:rsid w:val="003D3E8D"/>
    <w:rsid w:val="003D5E8C"/>
    <w:rsid w:val="003D787A"/>
    <w:rsid w:val="003E05B1"/>
    <w:rsid w:val="003E16AA"/>
    <w:rsid w:val="003E34CE"/>
    <w:rsid w:val="003E42B5"/>
    <w:rsid w:val="003E515D"/>
    <w:rsid w:val="003E5866"/>
    <w:rsid w:val="003E6DAD"/>
    <w:rsid w:val="003E77C5"/>
    <w:rsid w:val="003F16EE"/>
    <w:rsid w:val="003F2DB4"/>
    <w:rsid w:val="003F31A9"/>
    <w:rsid w:val="003F5477"/>
    <w:rsid w:val="003F635E"/>
    <w:rsid w:val="003F66FC"/>
    <w:rsid w:val="003F739A"/>
    <w:rsid w:val="004029B3"/>
    <w:rsid w:val="00402DB8"/>
    <w:rsid w:val="00406D8A"/>
    <w:rsid w:val="00410BE9"/>
    <w:rsid w:val="0041220E"/>
    <w:rsid w:val="004128E7"/>
    <w:rsid w:val="00414804"/>
    <w:rsid w:val="004168B8"/>
    <w:rsid w:val="004217DF"/>
    <w:rsid w:val="00421EAC"/>
    <w:rsid w:val="00427747"/>
    <w:rsid w:val="00427D17"/>
    <w:rsid w:val="00430485"/>
    <w:rsid w:val="004322A2"/>
    <w:rsid w:val="004339E2"/>
    <w:rsid w:val="00434018"/>
    <w:rsid w:val="004351C0"/>
    <w:rsid w:val="0043570F"/>
    <w:rsid w:val="004361D5"/>
    <w:rsid w:val="004370A4"/>
    <w:rsid w:val="00437D13"/>
    <w:rsid w:val="00443A13"/>
    <w:rsid w:val="00444DC8"/>
    <w:rsid w:val="0044615D"/>
    <w:rsid w:val="00446331"/>
    <w:rsid w:val="00446A66"/>
    <w:rsid w:val="00446D2E"/>
    <w:rsid w:val="00451C4B"/>
    <w:rsid w:val="00452686"/>
    <w:rsid w:val="004529CF"/>
    <w:rsid w:val="00453C29"/>
    <w:rsid w:val="00453DDB"/>
    <w:rsid w:val="004546B3"/>
    <w:rsid w:val="00454E5A"/>
    <w:rsid w:val="00457A7E"/>
    <w:rsid w:val="00457BB6"/>
    <w:rsid w:val="00457E62"/>
    <w:rsid w:val="004609F6"/>
    <w:rsid w:val="004618EC"/>
    <w:rsid w:val="00463317"/>
    <w:rsid w:val="004677B0"/>
    <w:rsid w:val="00467870"/>
    <w:rsid w:val="004711E1"/>
    <w:rsid w:val="004713DC"/>
    <w:rsid w:val="004725EA"/>
    <w:rsid w:val="0047288C"/>
    <w:rsid w:val="00475BA0"/>
    <w:rsid w:val="004761F6"/>
    <w:rsid w:val="004807DA"/>
    <w:rsid w:val="0048179A"/>
    <w:rsid w:val="00482127"/>
    <w:rsid w:val="00482F09"/>
    <w:rsid w:val="004840B7"/>
    <w:rsid w:val="004871E6"/>
    <w:rsid w:val="004879F6"/>
    <w:rsid w:val="00490246"/>
    <w:rsid w:val="00492BBB"/>
    <w:rsid w:val="00494724"/>
    <w:rsid w:val="00494E6B"/>
    <w:rsid w:val="00494EFA"/>
    <w:rsid w:val="00497F4D"/>
    <w:rsid w:val="004A15E5"/>
    <w:rsid w:val="004B0898"/>
    <w:rsid w:val="004B16B8"/>
    <w:rsid w:val="004B2E86"/>
    <w:rsid w:val="004B531F"/>
    <w:rsid w:val="004B5987"/>
    <w:rsid w:val="004B7FEF"/>
    <w:rsid w:val="004C0E66"/>
    <w:rsid w:val="004C1D01"/>
    <w:rsid w:val="004C1E0E"/>
    <w:rsid w:val="004C4CA1"/>
    <w:rsid w:val="004D10CA"/>
    <w:rsid w:val="004D159B"/>
    <w:rsid w:val="004D3F88"/>
    <w:rsid w:val="004D748B"/>
    <w:rsid w:val="004E2066"/>
    <w:rsid w:val="004E25B5"/>
    <w:rsid w:val="004E53CE"/>
    <w:rsid w:val="004F0FB4"/>
    <w:rsid w:val="004F18FB"/>
    <w:rsid w:val="004F1BFB"/>
    <w:rsid w:val="004F61F8"/>
    <w:rsid w:val="005035C9"/>
    <w:rsid w:val="00503E9C"/>
    <w:rsid w:val="0050416C"/>
    <w:rsid w:val="00505CB1"/>
    <w:rsid w:val="00507F86"/>
    <w:rsid w:val="00511F68"/>
    <w:rsid w:val="0051333C"/>
    <w:rsid w:val="005135B5"/>
    <w:rsid w:val="00515568"/>
    <w:rsid w:val="005159F8"/>
    <w:rsid w:val="00515DDC"/>
    <w:rsid w:val="0051642A"/>
    <w:rsid w:val="00516E16"/>
    <w:rsid w:val="00517050"/>
    <w:rsid w:val="00517CFF"/>
    <w:rsid w:val="0052093F"/>
    <w:rsid w:val="00520CA2"/>
    <w:rsid w:val="00521CF9"/>
    <w:rsid w:val="00524BC2"/>
    <w:rsid w:val="00526607"/>
    <w:rsid w:val="00527F51"/>
    <w:rsid w:val="00530AE0"/>
    <w:rsid w:val="0053304F"/>
    <w:rsid w:val="00535599"/>
    <w:rsid w:val="00537EF7"/>
    <w:rsid w:val="0054151D"/>
    <w:rsid w:val="00541D45"/>
    <w:rsid w:val="00542BE4"/>
    <w:rsid w:val="0054522F"/>
    <w:rsid w:val="005457E2"/>
    <w:rsid w:val="00552D90"/>
    <w:rsid w:val="005542FC"/>
    <w:rsid w:val="005556E2"/>
    <w:rsid w:val="00555CC0"/>
    <w:rsid w:val="005564F0"/>
    <w:rsid w:val="00556DCA"/>
    <w:rsid w:val="0056061B"/>
    <w:rsid w:val="005624E8"/>
    <w:rsid w:val="00562903"/>
    <w:rsid w:val="00562E85"/>
    <w:rsid w:val="005651DC"/>
    <w:rsid w:val="00573588"/>
    <w:rsid w:val="00574D63"/>
    <w:rsid w:val="00575E76"/>
    <w:rsid w:val="005776BD"/>
    <w:rsid w:val="00580B93"/>
    <w:rsid w:val="00580FFD"/>
    <w:rsid w:val="00581C9C"/>
    <w:rsid w:val="00581D89"/>
    <w:rsid w:val="00583F68"/>
    <w:rsid w:val="005847BC"/>
    <w:rsid w:val="00584E47"/>
    <w:rsid w:val="00585642"/>
    <w:rsid w:val="00587405"/>
    <w:rsid w:val="00587973"/>
    <w:rsid w:val="00592767"/>
    <w:rsid w:val="0059459D"/>
    <w:rsid w:val="005A2FC5"/>
    <w:rsid w:val="005A409C"/>
    <w:rsid w:val="005B1232"/>
    <w:rsid w:val="005B20E3"/>
    <w:rsid w:val="005B2838"/>
    <w:rsid w:val="005B3C27"/>
    <w:rsid w:val="005B498E"/>
    <w:rsid w:val="005B4CB1"/>
    <w:rsid w:val="005B5FCB"/>
    <w:rsid w:val="005B6943"/>
    <w:rsid w:val="005B6A7A"/>
    <w:rsid w:val="005B6AA8"/>
    <w:rsid w:val="005B7A54"/>
    <w:rsid w:val="005C4936"/>
    <w:rsid w:val="005C4ED6"/>
    <w:rsid w:val="005D1D46"/>
    <w:rsid w:val="005D2367"/>
    <w:rsid w:val="005D34D5"/>
    <w:rsid w:val="005D53DC"/>
    <w:rsid w:val="005D5BC1"/>
    <w:rsid w:val="005D65F8"/>
    <w:rsid w:val="005D6B00"/>
    <w:rsid w:val="005E0480"/>
    <w:rsid w:val="005E1B4C"/>
    <w:rsid w:val="005E3519"/>
    <w:rsid w:val="005E38CC"/>
    <w:rsid w:val="005E4406"/>
    <w:rsid w:val="005E5BD9"/>
    <w:rsid w:val="005F6603"/>
    <w:rsid w:val="005F7232"/>
    <w:rsid w:val="006044DB"/>
    <w:rsid w:val="00607513"/>
    <w:rsid w:val="0061243A"/>
    <w:rsid w:val="0061267C"/>
    <w:rsid w:val="00612A3F"/>
    <w:rsid w:val="0061348D"/>
    <w:rsid w:val="006137A9"/>
    <w:rsid w:val="00613B15"/>
    <w:rsid w:val="00615100"/>
    <w:rsid w:val="00615AB6"/>
    <w:rsid w:val="00616816"/>
    <w:rsid w:val="00617D4C"/>
    <w:rsid w:val="006256B0"/>
    <w:rsid w:val="006316D6"/>
    <w:rsid w:val="0063324C"/>
    <w:rsid w:val="006338CE"/>
    <w:rsid w:val="00635B8E"/>
    <w:rsid w:val="00635E07"/>
    <w:rsid w:val="00636071"/>
    <w:rsid w:val="00637C54"/>
    <w:rsid w:val="00641756"/>
    <w:rsid w:val="006422C4"/>
    <w:rsid w:val="00642414"/>
    <w:rsid w:val="0064310A"/>
    <w:rsid w:val="006437DE"/>
    <w:rsid w:val="00646365"/>
    <w:rsid w:val="00647CA4"/>
    <w:rsid w:val="00647DD6"/>
    <w:rsid w:val="00651974"/>
    <w:rsid w:val="0065233D"/>
    <w:rsid w:val="00652482"/>
    <w:rsid w:val="006529E5"/>
    <w:rsid w:val="00652A96"/>
    <w:rsid w:val="0065319A"/>
    <w:rsid w:val="00654FC5"/>
    <w:rsid w:val="00655834"/>
    <w:rsid w:val="00655BB0"/>
    <w:rsid w:val="006563D4"/>
    <w:rsid w:val="00657861"/>
    <w:rsid w:val="006579BA"/>
    <w:rsid w:val="00660FD6"/>
    <w:rsid w:val="00662C12"/>
    <w:rsid w:val="00663D6A"/>
    <w:rsid w:val="006646B3"/>
    <w:rsid w:val="00665BC5"/>
    <w:rsid w:val="006677A2"/>
    <w:rsid w:val="006701CC"/>
    <w:rsid w:val="00670F06"/>
    <w:rsid w:val="00674E6A"/>
    <w:rsid w:val="006754D7"/>
    <w:rsid w:val="006759A9"/>
    <w:rsid w:val="00675FCB"/>
    <w:rsid w:val="006811B6"/>
    <w:rsid w:val="006855E0"/>
    <w:rsid w:val="00687D01"/>
    <w:rsid w:val="00690AF3"/>
    <w:rsid w:val="00690B46"/>
    <w:rsid w:val="006971C7"/>
    <w:rsid w:val="006974EA"/>
    <w:rsid w:val="006A0E74"/>
    <w:rsid w:val="006A1A6C"/>
    <w:rsid w:val="006A22D9"/>
    <w:rsid w:val="006A3493"/>
    <w:rsid w:val="006A4ED6"/>
    <w:rsid w:val="006A5896"/>
    <w:rsid w:val="006A6615"/>
    <w:rsid w:val="006B026C"/>
    <w:rsid w:val="006B17B3"/>
    <w:rsid w:val="006B51DD"/>
    <w:rsid w:val="006B55A8"/>
    <w:rsid w:val="006C27D7"/>
    <w:rsid w:val="006C3337"/>
    <w:rsid w:val="006C628E"/>
    <w:rsid w:val="006D0DD9"/>
    <w:rsid w:val="006D3C8F"/>
    <w:rsid w:val="006D5ACE"/>
    <w:rsid w:val="006D751A"/>
    <w:rsid w:val="006E06FC"/>
    <w:rsid w:val="006E0F85"/>
    <w:rsid w:val="006E330C"/>
    <w:rsid w:val="006E43D8"/>
    <w:rsid w:val="006E449B"/>
    <w:rsid w:val="006E55E3"/>
    <w:rsid w:val="006E65A8"/>
    <w:rsid w:val="006E726B"/>
    <w:rsid w:val="006F1250"/>
    <w:rsid w:val="006F1B5A"/>
    <w:rsid w:val="006F272E"/>
    <w:rsid w:val="006F60C6"/>
    <w:rsid w:val="006F7DFA"/>
    <w:rsid w:val="00701C28"/>
    <w:rsid w:val="00702260"/>
    <w:rsid w:val="00703036"/>
    <w:rsid w:val="00705171"/>
    <w:rsid w:val="00705959"/>
    <w:rsid w:val="007066AF"/>
    <w:rsid w:val="00706C92"/>
    <w:rsid w:val="00707CFE"/>
    <w:rsid w:val="007100B8"/>
    <w:rsid w:val="00711CDB"/>
    <w:rsid w:val="007129D5"/>
    <w:rsid w:val="0071444F"/>
    <w:rsid w:val="007166B1"/>
    <w:rsid w:val="00722544"/>
    <w:rsid w:val="00722737"/>
    <w:rsid w:val="00722932"/>
    <w:rsid w:val="00722E5B"/>
    <w:rsid w:val="007270B5"/>
    <w:rsid w:val="00731F82"/>
    <w:rsid w:val="00735016"/>
    <w:rsid w:val="00735AC5"/>
    <w:rsid w:val="00737637"/>
    <w:rsid w:val="007414B0"/>
    <w:rsid w:val="00741A36"/>
    <w:rsid w:val="0074209A"/>
    <w:rsid w:val="00747701"/>
    <w:rsid w:val="00752523"/>
    <w:rsid w:val="00752654"/>
    <w:rsid w:val="00752FC7"/>
    <w:rsid w:val="00755580"/>
    <w:rsid w:val="007568A7"/>
    <w:rsid w:val="00760A27"/>
    <w:rsid w:val="00761221"/>
    <w:rsid w:val="00761507"/>
    <w:rsid w:val="00762593"/>
    <w:rsid w:val="00762816"/>
    <w:rsid w:val="00762A1E"/>
    <w:rsid w:val="00764CEE"/>
    <w:rsid w:val="00766153"/>
    <w:rsid w:val="0076731F"/>
    <w:rsid w:val="00772159"/>
    <w:rsid w:val="00772746"/>
    <w:rsid w:val="00772E03"/>
    <w:rsid w:val="00775527"/>
    <w:rsid w:val="00775DFF"/>
    <w:rsid w:val="007760D9"/>
    <w:rsid w:val="007762FE"/>
    <w:rsid w:val="00781010"/>
    <w:rsid w:val="00782F6E"/>
    <w:rsid w:val="00784C28"/>
    <w:rsid w:val="00790498"/>
    <w:rsid w:val="007929D1"/>
    <w:rsid w:val="00793089"/>
    <w:rsid w:val="007956C2"/>
    <w:rsid w:val="00795C26"/>
    <w:rsid w:val="00795D89"/>
    <w:rsid w:val="007973BC"/>
    <w:rsid w:val="0079784B"/>
    <w:rsid w:val="00797DB4"/>
    <w:rsid w:val="007A1D33"/>
    <w:rsid w:val="007A2289"/>
    <w:rsid w:val="007A253D"/>
    <w:rsid w:val="007A48CC"/>
    <w:rsid w:val="007A5FFF"/>
    <w:rsid w:val="007B1AC2"/>
    <w:rsid w:val="007B3100"/>
    <w:rsid w:val="007B32E9"/>
    <w:rsid w:val="007B4FCC"/>
    <w:rsid w:val="007B56D0"/>
    <w:rsid w:val="007B5DB2"/>
    <w:rsid w:val="007B667D"/>
    <w:rsid w:val="007B672A"/>
    <w:rsid w:val="007B67F7"/>
    <w:rsid w:val="007B7EF0"/>
    <w:rsid w:val="007C0197"/>
    <w:rsid w:val="007C01FD"/>
    <w:rsid w:val="007C1610"/>
    <w:rsid w:val="007C23C1"/>
    <w:rsid w:val="007C320E"/>
    <w:rsid w:val="007C3668"/>
    <w:rsid w:val="007C394F"/>
    <w:rsid w:val="007C50AD"/>
    <w:rsid w:val="007C5DFE"/>
    <w:rsid w:val="007C6FE3"/>
    <w:rsid w:val="007C7E31"/>
    <w:rsid w:val="007D095D"/>
    <w:rsid w:val="007D3462"/>
    <w:rsid w:val="007D3ABE"/>
    <w:rsid w:val="007D4434"/>
    <w:rsid w:val="007D4F94"/>
    <w:rsid w:val="007D5094"/>
    <w:rsid w:val="007D6C35"/>
    <w:rsid w:val="007D6E06"/>
    <w:rsid w:val="007D6FDB"/>
    <w:rsid w:val="007E0220"/>
    <w:rsid w:val="007E0378"/>
    <w:rsid w:val="007E0E1E"/>
    <w:rsid w:val="007E5C25"/>
    <w:rsid w:val="007E7B31"/>
    <w:rsid w:val="007F2585"/>
    <w:rsid w:val="007F6037"/>
    <w:rsid w:val="00803B26"/>
    <w:rsid w:val="00804C93"/>
    <w:rsid w:val="008077F4"/>
    <w:rsid w:val="008100B3"/>
    <w:rsid w:val="0081200D"/>
    <w:rsid w:val="008170B6"/>
    <w:rsid w:val="00820365"/>
    <w:rsid w:val="0082120C"/>
    <w:rsid w:val="00824EA2"/>
    <w:rsid w:val="00825613"/>
    <w:rsid w:val="00826AA7"/>
    <w:rsid w:val="00827928"/>
    <w:rsid w:val="00831340"/>
    <w:rsid w:val="0083175F"/>
    <w:rsid w:val="00831D48"/>
    <w:rsid w:val="00836889"/>
    <w:rsid w:val="00836F8C"/>
    <w:rsid w:val="0083749E"/>
    <w:rsid w:val="00840FB2"/>
    <w:rsid w:val="00844354"/>
    <w:rsid w:val="00845E9A"/>
    <w:rsid w:val="008511A8"/>
    <w:rsid w:val="00854810"/>
    <w:rsid w:val="00856C14"/>
    <w:rsid w:val="00861C83"/>
    <w:rsid w:val="00861FC2"/>
    <w:rsid w:val="00862C7F"/>
    <w:rsid w:val="00863668"/>
    <w:rsid w:val="00864861"/>
    <w:rsid w:val="00864AB2"/>
    <w:rsid w:val="00864C46"/>
    <w:rsid w:val="00870357"/>
    <w:rsid w:val="0087153D"/>
    <w:rsid w:val="008715F3"/>
    <w:rsid w:val="00871920"/>
    <w:rsid w:val="00873265"/>
    <w:rsid w:val="00873DC5"/>
    <w:rsid w:val="0087407C"/>
    <w:rsid w:val="00874779"/>
    <w:rsid w:val="00876B44"/>
    <w:rsid w:val="0088005E"/>
    <w:rsid w:val="008812B1"/>
    <w:rsid w:val="00884C8A"/>
    <w:rsid w:val="00886C3F"/>
    <w:rsid w:val="0089267C"/>
    <w:rsid w:val="00892724"/>
    <w:rsid w:val="00893C84"/>
    <w:rsid w:val="00894628"/>
    <w:rsid w:val="0089627E"/>
    <w:rsid w:val="008962D4"/>
    <w:rsid w:val="00896968"/>
    <w:rsid w:val="00896D26"/>
    <w:rsid w:val="008A05F7"/>
    <w:rsid w:val="008A6035"/>
    <w:rsid w:val="008A63DE"/>
    <w:rsid w:val="008B0880"/>
    <w:rsid w:val="008B3907"/>
    <w:rsid w:val="008B457E"/>
    <w:rsid w:val="008B481F"/>
    <w:rsid w:val="008B4C0E"/>
    <w:rsid w:val="008B4ED5"/>
    <w:rsid w:val="008B56EE"/>
    <w:rsid w:val="008B71D9"/>
    <w:rsid w:val="008B7580"/>
    <w:rsid w:val="008C009E"/>
    <w:rsid w:val="008C0CD4"/>
    <w:rsid w:val="008C2A77"/>
    <w:rsid w:val="008C3938"/>
    <w:rsid w:val="008C5A45"/>
    <w:rsid w:val="008C649F"/>
    <w:rsid w:val="008C6BC0"/>
    <w:rsid w:val="008C6D23"/>
    <w:rsid w:val="008C7BC7"/>
    <w:rsid w:val="008D0EA4"/>
    <w:rsid w:val="008D23BC"/>
    <w:rsid w:val="008D23DB"/>
    <w:rsid w:val="008D2D45"/>
    <w:rsid w:val="008D3D6B"/>
    <w:rsid w:val="008D4464"/>
    <w:rsid w:val="008D44F4"/>
    <w:rsid w:val="008D732F"/>
    <w:rsid w:val="008E00FB"/>
    <w:rsid w:val="008E01D5"/>
    <w:rsid w:val="008E04C2"/>
    <w:rsid w:val="008E1118"/>
    <w:rsid w:val="008E22E2"/>
    <w:rsid w:val="008E27A3"/>
    <w:rsid w:val="008E35A2"/>
    <w:rsid w:val="008E4E37"/>
    <w:rsid w:val="008E5595"/>
    <w:rsid w:val="008E5CE8"/>
    <w:rsid w:val="008E6D33"/>
    <w:rsid w:val="008E75C3"/>
    <w:rsid w:val="008E7D11"/>
    <w:rsid w:val="008F279F"/>
    <w:rsid w:val="008F4383"/>
    <w:rsid w:val="008F4E61"/>
    <w:rsid w:val="008F599C"/>
    <w:rsid w:val="008F5CE0"/>
    <w:rsid w:val="008F7F84"/>
    <w:rsid w:val="009041A6"/>
    <w:rsid w:val="00904E74"/>
    <w:rsid w:val="0090519A"/>
    <w:rsid w:val="00905429"/>
    <w:rsid w:val="00906859"/>
    <w:rsid w:val="00906DC6"/>
    <w:rsid w:val="0091100E"/>
    <w:rsid w:val="0091297F"/>
    <w:rsid w:val="00912D68"/>
    <w:rsid w:val="00915690"/>
    <w:rsid w:val="00915AED"/>
    <w:rsid w:val="00915C73"/>
    <w:rsid w:val="00915C89"/>
    <w:rsid w:val="00915CF5"/>
    <w:rsid w:val="00916815"/>
    <w:rsid w:val="009177D4"/>
    <w:rsid w:val="00925030"/>
    <w:rsid w:val="009250CA"/>
    <w:rsid w:val="00927AFA"/>
    <w:rsid w:val="0093193E"/>
    <w:rsid w:val="009400DB"/>
    <w:rsid w:val="00940287"/>
    <w:rsid w:val="00940E7C"/>
    <w:rsid w:val="00941401"/>
    <w:rsid w:val="0094203F"/>
    <w:rsid w:val="00942C6B"/>
    <w:rsid w:val="00944953"/>
    <w:rsid w:val="00944C72"/>
    <w:rsid w:val="00945520"/>
    <w:rsid w:val="00945905"/>
    <w:rsid w:val="00947D2E"/>
    <w:rsid w:val="00952479"/>
    <w:rsid w:val="009529AB"/>
    <w:rsid w:val="00952AAE"/>
    <w:rsid w:val="009534FE"/>
    <w:rsid w:val="00954AFF"/>
    <w:rsid w:val="009601AF"/>
    <w:rsid w:val="00961DCC"/>
    <w:rsid w:val="00962A3F"/>
    <w:rsid w:val="00963A66"/>
    <w:rsid w:val="00964879"/>
    <w:rsid w:val="0096601D"/>
    <w:rsid w:val="009663ED"/>
    <w:rsid w:val="0096669A"/>
    <w:rsid w:val="009771D0"/>
    <w:rsid w:val="00983232"/>
    <w:rsid w:val="009835DC"/>
    <w:rsid w:val="00983B42"/>
    <w:rsid w:val="00985A55"/>
    <w:rsid w:val="00986CE8"/>
    <w:rsid w:val="00987F48"/>
    <w:rsid w:val="009909CD"/>
    <w:rsid w:val="00991ED0"/>
    <w:rsid w:val="009942EA"/>
    <w:rsid w:val="00994412"/>
    <w:rsid w:val="009979E6"/>
    <w:rsid w:val="009A0937"/>
    <w:rsid w:val="009A1C95"/>
    <w:rsid w:val="009A29FA"/>
    <w:rsid w:val="009A543D"/>
    <w:rsid w:val="009B080A"/>
    <w:rsid w:val="009B08D3"/>
    <w:rsid w:val="009B311E"/>
    <w:rsid w:val="009B4554"/>
    <w:rsid w:val="009B45BF"/>
    <w:rsid w:val="009B4ABC"/>
    <w:rsid w:val="009B7B03"/>
    <w:rsid w:val="009C51EC"/>
    <w:rsid w:val="009C5826"/>
    <w:rsid w:val="009C5882"/>
    <w:rsid w:val="009C6112"/>
    <w:rsid w:val="009C6695"/>
    <w:rsid w:val="009C7A58"/>
    <w:rsid w:val="009D1BB8"/>
    <w:rsid w:val="009D261D"/>
    <w:rsid w:val="009D3804"/>
    <w:rsid w:val="009D39A1"/>
    <w:rsid w:val="009E1242"/>
    <w:rsid w:val="009E52D2"/>
    <w:rsid w:val="009E55EF"/>
    <w:rsid w:val="009E6879"/>
    <w:rsid w:val="009E6FD3"/>
    <w:rsid w:val="009F369C"/>
    <w:rsid w:val="009F4434"/>
    <w:rsid w:val="009F5AF0"/>
    <w:rsid w:val="009F5BFE"/>
    <w:rsid w:val="009F700C"/>
    <w:rsid w:val="009F7FA5"/>
    <w:rsid w:val="00A00AA5"/>
    <w:rsid w:val="00A01186"/>
    <w:rsid w:val="00A01933"/>
    <w:rsid w:val="00A01A4F"/>
    <w:rsid w:val="00A04B59"/>
    <w:rsid w:val="00A05420"/>
    <w:rsid w:val="00A05B48"/>
    <w:rsid w:val="00A07E85"/>
    <w:rsid w:val="00A11FF2"/>
    <w:rsid w:val="00A12E7E"/>
    <w:rsid w:val="00A1522E"/>
    <w:rsid w:val="00A16929"/>
    <w:rsid w:val="00A22F82"/>
    <w:rsid w:val="00A233CF"/>
    <w:rsid w:val="00A256AF"/>
    <w:rsid w:val="00A26628"/>
    <w:rsid w:val="00A26BD5"/>
    <w:rsid w:val="00A27B71"/>
    <w:rsid w:val="00A30CA0"/>
    <w:rsid w:val="00A32711"/>
    <w:rsid w:val="00A35149"/>
    <w:rsid w:val="00A377C8"/>
    <w:rsid w:val="00A3790B"/>
    <w:rsid w:val="00A4322A"/>
    <w:rsid w:val="00A4432D"/>
    <w:rsid w:val="00A45149"/>
    <w:rsid w:val="00A459A1"/>
    <w:rsid w:val="00A46231"/>
    <w:rsid w:val="00A51057"/>
    <w:rsid w:val="00A52C4C"/>
    <w:rsid w:val="00A53996"/>
    <w:rsid w:val="00A54195"/>
    <w:rsid w:val="00A5688D"/>
    <w:rsid w:val="00A57005"/>
    <w:rsid w:val="00A5763D"/>
    <w:rsid w:val="00A60CB2"/>
    <w:rsid w:val="00A60D02"/>
    <w:rsid w:val="00A61A90"/>
    <w:rsid w:val="00A630D5"/>
    <w:rsid w:val="00A633A5"/>
    <w:rsid w:val="00A63633"/>
    <w:rsid w:val="00A643C6"/>
    <w:rsid w:val="00A6510D"/>
    <w:rsid w:val="00A67098"/>
    <w:rsid w:val="00A717E4"/>
    <w:rsid w:val="00A73CDD"/>
    <w:rsid w:val="00A76D4B"/>
    <w:rsid w:val="00A77134"/>
    <w:rsid w:val="00A77F13"/>
    <w:rsid w:val="00A802EF"/>
    <w:rsid w:val="00A804FE"/>
    <w:rsid w:val="00A87B99"/>
    <w:rsid w:val="00A91044"/>
    <w:rsid w:val="00A9236A"/>
    <w:rsid w:val="00A93207"/>
    <w:rsid w:val="00A9683F"/>
    <w:rsid w:val="00AA09C5"/>
    <w:rsid w:val="00AA1D46"/>
    <w:rsid w:val="00AA322A"/>
    <w:rsid w:val="00AA4328"/>
    <w:rsid w:val="00AA5AC6"/>
    <w:rsid w:val="00AA649A"/>
    <w:rsid w:val="00AA65BE"/>
    <w:rsid w:val="00AA67A8"/>
    <w:rsid w:val="00AA7B67"/>
    <w:rsid w:val="00AB044E"/>
    <w:rsid w:val="00AB1E4D"/>
    <w:rsid w:val="00AB2661"/>
    <w:rsid w:val="00AB49AF"/>
    <w:rsid w:val="00AB4F39"/>
    <w:rsid w:val="00AB54EC"/>
    <w:rsid w:val="00AC1ED6"/>
    <w:rsid w:val="00AC4721"/>
    <w:rsid w:val="00AC5217"/>
    <w:rsid w:val="00AC6536"/>
    <w:rsid w:val="00AD76E4"/>
    <w:rsid w:val="00AE06CD"/>
    <w:rsid w:val="00AE1BD2"/>
    <w:rsid w:val="00AE64E2"/>
    <w:rsid w:val="00AF0915"/>
    <w:rsid w:val="00AF0BAB"/>
    <w:rsid w:val="00AF0FCA"/>
    <w:rsid w:val="00AF1E02"/>
    <w:rsid w:val="00AF490D"/>
    <w:rsid w:val="00AF58B5"/>
    <w:rsid w:val="00AF5DCB"/>
    <w:rsid w:val="00AF67EB"/>
    <w:rsid w:val="00AF7E92"/>
    <w:rsid w:val="00AF7FA2"/>
    <w:rsid w:val="00B00684"/>
    <w:rsid w:val="00B03F83"/>
    <w:rsid w:val="00B0445A"/>
    <w:rsid w:val="00B04E71"/>
    <w:rsid w:val="00B0513F"/>
    <w:rsid w:val="00B13F69"/>
    <w:rsid w:val="00B14517"/>
    <w:rsid w:val="00B150E1"/>
    <w:rsid w:val="00B1534E"/>
    <w:rsid w:val="00B169B9"/>
    <w:rsid w:val="00B16DD0"/>
    <w:rsid w:val="00B20C9F"/>
    <w:rsid w:val="00B22274"/>
    <w:rsid w:val="00B225F5"/>
    <w:rsid w:val="00B23296"/>
    <w:rsid w:val="00B24BA7"/>
    <w:rsid w:val="00B3079A"/>
    <w:rsid w:val="00B312EE"/>
    <w:rsid w:val="00B32480"/>
    <w:rsid w:val="00B32DB3"/>
    <w:rsid w:val="00B331D9"/>
    <w:rsid w:val="00B349B5"/>
    <w:rsid w:val="00B3508E"/>
    <w:rsid w:val="00B37708"/>
    <w:rsid w:val="00B40D6C"/>
    <w:rsid w:val="00B41E8C"/>
    <w:rsid w:val="00B43094"/>
    <w:rsid w:val="00B438AB"/>
    <w:rsid w:val="00B45DDF"/>
    <w:rsid w:val="00B50EC1"/>
    <w:rsid w:val="00B54074"/>
    <w:rsid w:val="00B55333"/>
    <w:rsid w:val="00B62996"/>
    <w:rsid w:val="00B62DBC"/>
    <w:rsid w:val="00B6390B"/>
    <w:rsid w:val="00B66199"/>
    <w:rsid w:val="00B674BF"/>
    <w:rsid w:val="00B70B46"/>
    <w:rsid w:val="00B72DFA"/>
    <w:rsid w:val="00B72E11"/>
    <w:rsid w:val="00B74191"/>
    <w:rsid w:val="00B747E4"/>
    <w:rsid w:val="00B76F57"/>
    <w:rsid w:val="00B80367"/>
    <w:rsid w:val="00B814E3"/>
    <w:rsid w:val="00B81C21"/>
    <w:rsid w:val="00B8283D"/>
    <w:rsid w:val="00B838F9"/>
    <w:rsid w:val="00B84008"/>
    <w:rsid w:val="00B84C30"/>
    <w:rsid w:val="00B86C70"/>
    <w:rsid w:val="00B87B3C"/>
    <w:rsid w:val="00B87D19"/>
    <w:rsid w:val="00B90C51"/>
    <w:rsid w:val="00B9134F"/>
    <w:rsid w:val="00B91D83"/>
    <w:rsid w:val="00B9577E"/>
    <w:rsid w:val="00B9647C"/>
    <w:rsid w:val="00B97665"/>
    <w:rsid w:val="00B97A85"/>
    <w:rsid w:val="00BA0B63"/>
    <w:rsid w:val="00BA1707"/>
    <w:rsid w:val="00BA2839"/>
    <w:rsid w:val="00BA2E12"/>
    <w:rsid w:val="00BA2FE0"/>
    <w:rsid w:val="00BA61F5"/>
    <w:rsid w:val="00BA63DF"/>
    <w:rsid w:val="00BB0306"/>
    <w:rsid w:val="00BB169E"/>
    <w:rsid w:val="00BB2C6B"/>
    <w:rsid w:val="00BB47B7"/>
    <w:rsid w:val="00BB4C96"/>
    <w:rsid w:val="00BB5630"/>
    <w:rsid w:val="00BB59AF"/>
    <w:rsid w:val="00BB5E59"/>
    <w:rsid w:val="00BB5E63"/>
    <w:rsid w:val="00BB5FD2"/>
    <w:rsid w:val="00BB64C2"/>
    <w:rsid w:val="00BB78AA"/>
    <w:rsid w:val="00BC1C46"/>
    <w:rsid w:val="00BC3800"/>
    <w:rsid w:val="00BC3834"/>
    <w:rsid w:val="00BC604C"/>
    <w:rsid w:val="00BC6E8C"/>
    <w:rsid w:val="00BD0488"/>
    <w:rsid w:val="00BD077A"/>
    <w:rsid w:val="00BD202A"/>
    <w:rsid w:val="00BD2814"/>
    <w:rsid w:val="00BD37F8"/>
    <w:rsid w:val="00BD3FF9"/>
    <w:rsid w:val="00BD5D7E"/>
    <w:rsid w:val="00BD7030"/>
    <w:rsid w:val="00BE1313"/>
    <w:rsid w:val="00BE15AC"/>
    <w:rsid w:val="00BE2B4E"/>
    <w:rsid w:val="00BE7DEA"/>
    <w:rsid w:val="00BF1580"/>
    <w:rsid w:val="00BF1C27"/>
    <w:rsid w:val="00BF524C"/>
    <w:rsid w:val="00BF69C7"/>
    <w:rsid w:val="00BF6F88"/>
    <w:rsid w:val="00C013CD"/>
    <w:rsid w:val="00C02AAB"/>
    <w:rsid w:val="00C05AD7"/>
    <w:rsid w:val="00C075E0"/>
    <w:rsid w:val="00C12D03"/>
    <w:rsid w:val="00C1430F"/>
    <w:rsid w:val="00C1656E"/>
    <w:rsid w:val="00C16DB3"/>
    <w:rsid w:val="00C218F5"/>
    <w:rsid w:val="00C2254E"/>
    <w:rsid w:val="00C24552"/>
    <w:rsid w:val="00C24AB1"/>
    <w:rsid w:val="00C26E1A"/>
    <w:rsid w:val="00C31CCB"/>
    <w:rsid w:val="00C31D02"/>
    <w:rsid w:val="00C34579"/>
    <w:rsid w:val="00C3632E"/>
    <w:rsid w:val="00C40008"/>
    <w:rsid w:val="00C41A2A"/>
    <w:rsid w:val="00C42622"/>
    <w:rsid w:val="00C43E4C"/>
    <w:rsid w:val="00C4591A"/>
    <w:rsid w:val="00C46578"/>
    <w:rsid w:val="00C46674"/>
    <w:rsid w:val="00C5049E"/>
    <w:rsid w:val="00C50AA0"/>
    <w:rsid w:val="00C54B2D"/>
    <w:rsid w:val="00C5505F"/>
    <w:rsid w:val="00C571AD"/>
    <w:rsid w:val="00C662D5"/>
    <w:rsid w:val="00C67891"/>
    <w:rsid w:val="00C70EF1"/>
    <w:rsid w:val="00C7245F"/>
    <w:rsid w:val="00C7361C"/>
    <w:rsid w:val="00C74C83"/>
    <w:rsid w:val="00C74CA0"/>
    <w:rsid w:val="00C7612C"/>
    <w:rsid w:val="00C80EBB"/>
    <w:rsid w:val="00C81EE8"/>
    <w:rsid w:val="00C81FF9"/>
    <w:rsid w:val="00C82744"/>
    <w:rsid w:val="00C82749"/>
    <w:rsid w:val="00C82866"/>
    <w:rsid w:val="00C82FA0"/>
    <w:rsid w:val="00C831B6"/>
    <w:rsid w:val="00C83578"/>
    <w:rsid w:val="00C838CD"/>
    <w:rsid w:val="00C85455"/>
    <w:rsid w:val="00C862C7"/>
    <w:rsid w:val="00C864EB"/>
    <w:rsid w:val="00C86FCB"/>
    <w:rsid w:val="00C90B74"/>
    <w:rsid w:val="00C91671"/>
    <w:rsid w:val="00C93CB1"/>
    <w:rsid w:val="00C94A9E"/>
    <w:rsid w:val="00C973BF"/>
    <w:rsid w:val="00CA05E1"/>
    <w:rsid w:val="00CA1FE4"/>
    <w:rsid w:val="00CA2B9E"/>
    <w:rsid w:val="00CA3533"/>
    <w:rsid w:val="00CA5297"/>
    <w:rsid w:val="00CA58BD"/>
    <w:rsid w:val="00CB23E2"/>
    <w:rsid w:val="00CB2B19"/>
    <w:rsid w:val="00CB6CA2"/>
    <w:rsid w:val="00CB76A3"/>
    <w:rsid w:val="00CB77DE"/>
    <w:rsid w:val="00CB7D16"/>
    <w:rsid w:val="00CC033B"/>
    <w:rsid w:val="00CC04B4"/>
    <w:rsid w:val="00CC0731"/>
    <w:rsid w:val="00CC1AE3"/>
    <w:rsid w:val="00CC20A9"/>
    <w:rsid w:val="00CC2B34"/>
    <w:rsid w:val="00CC35DF"/>
    <w:rsid w:val="00CC3B73"/>
    <w:rsid w:val="00CC3EBF"/>
    <w:rsid w:val="00CC5E10"/>
    <w:rsid w:val="00CC6A91"/>
    <w:rsid w:val="00CD106C"/>
    <w:rsid w:val="00CD148E"/>
    <w:rsid w:val="00CD167C"/>
    <w:rsid w:val="00CD2A0C"/>
    <w:rsid w:val="00CD4ABF"/>
    <w:rsid w:val="00CD663E"/>
    <w:rsid w:val="00CE14C8"/>
    <w:rsid w:val="00CE1504"/>
    <w:rsid w:val="00CE3582"/>
    <w:rsid w:val="00CE37E8"/>
    <w:rsid w:val="00CE4352"/>
    <w:rsid w:val="00CE43AB"/>
    <w:rsid w:val="00CE55D9"/>
    <w:rsid w:val="00CE638D"/>
    <w:rsid w:val="00CE7B40"/>
    <w:rsid w:val="00CF20EF"/>
    <w:rsid w:val="00CF375F"/>
    <w:rsid w:val="00CF4618"/>
    <w:rsid w:val="00CF55F3"/>
    <w:rsid w:val="00CF6B5E"/>
    <w:rsid w:val="00CF6C91"/>
    <w:rsid w:val="00CF7812"/>
    <w:rsid w:val="00CF78BF"/>
    <w:rsid w:val="00D02D03"/>
    <w:rsid w:val="00D03379"/>
    <w:rsid w:val="00D038B7"/>
    <w:rsid w:val="00D046BC"/>
    <w:rsid w:val="00D06DB0"/>
    <w:rsid w:val="00D12BCD"/>
    <w:rsid w:val="00D12E92"/>
    <w:rsid w:val="00D13480"/>
    <w:rsid w:val="00D1414B"/>
    <w:rsid w:val="00D149F2"/>
    <w:rsid w:val="00D159C0"/>
    <w:rsid w:val="00D17ADE"/>
    <w:rsid w:val="00D24062"/>
    <w:rsid w:val="00D2409B"/>
    <w:rsid w:val="00D26D48"/>
    <w:rsid w:val="00D27174"/>
    <w:rsid w:val="00D273DE"/>
    <w:rsid w:val="00D30562"/>
    <w:rsid w:val="00D321EA"/>
    <w:rsid w:val="00D34608"/>
    <w:rsid w:val="00D409E2"/>
    <w:rsid w:val="00D40E76"/>
    <w:rsid w:val="00D412A5"/>
    <w:rsid w:val="00D41747"/>
    <w:rsid w:val="00D42BCC"/>
    <w:rsid w:val="00D43AE0"/>
    <w:rsid w:val="00D459D6"/>
    <w:rsid w:val="00D45D66"/>
    <w:rsid w:val="00D46FF8"/>
    <w:rsid w:val="00D5054B"/>
    <w:rsid w:val="00D57AB0"/>
    <w:rsid w:val="00D57E4B"/>
    <w:rsid w:val="00D60708"/>
    <w:rsid w:val="00D63AFA"/>
    <w:rsid w:val="00D64A14"/>
    <w:rsid w:val="00D6774C"/>
    <w:rsid w:val="00D71C3E"/>
    <w:rsid w:val="00D72982"/>
    <w:rsid w:val="00D73D53"/>
    <w:rsid w:val="00D75894"/>
    <w:rsid w:val="00D80B84"/>
    <w:rsid w:val="00D814C0"/>
    <w:rsid w:val="00D81FDF"/>
    <w:rsid w:val="00D8469B"/>
    <w:rsid w:val="00D860DA"/>
    <w:rsid w:val="00D86323"/>
    <w:rsid w:val="00D87797"/>
    <w:rsid w:val="00D9091F"/>
    <w:rsid w:val="00D91183"/>
    <w:rsid w:val="00D919A5"/>
    <w:rsid w:val="00D93DE5"/>
    <w:rsid w:val="00D96103"/>
    <w:rsid w:val="00DA0205"/>
    <w:rsid w:val="00DA10C0"/>
    <w:rsid w:val="00DA17DA"/>
    <w:rsid w:val="00DA2716"/>
    <w:rsid w:val="00DA27CA"/>
    <w:rsid w:val="00DA390C"/>
    <w:rsid w:val="00DA405B"/>
    <w:rsid w:val="00DA59CE"/>
    <w:rsid w:val="00DA664D"/>
    <w:rsid w:val="00DA6C77"/>
    <w:rsid w:val="00DA700C"/>
    <w:rsid w:val="00DB05EA"/>
    <w:rsid w:val="00DB12F0"/>
    <w:rsid w:val="00DB15B7"/>
    <w:rsid w:val="00DB15CA"/>
    <w:rsid w:val="00DB2903"/>
    <w:rsid w:val="00DB4122"/>
    <w:rsid w:val="00DB41B3"/>
    <w:rsid w:val="00DB4464"/>
    <w:rsid w:val="00DB56B3"/>
    <w:rsid w:val="00DB5F63"/>
    <w:rsid w:val="00DB6817"/>
    <w:rsid w:val="00DC14A9"/>
    <w:rsid w:val="00DC27E8"/>
    <w:rsid w:val="00DC3D2D"/>
    <w:rsid w:val="00DC462C"/>
    <w:rsid w:val="00DC502B"/>
    <w:rsid w:val="00DC76D8"/>
    <w:rsid w:val="00DC7C4A"/>
    <w:rsid w:val="00DD2035"/>
    <w:rsid w:val="00DD3CAF"/>
    <w:rsid w:val="00DD4A45"/>
    <w:rsid w:val="00DD625A"/>
    <w:rsid w:val="00DD639A"/>
    <w:rsid w:val="00DD6B26"/>
    <w:rsid w:val="00DE13FD"/>
    <w:rsid w:val="00DE2140"/>
    <w:rsid w:val="00DE365F"/>
    <w:rsid w:val="00DE3FDD"/>
    <w:rsid w:val="00DE4620"/>
    <w:rsid w:val="00DE472F"/>
    <w:rsid w:val="00DE4E9D"/>
    <w:rsid w:val="00DE539F"/>
    <w:rsid w:val="00DE662A"/>
    <w:rsid w:val="00DE7D06"/>
    <w:rsid w:val="00DF0AE2"/>
    <w:rsid w:val="00DF2C45"/>
    <w:rsid w:val="00DF61B3"/>
    <w:rsid w:val="00DF68D8"/>
    <w:rsid w:val="00DF69FC"/>
    <w:rsid w:val="00E014F0"/>
    <w:rsid w:val="00E017DC"/>
    <w:rsid w:val="00E01DBD"/>
    <w:rsid w:val="00E02310"/>
    <w:rsid w:val="00E0330E"/>
    <w:rsid w:val="00E03369"/>
    <w:rsid w:val="00E05B4A"/>
    <w:rsid w:val="00E07425"/>
    <w:rsid w:val="00E10092"/>
    <w:rsid w:val="00E108D9"/>
    <w:rsid w:val="00E10929"/>
    <w:rsid w:val="00E11110"/>
    <w:rsid w:val="00E1465E"/>
    <w:rsid w:val="00E149A0"/>
    <w:rsid w:val="00E20056"/>
    <w:rsid w:val="00E209F1"/>
    <w:rsid w:val="00E215E5"/>
    <w:rsid w:val="00E25256"/>
    <w:rsid w:val="00E26961"/>
    <w:rsid w:val="00E2710E"/>
    <w:rsid w:val="00E30ED1"/>
    <w:rsid w:val="00E32632"/>
    <w:rsid w:val="00E32AB6"/>
    <w:rsid w:val="00E33A04"/>
    <w:rsid w:val="00E34A6E"/>
    <w:rsid w:val="00E351B4"/>
    <w:rsid w:val="00E35E75"/>
    <w:rsid w:val="00E40D61"/>
    <w:rsid w:val="00E42D0D"/>
    <w:rsid w:val="00E432C3"/>
    <w:rsid w:val="00E438DF"/>
    <w:rsid w:val="00E4558C"/>
    <w:rsid w:val="00E4634F"/>
    <w:rsid w:val="00E46D27"/>
    <w:rsid w:val="00E46FA7"/>
    <w:rsid w:val="00E54E6A"/>
    <w:rsid w:val="00E55981"/>
    <w:rsid w:val="00E562C3"/>
    <w:rsid w:val="00E61160"/>
    <w:rsid w:val="00E6146A"/>
    <w:rsid w:val="00E64C78"/>
    <w:rsid w:val="00E65D68"/>
    <w:rsid w:val="00E706F8"/>
    <w:rsid w:val="00E717E5"/>
    <w:rsid w:val="00E731B1"/>
    <w:rsid w:val="00E73257"/>
    <w:rsid w:val="00E74307"/>
    <w:rsid w:val="00E758DE"/>
    <w:rsid w:val="00E77353"/>
    <w:rsid w:val="00E80C75"/>
    <w:rsid w:val="00E81986"/>
    <w:rsid w:val="00E83477"/>
    <w:rsid w:val="00E8386B"/>
    <w:rsid w:val="00E83B49"/>
    <w:rsid w:val="00E854BA"/>
    <w:rsid w:val="00E859AD"/>
    <w:rsid w:val="00E87696"/>
    <w:rsid w:val="00E907C5"/>
    <w:rsid w:val="00E9166A"/>
    <w:rsid w:val="00E941A8"/>
    <w:rsid w:val="00E94987"/>
    <w:rsid w:val="00EA0348"/>
    <w:rsid w:val="00EA1091"/>
    <w:rsid w:val="00EA12F1"/>
    <w:rsid w:val="00EA4283"/>
    <w:rsid w:val="00EA6531"/>
    <w:rsid w:val="00EA70A4"/>
    <w:rsid w:val="00EB001E"/>
    <w:rsid w:val="00EB0045"/>
    <w:rsid w:val="00EB006E"/>
    <w:rsid w:val="00EB67C4"/>
    <w:rsid w:val="00EB7E3D"/>
    <w:rsid w:val="00EC054D"/>
    <w:rsid w:val="00EC0D12"/>
    <w:rsid w:val="00EC2567"/>
    <w:rsid w:val="00EC3043"/>
    <w:rsid w:val="00EC4FA6"/>
    <w:rsid w:val="00EC6E54"/>
    <w:rsid w:val="00EC7AF2"/>
    <w:rsid w:val="00ED1809"/>
    <w:rsid w:val="00ED75D8"/>
    <w:rsid w:val="00EE07B4"/>
    <w:rsid w:val="00EE07CD"/>
    <w:rsid w:val="00EE0D56"/>
    <w:rsid w:val="00EE0F1E"/>
    <w:rsid w:val="00EE3B57"/>
    <w:rsid w:val="00EE48D2"/>
    <w:rsid w:val="00EE607F"/>
    <w:rsid w:val="00EF1A3D"/>
    <w:rsid w:val="00EF2096"/>
    <w:rsid w:val="00EF3AB5"/>
    <w:rsid w:val="00EF3C7A"/>
    <w:rsid w:val="00EF47FC"/>
    <w:rsid w:val="00EF727B"/>
    <w:rsid w:val="00F00047"/>
    <w:rsid w:val="00F003D5"/>
    <w:rsid w:val="00F00B39"/>
    <w:rsid w:val="00F00C91"/>
    <w:rsid w:val="00F013B3"/>
    <w:rsid w:val="00F03CA8"/>
    <w:rsid w:val="00F0644D"/>
    <w:rsid w:val="00F124E8"/>
    <w:rsid w:val="00F15EF3"/>
    <w:rsid w:val="00F1721F"/>
    <w:rsid w:val="00F215F2"/>
    <w:rsid w:val="00F22D9F"/>
    <w:rsid w:val="00F255CF"/>
    <w:rsid w:val="00F2660E"/>
    <w:rsid w:val="00F26712"/>
    <w:rsid w:val="00F32D67"/>
    <w:rsid w:val="00F33AAF"/>
    <w:rsid w:val="00F33C7F"/>
    <w:rsid w:val="00F348C5"/>
    <w:rsid w:val="00F3619D"/>
    <w:rsid w:val="00F41593"/>
    <w:rsid w:val="00F419C6"/>
    <w:rsid w:val="00F4257C"/>
    <w:rsid w:val="00F42803"/>
    <w:rsid w:val="00F43607"/>
    <w:rsid w:val="00F456AF"/>
    <w:rsid w:val="00F45F55"/>
    <w:rsid w:val="00F46565"/>
    <w:rsid w:val="00F46AE5"/>
    <w:rsid w:val="00F51178"/>
    <w:rsid w:val="00F51F76"/>
    <w:rsid w:val="00F53447"/>
    <w:rsid w:val="00F54BDF"/>
    <w:rsid w:val="00F559B2"/>
    <w:rsid w:val="00F57EBF"/>
    <w:rsid w:val="00F616EC"/>
    <w:rsid w:val="00F628F0"/>
    <w:rsid w:val="00F633CC"/>
    <w:rsid w:val="00F64698"/>
    <w:rsid w:val="00F71836"/>
    <w:rsid w:val="00F72633"/>
    <w:rsid w:val="00F738E8"/>
    <w:rsid w:val="00F73A00"/>
    <w:rsid w:val="00F73C24"/>
    <w:rsid w:val="00F73F80"/>
    <w:rsid w:val="00F77E23"/>
    <w:rsid w:val="00F80ED1"/>
    <w:rsid w:val="00F83782"/>
    <w:rsid w:val="00F837DF"/>
    <w:rsid w:val="00F876F8"/>
    <w:rsid w:val="00F904AE"/>
    <w:rsid w:val="00F90D1D"/>
    <w:rsid w:val="00F95026"/>
    <w:rsid w:val="00F9510F"/>
    <w:rsid w:val="00F979D1"/>
    <w:rsid w:val="00FA02CD"/>
    <w:rsid w:val="00FA0AB2"/>
    <w:rsid w:val="00FA2483"/>
    <w:rsid w:val="00FA4EF0"/>
    <w:rsid w:val="00FA632C"/>
    <w:rsid w:val="00FA79B8"/>
    <w:rsid w:val="00FB14C1"/>
    <w:rsid w:val="00FB2133"/>
    <w:rsid w:val="00FB3BBE"/>
    <w:rsid w:val="00FB67D1"/>
    <w:rsid w:val="00FB707A"/>
    <w:rsid w:val="00FC0AD2"/>
    <w:rsid w:val="00FC23F7"/>
    <w:rsid w:val="00FC2C90"/>
    <w:rsid w:val="00FC74A6"/>
    <w:rsid w:val="00FD0452"/>
    <w:rsid w:val="00FD05D1"/>
    <w:rsid w:val="00FD12D6"/>
    <w:rsid w:val="00FD2293"/>
    <w:rsid w:val="00FD26D8"/>
    <w:rsid w:val="00FD2C75"/>
    <w:rsid w:val="00FD2EF2"/>
    <w:rsid w:val="00FD35C4"/>
    <w:rsid w:val="00FD4C18"/>
    <w:rsid w:val="00FD6B8E"/>
    <w:rsid w:val="00FD77D8"/>
    <w:rsid w:val="00FE3D10"/>
    <w:rsid w:val="00FE44AE"/>
    <w:rsid w:val="00FF27DD"/>
    <w:rsid w:val="00FF29B7"/>
    <w:rsid w:val="00FF2F08"/>
    <w:rsid w:val="00FF3066"/>
    <w:rsid w:val="00FF3579"/>
    <w:rsid w:val="00FF497E"/>
    <w:rsid w:val="00FF53AE"/>
    <w:rsid w:val="00FF6B0F"/>
    <w:rsid w:val="00FF707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F82B0"/>
  <w15:chartTrackingRefBased/>
  <w15:docId w15:val="{7FB6A4AD-BA7C-9E46-A528-7621B70C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4E8"/>
    <w:pPr>
      <w:keepNext/>
      <w:keepLines/>
      <w:numPr>
        <w:numId w:val="2"/>
      </w:numPr>
      <w:spacing w:after="120"/>
      <w:outlineLvl w:val="0"/>
    </w:pPr>
    <w:rPr>
      <w:rFonts w:ascii="Myriad Pro Bold SemiCondensed" w:eastAsiaTheme="majorEastAsia" w:hAnsi="Myriad Pro Bold SemiCondensed" w:cstheme="majorBidi"/>
      <w:b/>
      <w:color w:val="000000" w:themeColor="text1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4E8"/>
    <w:pPr>
      <w:keepNext/>
      <w:keepLines/>
      <w:numPr>
        <w:ilvl w:val="1"/>
        <w:numId w:val="2"/>
      </w:numPr>
      <w:spacing w:after="120"/>
      <w:ind w:left="1080"/>
      <w:outlineLvl w:val="1"/>
    </w:pPr>
    <w:rPr>
      <w:rFonts w:ascii="Myriad Pro Bold SemiCondensed" w:eastAsiaTheme="majorEastAsia" w:hAnsi="Myriad Pro Bold SemiCondensed" w:cstheme="majorBidi"/>
      <w:b/>
      <w:color w:val="000000" w:themeColor="text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ABE"/>
    <w:pPr>
      <w:keepNext/>
      <w:keepLines/>
      <w:numPr>
        <w:ilvl w:val="2"/>
        <w:numId w:val="2"/>
      </w:numPr>
      <w:spacing w:after="80"/>
      <w:ind w:left="1080"/>
      <w:outlineLvl w:val="2"/>
    </w:pPr>
    <w:rPr>
      <w:rFonts w:ascii="Myriad Pro Semibold SemiCondens" w:eastAsiaTheme="majorEastAsia" w:hAnsi="Myriad Pro Semibold SemiCondens" w:cstheme="majorBidi"/>
      <w:b/>
      <w:color w:val="000000" w:themeColor="text1"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B672A"/>
    <w:pPr>
      <w:numPr>
        <w:ilvl w:val="3"/>
      </w:numPr>
      <w:outlineLvl w:val="3"/>
    </w:pPr>
    <w:rPr>
      <w:rFonts w:ascii="Myriad Pro SemiCondensed" w:hAnsi="Myriad Pro SemiCondensed" w:cs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28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B05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D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8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F6B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24E8"/>
    <w:rPr>
      <w:rFonts w:ascii="Myriad Pro Bold SemiCondensed" w:eastAsiaTheme="majorEastAsia" w:hAnsi="Myriad Pro Bold SemiCondensed" w:cstheme="majorBidi"/>
      <w:b/>
      <w:color w:val="000000" w:themeColor="tex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24E8"/>
    <w:rPr>
      <w:rFonts w:ascii="Myriad Pro Bold SemiCondensed" w:eastAsiaTheme="majorEastAsia" w:hAnsi="Myriad Pro Bold SemiCondensed" w:cstheme="majorBidi"/>
      <w:b/>
      <w:color w:val="000000" w:themeColor="text1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D3ABE"/>
    <w:rPr>
      <w:rFonts w:ascii="Myriad Pro Semibold SemiCondens" w:eastAsiaTheme="majorEastAsia" w:hAnsi="Myriad Pro Semibold SemiCondens" w:cstheme="majorBidi"/>
      <w:b/>
      <w:color w:val="000000" w:themeColor="text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66"/>
  </w:style>
  <w:style w:type="character" w:styleId="PageNumber">
    <w:name w:val="page number"/>
    <w:basedOn w:val="DefaultParagraphFont"/>
    <w:uiPriority w:val="99"/>
    <w:semiHidden/>
    <w:unhideWhenUsed/>
    <w:rsid w:val="004E2066"/>
  </w:style>
  <w:style w:type="paragraph" w:styleId="Header">
    <w:name w:val="header"/>
    <w:basedOn w:val="Normal"/>
    <w:link w:val="HeaderChar"/>
    <w:uiPriority w:val="99"/>
    <w:unhideWhenUsed/>
    <w:rsid w:val="001B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3A8"/>
  </w:style>
  <w:style w:type="character" w:styleId="Emphasis">
    <w:name w:val="Emphasis"/>
    <w:basedOn w:val="DefaultParagraphFont"/>
    <w:uiPriority w:val="20"/>
    <w:qFormat/>
    <w:rsid w:val="00B86C7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B672A"/>
    <w:rPr>
      <w:rFonts w:ascii="Myriad Pro SemiCondensed" w:eastAsiaTheme="majorEastAsia" w:hAnsi="Myriad Pro SemiCondensed" w:cs="Times New Roman"/>
      <w:color w:val="000000" w:themeColor="text1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33540A"/>
    <w:pPr>
      <w:spacing w:after="0"/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3540A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3540A"/>
    <w:pPr>
      <w:spacing w:line="240" w:lineRule="auto"/>
      <w:jc w:val="both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3540A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39"/>
    <w:rsid w:val="008E7D1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8E7D11"/>
  </w:style>
  <w:style w:type="character" w:customStyle="1" w:styleId="document-year">
    <w:name w:val="document-year"/>
    <w:basedOn w:val="DefaultParagraphFont"/>
    <w:rsid w:val="006529E5"/>
  </w:style>
  <w:style w:type="character" w:customStyle="1" w:styleId="document-volume">
    <w:name w:val="document-volume"/>
    <w:basedOn w:val="DefaultParagraphFont"/>
    <w:rsid w:val="006529E5"/>
  </w:style>
  <w:style w:type="character" w:customStyle="1" w:styleId="document-issue">
    <w:name w:val="document-issue"/>
    <w:basedOn w:val="DefaultParagraphFont"/>
    <w:rsid w:val="006529E5"/>
  </w:style>
  <w:style w:type="character" w:customStyle="1" w:styleId="document-pages">
    <w:name w:val="document-pages"/>
    <w:basedOn w:val="DefaultParagraphFont"/>
    <w:rsid w:val="0065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3741">
          <w:marLeft w:val="0"/>
          <w:marRight w:val="0"/>
          <w:marTop w:val="24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5459-3B14-444C-8627-8DA86DB2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Diniz, Giovanne</cp:lastModifiedBy>
  <cp:revision>14</cp:revision>
  <dcterms:created xsi:type="dcterms:W3CDTF">2019-03-28T13:08:00Z</dcterms:created>
  <dcterms:modified xsi:type="dcterms:W3CDTF">2019-03-28T15:22:00Z</dcterms:modified>
</cp:coreProperties>
</file>