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24CBA" w14:textId="13D1ADD5" w:rsidR="00D02074" w:rsidRPr="0092184A" w:rsidRDefault="00D02074" w:rsidP="00D02074">
      <w:r>
        <w:rPr>
          <w:b/>
        </w:rPr>
        <w:t>Appendix 1. Flowchart of PRISMA-P Meta-Analysis Protocol</w:t>
      </w:r>
    </w:p>
    <w:p w14:paraId="00067F4C" w14:textId="77777777" w:rsidR="00D02074" w:rsidRDefault="00D02074" w:rsidP="00D02074">
      <w:pPr>
        <w:rPr>
          <w:b/>
        </w:rPr>
      </w:pPr>
    </w:p>
    <w:p w14:paraId="144E46AD" w14:textId="02825EC7" w:rsidR="00D02074" w:rsidRDefault="00C64A2B" w:rsidP="00D02074">
      <w:pPr>
        <w:ind w:hanging="90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E7A998F" wp14:editId="665331BC">
            <wp:extent cx="5943600" cy="3343275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dated PRISMA Fig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FA19F1" w14:textId="77777777" w:rsidR="00D02074" w:rsidRDefault="00D02074" w:rsidP="00D02074">
      <w:pPr>
        <w:ind w:hanging="900"/>
        <w:jc w:val="center"/>
        <w:rPr>
          <w:b/>
        </w:rPr>
      </w:pPr>
    </w:p>
    <w:p w14:paraId="2AC1F170" w14:textId="77777777" w:rsidR="00D02074" w:rsidRPr="0092184A" w:rsidRDefault="00D02074" w:rsidP="00D02074">
      <w:r>
        <w:t>The figure above</w:t>
      </w:r>
      <w:r w:rsidRPr="0092184A">
        <w:t xml:space="preserve"> shows the</w:t>
      </w:r>
      <w:r>
        <w:t xml:space="preserve"> flowchart of the</w:t>
      </w:r>
      <w:r w:rsidRPr="0092184A">
        <w:t xml:space="preserve"> </w:t>
      </w:r>
      <w:r>
        <w:t xml:space="preserve">PRISMA </w:t>
      </w:r>
      <w:r w:rsidRPr="0092184A">
        <w:t xml:space="preserve">literature search process conducted to </w:t>
      </w:r>
      <w:r>
        <w:t>develop the case study database of regional cases of IF loss.</w:t>
      </w:r>
    </w:p>
    <w:p w14:paraId="6D581086" w14:textId="77777777" w:rsidR="00D02074" w:rsidRDefault="00D02074" w:rsidP="00D02074">
      <w:pPr>
        <w:ind w:hanging="900"/>
        <w:jc w:val="center"/>
        <w:rPr>
          <w:b/>
        </w:rPr>
      </w:pPr>
    </w:p>
    <w:p w14:paraId="4A0931CE" w14:textId="77777777" w:rsidR="00D02074" w:rsidRDefault="00D02074" w:rsidP="00A11552"/>
    <w:p w14:paraId="5DC899D4" w14:textId="77777777" w:rsidR="00D02074" w:rsidRDefault="00D02074" w:rsidP="00A11552"/>
    <w:p w14:paraId="48478FAF" w14:textId="77777777" w:rsidR="00661024" w:rsidRDefault="00661024" w:rsidP="00661024">
      <w:pPr>
        <w:rPr>
          <w:b/>
        </w:rPr>
      </w:pPr>
    </w:p>
    <w:p w14:paraId="0A252AB8" w14:textId="77777777" w:rsidR="00661024" w:rsidRDefault="00661024" w:rsidP="00661024">
      <w:pPr>
        <w:rPr>
          <w:b/>
        </w:rPr>
      </w:pPr>
    </w:p>
    <w:p w14:paraId="30C17E4A" w14:textId="77777777" w:rsidR="00661024" w:rsidRDefault="00661024" w:rsidP="00661024">
      <w:pPr>
        <w:rPr>
          <w:b/>
        </w:rPr>
      </w:pPr>
    </w:p>
    <w:p w14:paraId="22A67D51" w14:textId="77777777" w:rsidR="00661024" w:rsidRDefault="00661024" w:rsidP="00661024">
      <w:pPr>
        <w:rPr>
          <w:b/>
        </w:rPr>
      </w:pPr>
    </w:p>
    <w:p w14:paraId="04C0D52E" w14:textId="77777777" w:rsidR="00661024" w:rsidRDefault="00661024" w:rsidP="00661024">
      <w:pPr>
        <w:rPr>
          <w:b/>
        </w:rPr>
      </w:pPr>
    </w:p>
    <w:p w14:paraId="5E33AF0E" w14:textId="77777777" w:rsidR="00661024" w:rsidRDefault="00661024" w:rsidP="00661024">
      <w:pPr>
        <w:rPr>
          <w:b/>
        </w:rPr>
      </w:pPr>
    </w:p>
    <w:p w14:paraId="5A0387BB" w14:textId="77777777" w:rsidR="00661024" w:rsidRDefault="00661024" w:rsidP="00661024">
      <w:pPr>
        <w:rPr>
          <w:b/>
        </w:rPr>
      </w:pPr>
    </w:p>
    <w:p w14:paraId="0BC3F1A3" w14:textId="77777777" w:rsidR="00661024" w:rsidRDefault="00661024" w:rsidP="00661024">
      <w:pPr>
        <w:rPr>
          <w:b/>
        </w:rPr>
      </w:pPr>
    </w:p>
    <w:p w14:paraId="3162575E" w14:textId="77777777" w:rsidR="00661024" w:rsidRDefault="00661024" w:rsidP="00661024">
      <w:pPr>
        <w:rPr>
          <w:b/>
        </w:rPr>
      </w:pPr>
    </w:p>
    <w:p w14:paraId="3B48F035" w14:textId="77777777" w:rsidR="00661024" w:rsidRDefault="00661024" w:rsidP="00661024">
      <w:pPr>
        <w:rPr>
          <w:b/>
        </w:rPr>
      </w:pPr>
    </w:p>
    <w:p w14:paraId="7A157D57" w14:textId="77777777" w:rsidR="00661024" w:rsidRDefault="00661024" w:rsidP="00661024">
      <w:pPr>
        <w:rPr>
          <w:b/>
        </w:rPr>
      </w:pPr>
    </w:p>
    <w:p w14:paraId="4B44CAC6" w14:textId="77777777" w:rsidR="00661024" w:rsidRDefault="00661024" w:rsidP="00661024">
      <w:pPr>
        <w:rPr>
          <w:b/>
        </w:rPr>
      </w:pPr>
    </w:p>
    <w:p w14:paraId="636ACC1F" w14:textId="77777777" w:rsidR="00661024" w:rsidRDefault="00661024" w:rsidP="00661024">
      <w:pPr>
        <w:rPr>
          <w:b/>
        </w:rPr>
      </w:pPr>
    </w:p>
    <w:p w14:paraId="284B3D1F" w14:textId="77777777" w:rsidR="00661024" w:rsidRDefault="00661024" w:rsidP="00661024">
      <w:pPr>
        <w:rPr>
          <w:b/>
        </w:rPr>
      </w:pPr>
    </w:p>
    <w:p w14:paraId="3B02E363" w14:textId="77777777" w:rsidR="00661024" w:rsidRDefault="00661024" w:rsidP="00661024">
      <w:pPr>
        <w:rPr>
          <w:b/>
        </w:rPr>
      </w:pPr>
    </w:p>
    <w:p w14:paraId="61607D6A" w14:textId="77777777" w:rsidR="00661024" w:rsidRDefault="00661024" w:rsidP="00661024">
      <w:pPr>
        <w:rPr>
          <w:b/>
        </w:rPr>
      </w:pPr>
    </w:p>
    <w:p w14:paraId="304EED09" w14:textId="77777777" w:rsidR="00661024" w:rsidRDefault="00661024" w:rsidP="00661024">
      <w:pPr>
        <w:rPr>
          <w:b/>
        </w:rPr>
      </w:pPr>
    </w:p>
    <w:p w14:paraId="0DA90348" w14:textId="77777777" w:rsidR="00661024" w:rsidRDefault="00661024" w:rsidP="00661024">
      <w:pPr>
        <w:rPr>
          <w:b/>
        </w:rPr>
      </w:pPr>
    </w:p>
    <w:p w14:paraId="359789E6" w14:textId="77777777" w:rsidR="00661024" w:rsidRDefault="00661024" w:rsidP="00661024">
      <w:pPr>
        <w:rPr>
          <w:b/>
        </w:rPr>
      </w:pPr>
    </w:p>
    <w:p w14:paraId="37BC298E" w14:textId="0EF62DF2" w:rsidR="00661024" w:rsidRDefault="002B6B93" w:rsidP="00A11552">
      <w:pPr>
        <w:rPr>
          <w:b/>
        </w:rPr>
      </w:pPr>
      <w:r w:rsidRPr="00D02074">
        <w:rPr>
          <w:b/>
        </w:rPr>
        <w:lastRenderedPageBreak/>
        <w:t xml:space="preserve">Appendix 2. </w:t>
      </w:r>
      <w:r w:rsidR="00661024" w:rsidRPr="00630010">
        <w:rPr>
          <w:b/>
        </w:rPr>
        <w:t>Geographical Location of Meta-Analysis Case Studies</w:t>
      </w:r>
    </w:p>
    <w:p w14:paraId="496AAC4A" w14:textId="77777777" w:rsidR="00661024" w:rsidRDefault="00661024" w:rsidP="00A11552">
      <w:pPr>
        <w:rPr>
          <w:b/>
        </w:rPr>
      </w:pPr>
    </w:p>
    <w:p w14:paraId="3AD8BFA3" w14:textId="6776F60F" w:rsidR="00661024" w:rsidRDefault="00661024" w:rsidP="00A11552">
      <w:pPr>
        <w:rPr>
          <w:b/>
        </w:rPr>
      </w:pPr>
      <w:r>
        <w:rPr>
          <w:b/>
          <w:noProof/>
        </w:rPr>
        <w:drawing>
          <wp:inline distT="0" distB="0" distL="0" distR="0" wp14:anchorId="59CA7EDB" wp14:editId="00537062">
            <wp:extent cx="5943600" cy="4592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act Forest Loss Study Sites Map. Appendix 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6E92" w14:textId="154D4B26" w:rsidR="00661024" w:rsidRDefault="00661024" w:rsidP="00A11552">
      <w:pPr>
        <w:rPr>
          <w:b/>
        </w:rPr>
      </w:pPr>
    </w:p>
    <w:p w14:paraId="6B3D8B0A" w14:textId="07FD87C4" w:rsidR="00661024" w:rsidRPr="00F33E1B" w:rsidRDefault="00661024" w:rsidP="00661024">
      <w:r>
        <w:t>Appendix 2</w:t>
      </w:r>
      <w:r w:rsidRPr="00630010">
        <w:t xml:space="preserve">. The figure above shows the location of the case studies </w:t>
      </w:r>
      <w:r>
        <w:t xml:space="preserve">of intact forest loss </w:t>
      </w:r>
      <w:r w:rsidRPr="00630010">
        <w:t xml:space="preserve">assessed. </w:t>
      </w:r>
      <w:r>
        <w:t>Study locations were plotted</w:t>
      </w:r>
      <w:r w:rsidRPr="00630010">
        <w:t xml:space="preserve"> based on the </w:t>
      </w:r>
      <w:r>
        <w:t>study site described in the publication. When</w:t>
      </w:r>
      <w:r w:rsidRPr="00630010">
        <w:t xml:space="preserve"> precise loca</w:t>
      </w:r>
      <w:r>
        <w:t xml:space="preserve">tions for a study were </w:t>
      </w:r>
      <w:r w:rsidRPr="00630010">
        <w:t xml:space="preserve">not given, the nearest known city or </w:t>
      </w:r>
      <w:r>
        <w:t>province</w:t>
      </w:r>
      <w:r w:rsidRPr="00630010">
        <w:t xml:space="preserve"> was used. </w:t>
      </w:r>
      <w:r>
        <w:t xml:space="preserve">For studies that covered </w:t>
      </w:r>
      <w:r w:rsidR="0020727E">
        <w:t>a large geographic area</w:t>
      </w:r>
      <w:r>
        <w:t xml:space="preserve"> (e.g., Amazon basin), the nearest major city at the center of the study area was used. </w:t>
      </w:r>
      <w:r w:rsidRPr="00630010">
        <w:t>The forest cover base map is for the year 2000 and was produced by Hansen et al. (2013).</w:t>
      </w:r>
    </w:p>
    <w:p w14:paraId="330BFF5C" w14:textId="77777777" w:rsidR="00661024" w:rsidRDefault="00661024" w:rsidP="00661024">
      <w:pPr>
        <w:rPr>
          <w:b/>
        </w:rPr>
      </w:pPr>
    </w:p>
    <w:p w14:paraId="5148A70D" w14:textId="77777777" w:rsidR="00661024" w:rsidRDefault="00661024" w:rsidP="00A11552">
      <w:pPr>
        <w:rPr>
          <w:b/>
        </w:rPr>
      </w:pPr>
    </w:p>
    <w:p w14:paraId="27951B09" w14:textId="77777777" w:rsidR="00661024" w:rsidRDefault="00661024" w:rsidP="00A11552">
      <w:pPr>
        <w:rPr>
          <w:b/>
        </w:rPr>
      </w:pPr>
    </w:p>
    <w:p w14:paraId="58540346" w14:textId="6E5048A8" w:rsidR="00661024" w:rsidRDefault="00661024" w:rsidP="00A11552">
      <w:pPr>
        <w:rPr>
          <w:b/>
        </w:rPr>
      </w:pPr>
    </w:p>
    <w:p w14:paraId="190045E0" w14:textId="3A856B22" w:rsidR="00661024" w:rsidRDefault="00661024" w:rsidP="00A11552">
      <w:pPr>
        <w:rPr>
          <w:b/>
        </w:rPr>
      </w:pPr>
    </w:p>
    <w:p w14:paraId="2B6BB924" w14:textId="5EAA5FFC" w:rsidR="00661024" w:rsidRDefault="00661024" w:rsidP="00A11552">
      <w:pPr>
        <w:rPr>
          <w:b/>
        </w:rPr>
      </w:pPr>
    </w:p>
    <w:p w14:paraId="49313272" w14:textId="7F690877" w:rsidR="00661024" w:rsidRDefault="00661024" w:rsidP="00A11552">
      <w:pPr>
        <w:rPr>
          <w:b/>
        </w:rPr>
      </w:pPr>
    </w:p>
    <w:p w14:paraId="7B76C140" w14:textId="15E0B68E" w:rsidR="00661024" w:rsidRDefault="00661024" w:rsidP="00A11552">
      <w:pPr>
        <w:rPr>
          <w:b/>
        </w:rPr>
      </w:pPr>
    </w:p>
    <w:p w14:paraId="68C81444" w14:textId="5EBE54C2" w:rsidR="00661024" w:rsidRDefault="00661024" w:rsidP="00A11552">
      <w:pPr>
        <w:rPr>
          <w:b/>
        </w:rPr>
      </w:pPr>
    </w:p>
    <w:p w14:paraId="46C6916F" w14:textId="4AC62BEF" w:rsidR="00661024" w:rsidRDefault="00661024" w:rsidP="00A11552">
      <w:pPr>
        <w:rPr>
          <w:b/>
        </w:rPr>
      </w:pPr>
    </w:p>
    <w:p w14:paraId="2F905D25" w14:textId="77777777" w:rsidR="00661024" w:rsidRDefault="00661024" w:rsidP="00A11552">
      <w:pPr>
        <w:rPr>
          <w:b/>
        </w:rPr>
      </w:pPr>
    </w:p>
    <w:p w14:paraId="0988FDA2" w14:textId="77777777" w:rsidR="00661024" w:rsidRDefault="00661024" w:rsidP="00A11552">
      <w:pPr>
        <w:rPr>
          <w:b/>
        </w:rPr>
      </w:pPr>
    </w:p>
    <w:p w14:paraId="685F803A" w14:textId="539D2F96" w:rsidR="00A11552" w:rsidRPr="0049799C" w:rsidRDefault="00661024" w:rsidP="00A11552">
      <w:r>
        <w:rPr>
          <w:b/>
        </w:rPr>
        <w:t xml:space="preserve">Appendix 3. </w:t>
      </w:r>
      <w:r w:rsidR="002B6B93" w:rsidRPr="00D02074">
        <w:rPr>
          <w:b/>
        </w:rPr>
        <w:t>Database of Case Studies of Intact Forest Loss Reviewed</w:t>
      </w:r>
      <w:r w:rsidR="0049799C">
        <w:rPr>
          <w:b/>
        </w:rPr>
        <w:t xml:space="preserve">. </w:t>
      </w:r>
      <w:r w:rsidR="0049799C">
        <w:t>The table below shows the case studies analyzed in this meta-analysis study. Additi</w:t>
      </w:r>
      <w:r w:rsidR="00156760">
        <w:t xml:space="preserve">onal information provided </w:t>
      </w:r>
      <w:r w:rsidR="0049799C">
        <w:t xml:space="preserve">for each case study </w:t>
      </w:r>
      <w:r w:rsidR="00156760">
        <w:t>includes</w:t>
      </w:r>
      <w:r w:rsidR="0049799C">
        <w:t xml:space="preserve"> the time period of the case and its region, country, and forest type.</w:t>
      </w:r>
    </w:p>
    <w:p w14:paraId="32C73180" w14:textId="77777777" w:rsidR="00A11552" w:rsidRDefault="00A11552" w:rsidP="00A11552">
      <w:pPr>
        <w:rPr>
          <w:b/>
        </w:rPr>
      </w:pPr>
    </w:p>
    <w:tbl>
      <w:tblPr>
        <w:tblW w:w="11240" w:type="dxa"/>
        <w:tblInd w:w="-1000" w:type="dxa"/>
        <w:tblLook w:val="04A0" w:firstRow="1" w:lastRow="0" w:firstColumn="1" w:lastColumn="0" w:noHBand="0" w:noVBand="1"/>
      </w:tblPr>
      <w:tblGrid>
        <w:gridCol w:w="5490"/>
        <w:gridCol w:w="1743"/>
        <w:gridCol w:w="1176"/>
        <w:gridCol w:w="1407"/>
        <w:gridCol w:w="1424"/>
      </w:tblGrid>
      <w:tr w:rsidR="002422E2" w:rsidRPr="005D0F96" w14:paraId="5D40B03E" w14:textId="77777777" w:rsidTr="0049799C">
        <w:trPr>
          <w:trHeight w:val="916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EFB" w14:textId="77777777" w:rsidR="002422E2" w:rsidRPr="005D0F96" w:rsidRDefault="002422E2" w:rsidP="004979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Full Article Citation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DA8" w14:textId="77777777" w:rsidR="002422E2" w:rsidRPr="005D0F96" w:rsidRDefault="002422E2" w:rsidP="004979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Period of Study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CEB" w14:textId="77777777" w:rsidR="002422E2" w:rsidRPr="005D0F96" w:rsidRDefault="002422E2" w:rsidP="004979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7A1" w14:textId="77777777" w:rsidR="002422E2" w:rsidRPr="005D0F96" w:rsidRDefault="002422E2" w:rsidP="004979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BEB3" w14:textId="77777777" w:rsidR="002422E2" w:rsidRPr="005D0F96" w:rsidRDefault="002422E2" w:rsidP="004979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Forest Type</w:t>
            </w:r>
          </w:p>
        </w:tc>
      </w:tr>
      <w:tr w:rsidR="002422E2" w:rsidRPr="005D0F96" w14:paraId="59F89A98" w14:textId="77777777" w:rsidTr="0049799C">
        <w:trPr>
          <w:trHeight w:val="1440"/>
        </w:trPr>
        <w:tc>
          <w:tcPr>
            <w:tcW w:w="549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4D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Abbot, J. I., &amp; Homewood, K. (1999). A history of change: causes of miombo woodland decline in a protected area in Malawi. Journal of Applied Ecology, 36(3), 422-433.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690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1982-1990</w:t>
            </w:r>
          </w:p>
        </w:tc>
        <w:tc>
          <w:tcPr>
            <w:tcW w:w="11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2D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60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Malawi</w:t>
            </w:r>
          </w:p>
        </w:tc>
        <w:tc>
          <w:tcPr>
            <w:tcW w:w="142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6EC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4530893F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72E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Achard, F., Mollicone, D., Stibig, H. J., Aksenov, D., Laestadius, L., Li, Z., ... &amp; Yaroshenko, A. (2006). Areas of rapid forest-cover change in boreal Eurasia. Forest Ecology and Management, 237(1-3), 322-334.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910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1995-2005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D6A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E0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Russia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AC3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066305D0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95A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Aksenov, D. (2002).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Atlas of Russia's intact forest landscapes. Biodiversity Conservation Center.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839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1999-2001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EE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75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Russia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EE8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0BD82601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775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Aldrich, S. P., Walker, R. T., Arima, E. Y., Caldas, M. M., Browder, J. O., &amp; Perz, S. (2006). Land</w:t>
            </w:r>
            <w:r w:rsidRPr="005D0F9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‐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cover and land</w:t>
            </w:r>
            <w:r w:rsidRPr="005D0F9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‐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use change in the Brazilian Amazon: smallholders, ranchers, and frontier stratification. Economic Geography, 82(3), 265-288.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48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1986-2002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9E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FD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566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33DE569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883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Aldrich, S., Walker, R., Simmons, C., Caldas, M., &amp; Perz, S. (2012). Contentious land change in the Amazon's arc of deforestation. Annals of the Association of American Geographers, 102(1), 103-128.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39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1984-2003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8C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C8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D26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67C82C2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500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Ali, J., Benjaminsen, T. A., Hammad, A. A., &amp; Dick, Ø. B. (2005). The road to deforestation: An assessment of forest loss and its causes in Basho Valley, Northern Pakistan.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Global Environmental Change,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15(4), 370-380.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A241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1968-2005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EF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DDC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Pakistan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23DD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751A4DB3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1C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Alvarez, N. L., &amp; Naughton-Treves, L. (2003). Linking national agrarian policy to deforestation in the Peruvian Amazon: a case study of Tambopata, 1986–1997. AMBIO: A Journal of the Human Environment, 32(4), 269-275.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268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1986- 2001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96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B9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 Peru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8AAB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1C98748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BB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Angelsen, A. (1995). Shifting cultivation and “deforestation”: a study from Indonesia. World Development, 23(10), 1713-1729.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A60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1991-1992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0F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F5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 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E44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A030FCF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8E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Armenteras, D., Rodríguez, N., Retana, J., &amp; Morales, M. (2011). Understanding deforestation in montane and lowland forests of the Colombian Andes. Regional Environmental Change, 11(3), 693-705.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8C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4F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E2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Colombia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A0F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8DCF105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426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Armenteras, D., Rudas, G., Rodriguez, N., Sua, S., &amp; Romero, M. (2006). Patterns and causes of deforestation in the Colombian Amazon. Ecological </w:t>
            </w:r>
            <w:r>
              <w:rPr>
                <w:rFonts w:eastAsia="Times New Roman"/>
                <w:sz w:val="22"/>
                <w:szCs w:val="22"/>
              </w:rPr>
              <w:t>I</w:t>
            </w:r>
            <w:r w:rsidRPr="005D0F96">
              <w:rPr>
                <w:rFonts w:eastAsia="Times New Roman"/>
                <w:sz w:val="22"/>
                <w:szCs w:val="22"/>
              </w:rPr>
              <w:t>ndicators, 6(2), 353-368.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565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5A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B4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Colombia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E4A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D32F5F6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224F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Arvor, D., Dubreuil, V., Simões, M., &amp; Bégué, A. (2013). Mapping and spatial analysis of the soybean agricultural frontier in Mato Grosso, Brazil, using remote sensing data. GeoJournal, 78(5), 833-850.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43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2000-2006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11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11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7AA7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0854C99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5B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Barber, C. V., &amp; Schweithelm, J. (2000). Trial by Fire: Forest Fires and Forestry Policy in Indonesia’s Era of Crisis and Reform (World Resources Institute, Forest Frontiers Initiative, Washington, DC).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03B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1997-1998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3A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B0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C39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32F9846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42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Barbieri, A. F., &amp; Carr, D. L. (2005). Gender-specific out-migration, deforestation and urbanization in the Ecuadorian Amazon. Global and Planetary Change, 47(2-4), 99-110.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FB1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64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9E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9892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D703AC1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FFB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Barbieri, A. F., Carr, D. L., &amp; Bilsborrow, R. E. (2009). Migration within the frontier: the </w:t>
            </w:r>
            <w:proofErr w:type="gramStart"/>
            <w:r w:rsidRPr="005D0F96">
              <w:rPr>
                <w:rFonts w:eastAsia="Times New Roman"/>
                <w:color w:val="222222"/>
                <w:sz w:val="22"/>
                <w:szCs w:val="22"/>
              </w:rPr>
              <w:t>second generation</w:t>
            </w:r>
            <w:proofErr w:type="gramEnd"/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 colonization in the Ecuadorian Amazon. Population Research and Policy Review, 28(3), 291-320.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F0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86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0F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44B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2B64DD3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E3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Bass, M. S., Finer, M., Jenkins, C. N., Kreft, H., Cisneros-Heredia, D. F., McCracken, S. F., ... &amp; Di Fiore, A. (2010). Global conservation significance of Ecuador's Yasuní National Park. PloS one, 5(1), e8767.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5B6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D5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EC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 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4ED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967A8C0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3D0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lastRenderedPageBreak/>
              <w:t>Baumann, M., Gasparri, I., Piquer</w:t>
            </w:r>
            <w:r w:rsidRPr="005D0F9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‐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Rodríguez, M., Gavier Pizarro, G., Griffiths, P., Hostert, P., &amp; Kuemmerle, T. (2017). Carbon emissions from agricultural expansion and intensification in the Chaco. Global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C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hange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B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iology, 23(5), 1902-1916.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C6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1985-2013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16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95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Argentina, Paraguay, 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BD0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35F44D66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257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Baumann, M., Israel, C., Piquer-Rodríguez, M., Gavier-Pizarro, G., Volante, J. N., &amp; Kuemmerle, T. (2017). Deforestation and cattle expansion in the Paraguayan Chaco 1987–2012. Regional Environmental Change, 17(4), 1179-1191.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F5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1987-2012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86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1E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Paraguay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38B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0DB4C7A5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D21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Bax, V., Francesconi, W., &amp; Quintero, M. (2016). Spatial modeling of deforestation processes in the Central Peruvian Amazon. Journal for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N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ature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C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>onservation, 29, 79-88.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AB5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2007–2014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84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700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Peru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E5D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119836D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A8C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Bhagwat, T., Hess, A., Horning, N., Khaing, T., Thein, Z. M., Aung, K. M., ... &amp; Neil, A. (2017). Losing a jewel—Rapid declines in Myanmar’s intact forests from 2002-2014. PloS one, 12(5), e0176364.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33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2002-2014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16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EC3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Myanmar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825A" w14:textId="77777777" w:rsidR="002422E2" w:rsidRPr="00165059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059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CBF1A98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013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Bianchi, C. A., &amp; Haig, S. M. (2013). Deforestation trends of tropical dry forests in central Brazil. Biotropica, 45(3), 395-400.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A9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1977-2008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2C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3F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A33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210F1FD6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A1B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Boletta, P. E., Ravelo, A. C., Planchuelo, A. M., &amp; Grilli, M. (2006). Assessing deforestation in the Argentine Chaco. Forest Ecology and Management, 228(1-3), 108-114.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3A5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1975-1999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F8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10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9026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17FBC452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178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Bong, I. W., Felker, M. E., &amp; Maryudi, A. (2016). How are local people driving and affected by forest cover change? Opportunities for local participation in REDD+ measurement, reporting and verification. PloS one, 11(11), e0145330.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26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2013-2014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E0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B90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Papua New Guinea, 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0FC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B29F75D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9C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Bouchard, M., &amp; Pothier, D. (2011). Long-term influence of fire and harvesting on boreal forest age structure and forest composition in eastern Québec. Forest Ecology and Management, 261(4), 811-820.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C51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1800-2000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B18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43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Canada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FCE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75855CEC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A65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lastRenderedPageBreak/>
              <w:t>Boucher, Y., Grondin, P., &amp; Auger, I. (2014). Land use history (1840–2005) and physiography as determinants of southern boreal forests. Landscape Ecology, 29(3), 437-450.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5D6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1840-2005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81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25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BCB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1376AE2F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7D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Bowen, D. (2002). Agricultural expansion in northern Alberta. Geographical Review, 92(4), 503-525.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18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1970-2001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53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181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7D8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2D529FA8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A4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Bradley, A., &amp; Millington, A. (2008). Coca and colonists: quantifying and explaining forest clearance under coca and anti-narcotics policy regimes. Ecology and Society, 13(1).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F9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1963-2003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8A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18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BF9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B67CEBD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26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Bradshaw, C. J. (2012). Little left to lose: deforestation and forest degradation in Australia since European colonization. Journal of Plant Ecology, 5(1), 109-120.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A2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19th century-2010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82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Australia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57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Australia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844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5C4ED125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EAE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Brando, P. M., Coe, M. T., DeFries, R., &amp; Azevedo, A. A. (2013). Ecology, economy and management of an agroindustrial frontier landscape in the southeast Amazon. Phil Trans R Soc B 368: 20120152.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0C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AF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DC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F17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90D809A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8C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Brandt, J. S., Butsic, V., Schwab, B., Kuemmerle, T., &amp; Radeloff, V. C. (2015). The relative effectiveness of protected areas, a logging ban, and sacred areas for old-growth forest protection in southwest China. Biological </w:t>
            </w:r>
            <w:r>
              <w:rPr>
                <w:rFonts w:eastAsia="Times New Roman"/>
                <w:sz w:val="22"/>
                <w:szCs w:val="22"/>
              </w:rPr>
              <w:t>C</w:t>
            </w:r>
            <w:r w:rsidRPr="005D0F96">
              <w:rPr>
                <w:rFonts w:eastAsia="Times New Roman"/>
                <w:sz w:val="22"/>
                <w:szCs w:val="22"/>
              </w:rPr>
              <w:t>onservation, 181, 1-8.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BF0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1990-2009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69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3D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D62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AF8615D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7E9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Brandt, J. S., Kuemmerle, T., Li, H., Ren, G., Zhu, J., &amp; Radeloff, V. C. (2012). Using Landsat imagery to map forest change in southwest China in response to the national logging ban and ecotourism development.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Remote Sensing of Environment,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121, 358-369.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6AD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1974-2009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D4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6BC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7EC7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14C458B5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A1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Bray, D.B., Klepeis, P. (2005). Deforestation, forest transitions, and institutions for sustainability in Southeastern Mexico, 1900-2000. Environment and History, 11, 195-223.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69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1900-2003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D7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44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Mexico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C5E2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8E07A19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21F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lastRenderedPageBreak/>
              <w:t>Brookfield, H., &amp; Byron, Y. (1990). Deforestation and timber extraction in Borneo and the Malay Peninsula: the record since 1965.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Global Environmental Change,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1(1), 42-56.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DC3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1965-1990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B2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E6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5CC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8CAC089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F2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Brunner, J., Talbott, K., &amp; Elkin, C. (1998). Logging Burma's frontier forests: resources and the regime. Washington, DC: World Resources Institute.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7CE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1948-1990's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C2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B8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Myanmar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91A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151A321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DD3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Burnett, C., Fall, A., Tomppo, E., &amp; Kalliola, R. (2003). Monitoring current status of and trends in boreal forest land use in Russian Karelia. Conservation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E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cology, 7(2).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517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1988-1999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93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E1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Russia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69A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406BA737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7B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Caldas, M. M., Goodin, D., Sherwood, S., Campos Krauer, J. M., &amp; Wisely, S. M. (2015). Land-cover change in the Paraguayan Chaco: 2000–2011. Journal of Land Use Science, 10(1), 1-18.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BF8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2000-2011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CE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05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Paraguay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5E3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Subtropical</w:t>
            </w:r>
            <w:r>
              <w:rPr>
                <w:rFonts w:eastAsia="Times New Roman"/>
                <w:sz w:val="22"/>
                <w:szCs w:val="22"/>
              </w:rPr>
              <w:t xml:space="preserve"> Dry</w:t>
            </w:r>
          </w:p>
        </w:tc>
      </w:tr>
      <w:tr w:rsidR="002422E2" w:rsidRPr="005D0F96" w14:paraId="01194B80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6E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Carr, D. (2009). Population, Rural Development, and Land Use Among Settler Households in an Agricultural Frontier in Guatemala's Maya Biosphere Reserve. Journal of International &amp; Global Studies, 1(1).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B88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1997-2000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93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295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Guatemala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805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0DFEBC2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9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Carr, D.L. (2008). Farm households and land use in a core conservation zone of the Maya Biosphere Reserve, Guatemala. Human Ecology, 36, 231-248.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2C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C4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EC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Guatemala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8701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D4167B9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210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Cayuela, L., Benayas, J. M. R., &amp; Echeverría, C. (2006). Clearance and fragmentation of tropical montane forests in the Highlands of Chiapas, Mexico (1975–2000). Forest Ecology and Management, 226(1-3), 208-218.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FA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1975-2000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76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7B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Mexico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495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129AF6D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6A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Chai, S. L., Tanner, E., &amp; McLaren, K. (2009). High rates of forest clearance and fragmentation pre-and post-National Park establishment: The case of a Jamaican montane rainforest. Biological Conservation, 142(11), 2484-2492.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99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1983-2002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C6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45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Jamaica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7B8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357DF27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CA14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lastRenderedPageBreak/>
              <w:t>Chowdhury, R. R. (2006). Landscape change in the Calakmul Biosphere Reserve, Mexico: Modeling the driving forces of smallholder deforestation in land parcels. Applied Geography, 26(2), 129-152.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472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1987-1996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17A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C7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Mexico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EBC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5725C44E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4E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Colchester, M. (1997). Guyana: Fragile frontier. Race &amp; Class, 38(4), 33-56.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6C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1750-1995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C6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D9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Guyana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8A52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AD8A7CE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21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Curran, L. M., Trigg, S. N., McDonald, A. K., Astiani, D., Hardiono, Y. M., Siregar, P., ... &amp; Kasischke, E. (2004). Lowland forest loss in protected areas of Indonesian Borneo. Science, 303(5660), 1000-1003.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F4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98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650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6BA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9CBCF81" w14:textId="77777777" w:rsidTr="0049799C">
        <w:trPr>
          <w:trHeight w:val="144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2A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Cushman, S. A., &amp; Wallin, D. O. (2000). Rates and patterns of landscape change in the Central Sikhote-alin Mountains, Russian Far East. Landscape Ecology, 15(7), 643-659.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CA1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1972-1992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43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15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 Russia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24F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63DC8901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0A6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Delang, C. O. (2002). Deforestation in northern Thailand: The result of Hmong farming practices or Thai development </w:t>
            </w:r>
            <w:proofErr w:type="gramStart"/>
            <w:r w:rsidRPr="005D0F96">
              <w:rPr>
                <w:rFonts w:eastAsia="Times New Roman"/>
                <w:color w:val="222222"/>
                <w:sz w:val="22"/>
                <w:szCs w:val="22"/>
              </w:rPr>
              <w:t>strategies?.</w:t>
            </w:r>
            <w:proofErr w:type="gramEnd"/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 Society &amp; Natural Resources, 15(6), 483-501.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2A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C0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7D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Thailand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F20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83D7E6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29E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Dennis, R. A., &amp; Colfer, C. P. (2006). Impacts of land use and fire on the loss and degradation of lowland forest in 1983–2000 in East Kutai District, East Kalimantan, Indonesia. Singapore Journal of Tropical Geography, 27(1), 30-48.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66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1983-2000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12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9E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3D13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3134C7C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5F9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Durand, L., &amp; Lazos, E. (2004). Colonization and tropical deforestation in the Sierra Santa Marta, southern Mexico. Environmental Conservation, 31(1), 11-21.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FE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1960-1998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7F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82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Mexico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D0C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9677038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ED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Echeverría, C., Newton, A., Nahuelhual, L., Coomes, D., &amp; Rey-Benayas, J. M. (2012). How landscapes change: integration of spatial patterns and human processes in temperate landscapes of southern Chile. Applied Geography, 32(2), 822-831.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24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A6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43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43E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3F95FAC0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79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Eder, J. F. (1990). Deforestation and detribalization in the Philippines: the Palawan case. Population and Environment, 12(2), 99-115.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5E2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1903-1990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C6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8A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Philippines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A39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F53D939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D3D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Eilenberg, M. (2015). Shades of green and REDD: Local and global contestations over the value of forest versus plantation development on the Indonesian forest frontier. Asia Pacific Viewpoint, 56(1), 48-61.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70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2001-2013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9C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FC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009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77D3E59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70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Environmental Investigation Agency. (2009). Up for Grabs: Deforestation and Exploitation in Papua's Plantations Boom. Telepak Foundation: 1-28. ISBN: 0-9540768-8-5.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EA5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C1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99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Papua New Guinea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C68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E5F3E5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3F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Ericsson, T. S., Berglund, H., &amp; Östlund, L. (2005). History and forest biodiversity of woodland key habitats in south boreal Sweden. Biological Conservation, 122(2), 289-303.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F6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1867-1999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16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2D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Sweden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9DE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7E01D49C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D0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Essen, P.A., Ehnstrom, B., Ericson, L., Sjoberg, K. (1997). Boreal Forests. Ecolo</w:t>
            </w:r>
            <w:r>
              <w:rPr>
                <w:rFonts w:eastAsia="Times New Roman"/>
                <w:sz w:val="22"/>
                <w:szCs w:val="22"/>
              </w:rPr>
              <w:t>gi</w:t>
            </w:r>
            <w:r w:rsidRPr="005D0F96">
              <w:rPr>
                <w:rFonts w:eastAsia="Times New Roman"/>
                <w:sz w:val="22"/>
                <w:szCs w:val="22"/>
              </w:rPr>
              <w:t>cal Bulletins, 46, 16-47.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E8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1600-1990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A2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8B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Sweden, Finland, Norway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2187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6A901AD1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223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Etter, A., McAlpine, C., Phinn, S., Pullar, D., &amp; Possingham, H. (2006). Characterizing a tropical deforestation wave: a dynamic spatial analysis of a deforestation hotspot in the Colombian Amazon. Global Change Biology, 12(8), 1409-1420.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028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1989-2002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76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7DE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B1E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1C39F92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D7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 xml:space="preserve">Etter, A., McAlpine, C., Phinn, S., Pullar, D., &amp; Possingham, H. (2006). Unplanned land clearing of Colombian rainforests: Spreading like </w:t>
            </w:r>
            <w:proofErr w:type="gramStart"/>
            <w:r w:rsidRPr="005D0F96">
              <w:rPr>
                <w:rFonts w:eastAsia="Times New Roman"/>
                <w:sz w:val="22"/>
                <w:szCs w:val="22"/>
              </w:rPr>
              <w:t>disease?.</w:t>
            </w:r>
            <w:proofErr w:type="gramEnd"/>
            <w:r w:rsidRPr="005D0F96">
              <w:rPr>
                <w:rFonts w:eastAsia="Times New Roman"/>
                <w:sz w:val="22"/>
                <w:szCs w:val="22"/>
              </w:rPr>
              <w:t xml:space="preserve"> Landscape and Urban Planning, 77(3), 240-254.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232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1989-2002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78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63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 Colombia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EBC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23809A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E2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Etter, A., McAlpine, C., Pullar, D., &amp; Possingham, H. (2006). Modelling the conversion of Colombian lowland ecosystems since 1940: Drivers, patterns and rates. Journal of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E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nvironmental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M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>anagement, 79(1), 74-87.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335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1940-2000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79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680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610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12AA7D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4A2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Fearnside, P. M. (2005). Deforestation in Brazilian Amazonia: history, rates, and consequences. Conservation Biology, 19(3), 680-688.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CE5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1970-2002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6F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02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909D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AFEFCEA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A1D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Fischer, A., &amp; Vasseur, L. (2000). The crisis in shifting cultivation practices and the promise of agroforestry: a review of the Panamanian experience. Biodiversity &amp; Conservation, 9(6), 739-756.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06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1980-199</w:t>
            </w: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47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2E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Panama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62B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8AA7B8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3F7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Flamenco-Sandoval, A., Ramos, M. M., &amp; Masera, O. R. (2007). Assessing implications of land-use and land-cover change dynamics for conservation of a highly diverse tropical rain forest. Biological Conservation, 138(1-2), 131-145.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51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1986-2000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5C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2BD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Mexico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A3D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055901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C62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Fox, J., Krummel, J., Yarnasarn, S., Ekasingh, M., &amp; Podger, N. (1995). Land-use and landscape dynamics in northern Thailand: Assessing change in three upland watersheds since 1954. 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>AMBIO: A Journal of the Human Environment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, 24(6), 328-334.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157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1954-1992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61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41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Thailand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141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E8266DC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FF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Fujisaka, S., Bell, W., Thomas, N., Hurtado, L., &amp; Crawford, E. (1996). Slash-and-burn agriculture, conversion to pasture, and deforestation in two Brazilian Amazon colonies. Agriculture, Ecosystems &amp; Environment, 59(1-2), 115-130.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43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1990-1995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C6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E3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FC84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CBF145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2C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Fuller, D. O., Jessup, T. C., &amp; Salim, A. (2004). Loss of forest cover in Kalimantan, Indonesia, since the 1997–1998 El Nino. Conservation Biology, 18(1), 249-254.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957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1996-2002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39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C5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 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5DD1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B50307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F47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Galford, G. L., Melillo, J. M., Kicklighter, D. W., Mustard, J. F., Cronin, T. W., Cerri, C. E., &amp; Cerri, C. C. (2011). Historical carbon emissions and uptake from the agricultural frontier of the Brazilian Amazon. Ecological Applications, 21(3), 750-763.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731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1901-2006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8D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7D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453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Subtropical</w:t>
            </w:r>
            <w:r>
              <w:rPr>
                <w:rFonts w:eastAsia="Times New Roman"/>
                <w:sz w:val="22"/>
                <w:szCs w:val="22"/>
              </w:rPr>
              <w:t xml:space="preserve"> Wet</w:t>
            </w:r>
          </w:p>
        </w:tc>
      </w:tr>
      <w:tr w:rsidR="002422E2" w:rsidRPr="005D0F96" w14:paraId="00C2EE9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4C4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Galicia, L., &amp; García-Romero, A. (2007). Land use and land cover change in highland temperate forests in the Izta-Popo National Park, central Mexico. Mountain Research and Development, 48-57.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49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1970-2000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C7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FB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Mexico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E9A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3B4AE9E3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25C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Galicia, L., &amp; García-Romero, A. (2007). Land use and land cover change in highland temperate forests in the Izta-Popo National Park, central Mexico. Mountain Research and Development, 48-57.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A26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1970-2000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7A3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EE2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Mexico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F20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19CA0630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B65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Gasparri, N. I., &amp; Grau, H. R. (2009). Deforestation and fragmentation of Chaco dry forest in NW Argentina (1972–2007). Forest Ecology and Management, 258(6), 913-921.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B0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1972-2007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74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20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Argentina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BF3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1D27A95C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B7D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Gaveau, D. L., Kshatriya, M., Sheil, D., Sloan, S., Molidena, E., Wijaya, A., ... &amp; Guariguata, M. R. (2013). Reconciling forest conservation and logging in Indonesian Borneo. PloS one, 8(8), e69887.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24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2000-2010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4E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C6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AA8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550162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28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Gaveau, D. L., Linkie, M., Levang, P., &amp; Leader-Williams, N. (2009). Three decades of deforestation in southwest Sumatra: effects of coffee prices, law enforcement and rural poverty. Biological </w:t>
            </w:r>
            <w:r>
              <w:rPr>
                <w:rFonts w:eastAsia="Times New Roman"/>
                <w:sz w:val="22"/>
                <w:szCs w:val="22"/>
              </w:rPr>
              <w:t>C</w:t>
            </w:r>
            <w:r w:rsidRPr="005D0F96">
              <w:rPr>
                <w:rFonts w:eastAsia="Times New Roman"/>
                <w:sz w:val="22"/>
                <w:szCs w:val="22"/>
              </w:rPr>
              <w:t>onservation, 142(3), 597-605.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053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1972-2006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079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6B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006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458202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8F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Gill, L. (1987). Frontier expansion and settlement in lowland Bolivia. The Journal of Peasant Studies, 14(3), 380-398.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16A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1952-1984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47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5D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EC1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38CA593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E7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Godar, J., Tizado, E. J., &amp; Pokorny, B. (2012). Who is responsible for deforestation in the Amazon? A spatially explicit analysis along the Transamazon Highway in Brazil. Forest Ecology and Management, 267, 58-73.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434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1986-2007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54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73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EFA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C46D61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C0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Godoy, R., Groff, S., &amp; O'neill, K. (1998). The role of education in neotropical deforestation: Household evidence from Amerindians in Honduras. Human Ecology, 26(4), 649-675.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682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1995-1996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715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F6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Honduras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D72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F5C708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18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Godoy, R., O'neill, K., Groff, S., Kostishack, P., Cubas, A., Demmer, J., ... &amp; Martinez, M. (1997). Household determinants of deforestation by Amerindians in Honduras. World Development, 25(6), 977-987.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0FB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1994-1996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08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27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Honduras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70F2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5C3115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6F3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Grau, H. R., Gasparri, N. I., &amp; Aide, T. M. (2008). Balancing food production and nature conservation in the Neotropical dry forests of northern Argentina. Global Change Biology, 14(5), 985-997.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2D6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1970-2002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C2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B6C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163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3155F06A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8D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Grau, H.R., Gasparri, N.I., Aide, T.M. (2005). Agricultural expansion and deforestation in seasonally dry forests of north-west Argentina. Environmental Conservation. 32(2), 140-148.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BB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1972-2001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18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E9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Argentina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914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2B2289C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DF2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Hammond, D. S., Gond, V., De Thoisy, B., Forget, P. M., &amp; DeDijn, B. P. (2007). Causes and consequences of a tropical forest gold rush in the Guiana Shield, South America. AMBIO: A Journal of the Human Environment, 36(8), 661-671.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FAC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1930-2005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6F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3DB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Guyana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E14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593E50A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1F4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lastRenderedPageBreak/>
              <w:t>Hartter, J., Ryan, S. J., Southworth, J., &amp; Chapman, C. A. (2011). Landscapes as continuous entities: forest disturbance and recovery in the Albertine Rift landscape. Landscape Ecology, 26(6), 877.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FC9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1984-2008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6E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09D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324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0BD48D50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B36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Hecht, S. B. (2005). Soybeans, development and conservation on the Amazon frontier. Development and Change, 36(2), 375-404.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F1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30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09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9B22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61BB7C3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54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Hobson, K. A., Bayne, E. M., &amp; Van Wilgenburg, S. L. (2002). Large</w:t>
            </w:r>
            <w:r w:rsidRPr="005D0F96">
              <w:rPr>
                <w:rFonts w:ascii="Calibri" w:eastAsia="Calibri" w:hAnsi="Calibri" w:cs="Calibri"/>
                <w:sz w:val="22"/>
                <w:szCs w:val="22"/>
              </w:rPr>
              <w:t>‐</w:t>
            </w:r>
            <w:r w:rsidRPr="005D0F96">
              <w:rPr>
                <w:rFonts w:eastAsia="Times New Roman"/>
                <w:sz w:val="22"/>
                <w:szCs w:val="22"/>
              </w:rPr>
              <w:t>scale conversion of forest to agriculture in the boreal plains of Saskatchewan. Conservation Biology, 16(6), 1530-1541.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77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1966-1994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97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61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Canada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A39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1FF2CF2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0D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Hobson, K. A., Bayne, E. M., &amp; Van Wilgenburg, S. L. (2002). Large</w:t>
            </w:r>
            <w:r w:rsidRPr="005D0F96">
              <w:rPr>
                <w:rFonts w:ascii="Calibri" w:eastAsia="Calibri" w:hAnsi="Calibri" w:cs="Calibri"/>
                <w:sz w:val="22"/>
                <w:szCs w:val="22"/>
              </w:rPr>
              <w:t>‐</w:t>
            </w:r>
            <w:r w:rsidRPr="005D0F96">
              <w:rPr>
                <w:rFonts w:eastAsia="Times New Roman"/>
                <w:sz w:val="22"/>
                <w:szCs w:val="22"/>
              </w:rPr>
              <w:t>scale conversion of forest to agriculture in the boreal plains of Saskatchewan. Conservation Biology, 16(6), 1530-1541.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CC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1916-1994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48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3E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Canada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5A3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6271986C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5EE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Holland, T. G., Coomes, O. T., &amp; Robinson, B. E. (2016). Evolving frontier land markets and the opportunity cost of sparing forests in western Amazonia. Land Use Policy, 58, 456-471.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AB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2003-2013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EE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CD3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Peru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4216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E4E1E5A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FAF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Hough, P. A. (2011). Disarticulations and commodity chains: cattle, coca, and capital accumulation along Colombia's agricultural frontier. Environment and Planning A, 43(5), 1016-1034.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E5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1960-1990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47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08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Colombia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212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B3BE16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CB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Huang, C., Kim, S., Altstatt, A., Townshend, J. R., Davis, P., Song, K., ... &amp; Musinsky, J. (2007). Rapid loss of Paraguay's Atlantic forest and the status of protected areas—A Landsat assessment. Remote sensing of Environment, 106(4), 460-466.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52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1973-2000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D3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2A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Paraguay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887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5E0AAA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5B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Humphries, S. (1998). Milk cows, migrants, and land markets: unraveling the complexities of forest-to-pasture conversion in Northern Honduras. Economic Development and Cultural Change, 47(1), 95-124.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65E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1993-1994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8E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A5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 Honduras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5C5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B26E659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CB2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Imbernon, J. (1999). A comparison of the driving forces behind deforestation in the Peruvian and the Brazilian Amazon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 AMBIO: A Journal of the Human Environment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,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28(6), 509-13.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C5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1989-1996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F9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E0D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4AA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56F17EC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F2D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Janssen, T. A., Ametsitsi, G. K., Collins, M., Adu-Bredu, S., Oliveras, I., Mitchard, E. T., &amp; Veenendaal, E. M. (2018). Extending the baseline of tropical dry forest loss in Ghana (1984–2015) reveals drivers of major deforestation inside a protected area. Biological Conservation, 218, 163-172.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B26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1984-2015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DC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0F5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C82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68D166A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8278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Jokisch, B. D., &amp; Lair, B. M. (2002). One last stand? Forests and change on Ecuador's Eastern Cordillera. Geographical Review, 92(2), 235-256.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DEE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1987-1998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AC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BE2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B5AC" w14:textId="77777777" w:rsidR="002422E2" w:rsidRPr="00165059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059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E3F040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5A4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Kaimowitz, D., &amp; Smith, J. (2001). Soybean Technology and the Loss of Natural Vegetation in Brazil and Bolivia</w:t>
            </w:r>
            <w:r>
              <w:rPr>
                <w:rFonts w:eastAsia="Times New Roman"/>
                <w:color w:val="222222"/>
                <w:sz w:val="22"/>
                <w:szCs w:val="22"/>
              </w:rPr>
              <w:t>.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 Agricultural Technologies and Tropical Deforestation, Wallingford, Oxon, UK.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C4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1970-1998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89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3A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Bolivia, 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915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03647786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FB0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Killeen, T. J., Villegas, Z., Soria, L., Guerra, A., Calderón, V., Siles, T. M., ... &amp; Moreno, A. G. R. (2005). Land-Use Change in Chiquitanía (Santa Cruz, Bolivia): indigenous lands, private property, and the failure of governance on the agricultural frontier. Museo de Historia Natural Noel Kempff Mercado, Santa Cruz, Bolivia.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D6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1975-2004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A7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48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659E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33BAB11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96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Kinnaird, M. F., Sanderson, E. W., O'brien, T. G., Wibisono, H. T., &amp; Woolmer, G. (2003). Deforestation trends in a tropical landscape and implications for endangered large mammals. Conservation Biology, 17(1), 245-257.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80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97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11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B7C41" w14:textId="77777777" w:rsidR="002422E2" w:rsidRPr="00165059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059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9DFDAB0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34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Kirby, K. R., Laurance, W. F., Albernaz, A. K., Schroth, G., Fearnside, P. M., Bergen, S., ... &amp; Da Costa, C. (2006). The future of deforestation in the Brazilian Amazon. Futures, 38(4), 432-453.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CF0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1990-2003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1C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898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085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388B583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1ED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Kleinschroth, F., Healey, J. R., Gourlet</w:t>
            </w:r>
            <w:r w:rsidRPr="005D0F9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‐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Fleury, S., Mortier, F., &amp; Stoica, R. S. (2017). Effects of logging on roadless space in intact forest landscapes of the Congo Basin. Conservation Biology, 31(2), 469-480.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CF9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1999-2015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2D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88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Republic of Congo, Cameroon, Central African Republic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1EDD" w14:textId="77777777" w:rsidR="002422E2" w:rsidRPr="00165059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059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95EC586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96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Knorn, J., Kuemmerle, T., Radeloff, V.C., Keeton, W.S., Gancz, V., Biris, I.A., Svoboda, M., ... Hostert, P. (2012). Continued loss of temperate old-growth forests in the Romanian Carpathians despite an increasing protected area network. Environmental Conservation, 40(2), 182-193.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34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2000-2010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45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CD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Romania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716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5A0E23F3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939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Landers, J. L., Van Lear, D. H., &amp; Boyer, W. D. (1995). The longleaf pine forests of the southeast: requiem or </w:t>
            </w:r>
            <w:proofErr w:type="gramStart"/>
            <w:r w:rsidRPr="005D0F96">
              <w:rPr>
                <w:rFonts w:eastAsia="Times New Roman"/>
                <w:sz w:val="22"/>
                <w:szCs w:val="22"/>
              </w:rPr>
              <w:t>renaissance?.</w:t>
            </w:r>
            <w:proofErr w:type="gramEnd"/>
            <w:r w:rsidRPr="005D0F96">
              <w:rPr>
                <w:rFonts w:eastAsia="Times New Roman"/>
                <w:sz w:val="22"/>
                <w:szCs w:val="22"/>
              </w:rPr>
              <w:t xml:space="preserve"> Journal of Forestry 93 (11): 39-44.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05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Late 1800s - 1995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80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79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United States of America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440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0D9F279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05D4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Laurance, W. F., Alonso, A., Lee, M., &amp; Campbell, P. (2006). Challenges for forest conservation in Gabon, Central Africa.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Futures,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38(4), 454-470.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D1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1990's to early 2000's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3D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00D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Gabon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E1BD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E457188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BA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Laurance, W. F., Kakul, T., Keenan, R. J., Sayer, J., Passingan, S., Clements, G. R., ... &amp; Sodhi, N. S. (2011). Predatory corporations, failing governance, and the fate of forests in Papua New Guinea. Conservation Letters, 4(2), 95-100.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E3C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1990's-2000's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1F8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73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Papua New Guinea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61D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4096C75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9B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Laurance, W. F., Kakul, T., Tom, M., Wahya, R., &amp; Laurance, S. G. (2012). Defeating the ‘resource curse’: Key priorities for conserving Papua New Guinea’s native forests. Biological Conservation, 151(1), 35-40.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E7F9" w14:textId="77777777" w:rsidR="002422E2" w:rsidRPr="005D0F96" w:rsidRDefault="002422E2" w:rsidP="0049799C">
            <w:pPr>
              <w:jc w:val="center"/>
              <w:rPr>
                <w:rFonts w:eastAsia="Times New Roman"/>
                <w:color w:val="44546A"/>
                <w:sz w:val="22"/>
                <w:szCs w:val="22"/>
              </w:rPr>
            </w:pPr>
            <w:r w:rsidRPr="005D0F96">
              <w:rPr>
                <w:rFonts w:eastAsia="Times New Roman"/>
                <w:color w:val="44546A"/>
                <w:sz w:val="22"/>
                <w:szCs w:val="22"/>
              </w:rPr>
              <w:t>1995-2010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F2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0E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Papua New Guinea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2768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622CB38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1C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Le Polain de Waroux, Y., Baumann, M., Gasparri, N. I., Gavier-Pizarro, G., Godar, J., Kuemmerle, T., ... &amp; Meyfroidt, P. (2018). Rents, actors, and the expansion of commodity frontiers in the Gran Chaco. Annals of the American Association of Geographers, 108(1), 204-225.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A7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7E4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33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Bolivia, Paraguay, Argentina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AEA1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3183D49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7E7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Li, H., Aide, T. M., Ma, Y., Liu, W., &amp; Cao, M. (2006). Demand for rubber is causing the loss of high diversity rain forest in SW China. In Plant Conservation and Biodiversity (pp. 157-171). Springer, Dordrecht.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34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1976-2003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02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28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38D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5B4A4D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7AA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Locher-Krause, K. E., Volk, M., Waske, B., Thonfeld, F., &amp; Lautenbach, S. (2017). Expanding temporal resolution in landscape transformations: Insights from a landsat-based case study in Southern Chile. Ecological Indicators, 75, 132-144.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F0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47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35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FDC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7A1BE8A0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61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Mäki, S., Kalliola, R., &amp; Vuorinen, K. (2001). Road construction in the Peruvian Amazon: process, causes and consequences. Environmental Conservation, 28(3), 199-214.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961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1990-2001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47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D6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Peru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A83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0EB2771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25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Margono, B. A., Potapov, P. V., Turubanova, S., Stolle, F., &amp; Hansen, M. C. (2014). Primary forest cover loss in Indonesia over 2000–2012. Nature </w:t>
            </w:r>
            <w:r>
              <w:rPr>
                <w:rFonts w:eastAsia="Times New Roman"/>
                <w:sz w:val="22"/>
                <w:szCs w:val="22"/>
              </w:rPr>
              <w:t>C</w:t>
            </w:r>
            <w:r w:rsidRPr="005D0F96">
              <w:rPr>
                <w:rFonts w:eastAsia="Times New Roman"/>
                <w:sz w:val="22"/>
                <w:szCs w:val="22"/>
              </w:rPr>
              <w:t xml:space="preserve">limate </w:t>
            </w:r>
            <w:r>
              <w:rPr>
                <w:rFonts w:eastAsia="Times New Roman"/>
                <w:sz w:val="22"/>
                <w:szCs w:val="22"/>
              </w:rPr>
              <w:t>C</w:t>
            </w:r>
            <w:r w:rsidRPr="005D0F96">
              <w:rPr>
                <w:rFonts w:eastAsia="Times New Roman"/>
                <w:sz w:val="22"/>
                <w:szCs w:val="22"/>
              </w:rPr>
              <w:t>hange, 4(8), 730.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1DE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2000-2012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9D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FD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B01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43A9E58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FA9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Margono, B. A., Turubanova, S., Zhuravleva, I., Potapov, P., Tyukavina, A., Baccini, A., ... &amp; Hansen, M. C. (2012). Mapping and monitoring deforestation and forest degradation in Sumatra (Indonesia) using Landsat time series data sets from 1990 to 2010. Environmental Research Letters, 7(3), 034010.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66B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1990-2010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06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84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0237" w14:textId="77777777" w:rsidR="002422E2" w:rsidRPr="00165059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059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D767BA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FC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Marquardt, K., Pain, A., Bartholdson, Ö., &amp; Rengifo, L. R. (2019). Forest Dynamics in the Peruvian Amazon: Understanding Processes of Change. Small-scale Forestry, 18(1), 81-104.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9D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1960-2015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96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2A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Peru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DFB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6F1EF1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39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Marquette, C. M. (1998). Land use patterns among small farmer settlers in the Northeastern Ecuadorian Amazon. Human Ecology, 26(4), 573-598.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FA2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16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52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D527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6D06E16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D8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McMorrow, J., &amp; Talip, M. A. (2001). Decline of forest area in Sabah, Malaysia: relationship to state policies, land code and land capability. Global Environmental Change, 11(3), 217-230.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5FC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1890-2000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84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A8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Malaysia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E47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25660C1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F6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Mena, C. F., Bilsborrow, R. E., &amp; McClain, M. E. (2006). Socioeconomic drivers of deforestation in the Northern Ecuadorian Amazon. Environmental Management, 37(6), 802-815.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EA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1986-2002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22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F1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Ecuador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56D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BE490D5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D1B5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Mertens, B., Poccard</w:t>
            </w:r>
            <w:r w:rsidRPr="005D0F9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‐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Chapuis, R., Piketty, M. G., Lacques, A. E., &amp; Venturieri, A. (2002). Crossing spatial analyses and livestock economics to understand deforestation processes in the Brazilian Amazon: the case of Sao Felix </w:t>
            </w:r>
            <w:proofErr w:type="gramStart"/>
            <w:r w:rsidRPr="005D0F96">
              <w:rPr>
                <w:rFonts w:eastAsia="Times New Roman"/>
                <w:color w:val="222222"/>
                <w:sz w:val="22"/>
                <w:szCs w:val="22"/>
              </w:rPr>
              <w:t>do</w:t>
            </w:r>
            <w:proofErr w:type="gramEnd"/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 Xingu in South Para.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Agricultural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E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conomics,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27(3), 269-294.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07D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1980's-1990's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D8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98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007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AE1526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18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Mertens, B., Sunderlin, W. D., Ndoye, O., &amp; Lambin, E. F. (2000). Impact of macroeconomic change on deforestation in South Cameroon: Integration of household survey and remotely-sensed data. World Development, 28(6), 983-999.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949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1970's-1990's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9E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52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Republic of Cameroon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B5C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B3C596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131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Messina, J. P., Walsh, S. J., Mena, C. F., &amp; Delamater, P. L. (2006). Land tenure and deforestation patterns in the Ecuadorian Amazon: Conflicts in land conservation in frontier settings. Applied Geography, 26(2), 113-128.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B9A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1970-1999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4E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EBA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A7E3" w14:textId="77777777" w:rsidR="002422E2" w:rsidRPr="00165059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059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9062E3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9A5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Meyfroidt, P., Vu, T. P., &amp; Hoang, V. A. (2013). Trajectories of deforestation, coffee expansion and displacement of shifting cultivation in the Central Highlands of Vietnam. Global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E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nvironmental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C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>hange, 23(5), 1187-1198.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0FB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2000-2010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A88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496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590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51748F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0C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Miettinen, J., Shi, C., &amp; Liew, S. C. (2012). Two decades of destruction in Southeast Asia's peat swamp forests. Frontiers in Ecology and the Environment, 10(3), 124-128.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FB6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1990-2010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BF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5EE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Malaysia, 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291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F5CF0E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F5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Miettinen, J., Wang, J., Hooijer, A., &amp; Liew, S. (2013). Peatland conversion and degradation processes in insular Southeast Asia: a case study in Jambi, Indonesia. Land Degradation &amp; Development, 24(4), 334-341.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72A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1970-2009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00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29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5CE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7EDB768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1E71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Miranda, A., Altamirano, A., Cayuela, L., Pincheira, F., &amp; Lara, A. (2015). Different times, same story: Native forest loss and landscape homogenization in three physiographical areas of south-central of Chile. Applied Geography, 60, 20-28.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24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1973- 2008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10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39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EA9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2F7B7EF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EDB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Miranda, M., Blanco, U. Q., Hernández, L., Ochoa, G., &amp; Yerena, E. (1998). All that glitters </w:t>
            </w:r>
            <w:proofErr w:type="gramStart"/>
            <w:r w:rsidRPr="005D0F96">
              <w:rPr>
                <w:rFonts w:eastAsia="Times New Roman"/>
                <w:color w:val="000000"/>
                <w:sz w:val="22"/>
                <w:szCs w:val="22"/>
              </w:rPr>
              <w:t>is</w:t>
            </w:r>
            <w:proofErr w:type="gramEnd"/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 not gold: balancing conservation and development in Venezuela's frontier forests. World Resources Institute.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48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1980-1990's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53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F7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Guyana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F92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3DEDCF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B7A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Moran, E. F. (1993). Deforestation and land use in the Brazilian Amazon.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Human Ecology,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21(1), 1-21.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DEB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1970's to early 1990's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7D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4A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52B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5F21673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40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Müller, D., &amp; Mburu, J. (2009). Forecasting hotspots of forest clearing in Kakamega Forest, Western Kenya. Forest Ecology and Management, 257(3), 968-977.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02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1989-2001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24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7E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Kenya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420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A51B18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DC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Müller, H., Griffiths, P., &amp; Hostert, P. (2016). Long-term deforestation dynamics in the Brazilian Amazon—Uncovering historic frontier development along the Cuiabá–Santarém highway. International Journal of Applied Earth Observation and Geoinformation, 44, 61-69.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547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1984-2012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B0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94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F4ED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473761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7A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Müller, R., Pistorius, T., Rohde, S., Gerold, G., &amp; Pacheco, P. (2013). Policy options to reduce deforestation based on a systematic analysis of drivers and agents in lowland Bolivia. Land Use Policy, 30(1), 895-907.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68E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1992-2004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F4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97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99A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FE35366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6C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Mwavu, E. N., &amp; Witkowski, E. T. F. (2008). Land</w:t>
            </w:r>
            <w:r w:rsidRPr="005D0F96">
              <w:rPr>
                <w:rFonts w:ascii="Calibri" w:eastAsia="Calibri" w:hAnsi="Calibri" w:cs="Calibri"/>
                <w:sz w:val="22"/>
                <w:szCs w:val="22"/>
              </w:rPr>
              <w:t>‐</w:t>
            </w:r>
            <w:r w:rsidRPr="005D0F96">
              <w:rPr>
                <w:rFonts w:eastAsia="Times New Roman"/>
                <w:sz w:val="22"/>
                <w:szCs w:val="22"/>
              </w:rPr>
              <w:t>use and cover changes (1988–2002) around Budongo forest reserve, NW Uganda: Implications for forest and woodland sustainability. Land degradation &amp; development, 19(6), 606-622.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B4A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1988-2002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3E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AE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Uganda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424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E0BDC1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837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Nackoney, J., Molinario, G., Potapov, P., Turubanova, S., Hansen, M. C., &amp; Furuichi, T. (2014). Impacts of civil conflict on primary forest habitat in northern Democratic Republic of the Congo, 1990–2010. Biological Conservation, 170, 321-328.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662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1990-2010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47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53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Democratic Republic of Congo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3A92" w14:textId="77777777" w:rsidR="002422E2" w:rsidRPr="00165059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059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7CA399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B28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Naughton-Treves, L. (2004). Deforestation and carbon emissions at tropical frontiers: a case study from the Peruvian Amazon. World Development, 32(1), 173-190.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E5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1986-1997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D2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14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Peru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EB5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4F263DA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A40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Neira, E., Verscheure, H., &amp; Revenga, C. (2002).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Chile's frontier forests: conserving a global treasure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(pp.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56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). Global Forest Watch, World Resources Institute.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EE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B3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A1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220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57EBCAA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A32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Nolte, C., Gobbi, B., de Waroux, Y. L. P., Piquer-Rodríguez, M., Butsic, V., &amp; Lambin, E. F. (2017). Decentralized Land Use Zoning Reduces Large-scale Deforestation in a Major Agricultural Frontier. Ecological Economics, 136, 30-40.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E8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1996-2007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24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61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</w:t>
            </w:r>
            <w:r>
              <w:rPr>
                <w:rFonts w:eastAsia="Times New Roman"/>
                <w:sz w:val="22"/>
                <w:szCs w:val="22"/>
              </w:rPr>
              <w:t>rg</w:t>
            </w:r>
            <w:r w:rsidRPr="005D0F96">
              <w:rPr>
                <w:rFonts w:eastAsia="Times New Roman"/>
                <w:sz w:val="22"/>
                <w:szCs w:val="22"/>
              </w:rPr>
              <w:t>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31C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331B047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252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Nordberg, M., Angelstam, P., Elbakidze, M., &amp; Axelsson, R. (2013). From logging frontier towards sustainable forest management: experiences from boreal regions of North-West Russia and North Sweden. Scandinavian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J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ournal of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F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orest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R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esearch, 28(8), 797-810.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B9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1950-1990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5D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2E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Russia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6BC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729628B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16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Norton, T.W. (1996). Conserving biological diversity in Australia's temperate eucalypt forests. Forest Ecology and Management, 85, 21-33.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70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1900-1995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6E4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Australia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96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Australia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14C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014597EE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22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Novotny, V. (2010). Rain forest conservation in a tribal world: why forest dwellers prefer loggers to conservationists. Biotropica, 42(5), 546-549.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829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2000-2010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09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C97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Papua New Guinea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16A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43A407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CB9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NZamorano-Elgueta, C., Benayas, J. M. R., Cayuela, L., Hantson, S., &amp; Armenteras, D. (2015). Native forest replacement by exotic plantations in southern Chile (1985–2011) and partial compensation by natural regeneration. Forest Ecology and Management, 345, 10-20.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5F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09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37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82C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64018C0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F5F6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Ometto, J. P., Aguiar, A. P. D., &amp; Martinelli, L. A. (2011). Amazon deforestation in Brazil: effects, drivers and challenges. Carbon Management, 2(5), 575-585.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B50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1971-2011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9F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99B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205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1751D025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F3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Östlund, L., Zackrisson, O., &amp; Axelsson, A. L. (1997). The history and transformation of a Scandinavian boreal forest landscape since the 19th century. Canadian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J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ournal of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F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orest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>esearch, 27(8), 1198-1206.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CC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Late 1800s to Late 1900s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42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C34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Sweden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6BC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62268CE5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1EA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Pacheco, P. (2002). Deforestation and forest degradation in lowland Bolivia. Deforestation and land use in the Amazon.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In Deforestation and Land Use in the Amazon (pp. 66-94). University of Florida Press.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9E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1975-1993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E0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64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705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AB0B2EA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33E" w14:textId="77777777" w:rsidR="002422E2" w:rsidRPr="005939F0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939F0">
              <w:rPr>
                <w:rFonts w:eastAsia="Times New Roman"/>
                <w:color w:val="222222"/>
                <w:sz w:val="22"/>
                <w:szCs w:val="22"/>
              </w:rPr>
              <w:t>Pacheco, P. (2006). Agricultural expansion and deforestation in lowland Bolivia: the import substitution versus the structural adjustment model. Land Use Policy, 23(3), 205-225.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25F5" w14:textId="77777777" w:rsidR="002422E2" w:rsidRPr="005939F0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939F0">
              <w:rPr>
                <w:rFonts w:eastAsia="Times New Roman"/>
                <w:color w:val="000000"/>
                <w:sz w:val="22"/>
                <w:szCs w:val="22"/>
              </w:rPr>
              <w:t>1950-1999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2B2" w14:textId="77777777" w:rsidR="002422E2" w:rsidRPr="005939F0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39F0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8E5" w14:textId="77777777" w:rsidR="002422E2" w:rsidRPr="005939F0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939F0">
              <w:rPr>
                <w:rFonts w:eastAsia="Times New Roman"/>
                <w:color w:val="000000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080D" w14:textId="77777777" w:rsidR="002422E2" w:rsidRPr="005939F0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39F0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54D126E9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CD5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lastRenderedPageBreak/>
              <w:t>Pacheco, P. (2009). Agrarian change, cattle ranching and deforestation: Assessing their linkages in southern Para. Environment and History, 15(4), 493-520.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85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1960-2002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DF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624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31E6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1BA3DED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0E8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Pacheco, P. (2012). Actor and frontier types in the Brazilian Amazon: Assessing interactions and outcomes associated with frontier expansion. Geoforum, 43(4), 864-874.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36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2003-2010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C9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3B5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68F2" w14:textId="77777777" w:rsidR="002422E2" w:rsidRPr="00165059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059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A9D8A28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AA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Parayil, G., &amp; Tong, F. (1998). Pasture-led to logging-led deforestation: the dynamics of socio-environmental change in the Brazilian Amazon. Global Environmental Change, 8(1), 63-79.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607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1978-1994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DC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22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5C32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5E9CA4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78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Pedlowski, M. A., Dale, V. H., Matricardi, E. A., &amp; da Silva Filho, E. P. (1997). Patterns and impacts of deforestation in Rondônia, Brazil. Landscape and Urban Planning, 38(3-4), 149-157.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325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1978-1993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04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58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 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DB2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EF51C69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E79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Pedlowski, M. A., Matricardi, E. A. T., Skole, D., Cameron, S. R., Chomentowski, W., Fernandes, C., &amp; Lisboa, A. (2005). Conservation units: A new deforestation frontier in the Amazonian state of Rondônia, Brazil. Environmental Conservation, 32(2), 149-155.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92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1992-2002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41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B5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687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6D00E1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BB2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Peterson, G. D., &amp; Heemskerk, M. (2001). Deforestation and forest regeneration following small-scale gold mining in the Amazon: the case of Suriname. Environmental Conservation, 28(2), 117-126.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44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99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DE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Suriname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02BE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13D9F86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AE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Pichón, F. J. (1997). Settler households and land-use patterns in the Amazon frontier: farm-level evidence from Ecuador. World Development, 25(1), 67-91.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AF5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13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5C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 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652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3354A3A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6D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Pichon, F.J. (1997). Colonist land-allocation decisions, land use, and deforestation in the Ecuadorian Amazon frontier. Economic Development and Cultural Exchange, 45(4), 707-744.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6B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1970-1995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99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7B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16E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B70CE30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04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Pickell, P. D., Andison, D. W., Coops, N. C., Gergel, S. E., &amp; Marshall, P. L. (2015). The spatial patterns of anthropogenic disturbance in the western Canadian boreal forest following oil and gas development. Canadian Journal of Forest Research, 45(6), 732-743.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9B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1949-2012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29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6B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Canada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A991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37B5A60C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3C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Pinto-Ledezma, J. N., &amp; Mamani, M. L. R. (2014). Temporal patterns of deforestation and fragmentation in lowland Bolivia: implications for climate change. Climatic </w:t>
            </w:r>
            <w:r>
              <w:rPr>
                <w:rFonts w:eastAsia="Times New Roman"/>
                <w:sz w:val="22"/>
                <w:szCs w:val="22"/>
              </w:rPr>
              <w:t>C</w:t>
            </w:r>
            <w:r w:rsidRPr="005D0F96">
              <w:rPr>
                <w:rFonts w:eastAsia="Times New Roman"/>
                <w:sz w:val="22"/>
                <w:szCs w:val="22"/>
              </w:rPr>
              <w:t>hange, 127(1), 43-54.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9B5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1976-2008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2C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C8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219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2896085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330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Réau, B. (2002). Burning for zebu: the complexity of deforestation issues in western Madagascar. Norsk Geografisk Tidsskrift, 56(3), 219-229.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78E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1950-2002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AB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A92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Madagascar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38A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7ED3899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80F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Reddy, C. S., Rao, K. R. M., Pattanaik, C., &amp; Joshi, P. K. (2009). Assessment of large-scale deforestation of Nawarangpur district, Orissa, India: a remote sensing based study. Environmental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M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onitoring and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A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ssessment, 154(1-4), 325.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D3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1973-2004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3C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C92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FB08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16333B9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884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Redo, D., Millington, A. C., &amp; Hindery, D. (2011). Deforestation dynamics and policy changes in Bolivia's post-neoliberal era. Land Use Policy, 28(1), 227-241.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CE4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65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91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6D55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286C7CC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A6C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Reusing, M. (2000). Change detection of natural high forests in Ethiopia using remote sensing and GIS techniques. International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A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rchives of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P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hotogrammetry and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R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 xml:space="preserve">emote </w:t>
            </w:r>
            <w:r>
              <w:rPr>
                <w:rFonts w:eastAsia="Times New Roman"/>
                <w:color w:val="222222"/>
                <w:sz w:val="22"/>
                <w:szCs w:val="22"/>
              </w:rPr>
              <w:t>S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ensing, 33(B7/3; PART 7), 1253-1258.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528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1971-1997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3C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86E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Ethiopia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0B1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7370185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7C5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lastRenderedPageBreak/>
              <w:t>Reynolds, G., Payne, J., Sinun, W., Mosigil, G., &amp; Walsh, R. P. (2011). Changes in forest land use and management in Sabah, Malaysian Borneo, 1990–2010, with a focus on the Danum Valley region. Philosophical Transactions of the Royal Society B: Biological Sciences, 366(1582), 3168-3176.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16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4A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90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Malaysia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3BE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FB1177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C89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Richards, P. (2015). What drives indirect land use change? How Brazil's agriculture sector influences frontier deforestation.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Annals of the Association of American Geographers,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105(5), 1026-1040.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8D0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1970s to present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39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F5A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12A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2F35739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46A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Richards, P. D. (2011). Soy, cotton, and the final Atlantic forest frontier. The Professional Geographer, 63(3), 343-363.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29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1945-2000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41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07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Paraguay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53B6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69D28F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A56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Rigg, J. (1993). Forests and farmers, land and livelihoods, changing resource realities in Thailand. Global Ecology and Biogeography Letters, 277-289.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95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1960's-1980's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FC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11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Thailand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643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899A5F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C52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Rozon, C., Lucotte, M., Davidson, R., Paquet, S., Oestreicher, J. S., Mertens, F., ... &amp; Romana, C. (2015). Spatial and temporal evolution of family-farming land use in the Tapajós region of the Brazilian Amazon. Acta Amazonica, 45(2), 203-214.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84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1986-2009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1D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60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DDD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06EB446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C3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Rudel, T. K. (1995). When do property rights matter? Open access, informal social controls, and deforestation in the Ecuadorian Amazon. Human Organization, 187-194.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0FD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1965-1990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22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87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87B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4F011A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788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Sader, S. A., &amp; Joyce, A. T. (1988). Deforestation rates and trends in Costa Rica, 1940 to 1983. Biotropica, 11-19.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F56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1940-1983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93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23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Costa Rica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D227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574EDCC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A5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Sader, S. A., Sever, T., Smoot, J. C., &amp; Richards, M. (1994). Forest change estimates for the northern Petén region of Guatemala—1986–1990. Human Ecology, 22(3), 317-332.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876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1986-1990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04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3D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Guat</w:t>
            </w:r>
            <w:r>
              <w:rPr>
                <w:rFonts w:eastAsia="Times New Roman"/>
                <w:sz w:val="22"/>
                <w:szCs w:val="22"/>
              </w:rPr>
              <w:t>e</w:t>
            </w:r>
            <w:r w:rsidRPr="005D0F96">
              <w:rPr>
                <w:rFonts w:eastAsia="Times New Roman"/>
                <w:sz w:val="22"/>
                <w:szCs w:val="22"/>
              </w:rPr>
              <w:t>mala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9A0E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B3EC87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80B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 xml:space="preserve">Scales, I. R. (2011). Farming at the forest frontier: Land use and landscape change in Western Madagascar, 1896-2005. Environment and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H</w:t>
            </w:r>
            <w:r w:rsidRPr="005D0F96">
              <w:rPr>
                <w:rFonts w:eastAsia="Times New Roman"/>
                <w:color w:val="000000"/>
                <w:sz w:val="22"/>
                <w:szCs w:val="22"/>
              </w:rPr>
              <w:t>istory, 17(4), 499-524.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E37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1896-2005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D2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4E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Madagascar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A07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228C03A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C8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Schelhas, J., &amp; Sánchez-Azofeifa, G. A. (2006). Post-frontier forest change adjacent to Braulio Carrillo National Park, Costa Rica. Human Ecology, 34(3), 407.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A13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1980's-2000's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04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61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Costa Rica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1D59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242CF5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86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Schwartzman, S., Boas, A. V., Ono, K. Y., Fonseca, M. G., Doblas, J., Zimmerman, B., ... &amp; Torres, M. (2013). The natural and social history of the indigenous lands and protected areas corridor of the Xingu River basin. Phil. Trans. R. Soc. B, 368(1619), 20120164.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D5B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1950s to Present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24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06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F31B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9C89688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7C3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Scullion, J. J., Vogt, K. A., Sienkiewicz, A., Gmur, S. J., &amp; Trujillo, C. (2014). Assessing the influence of land-cover change and conflicting land-use authorizations on ecosystem conversion on the forest frontier of Madre de Dios, Peru. Biological Conservation, 171, 247-258.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780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2006-2011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42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0DB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Peru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53F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DD24764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ACA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Seddon, N., Tobias, J., Yount, J. W., Ramanampamonjy, J. R., Butchart, S., &amp; Randrianizahana, H. (2000). Conservation issues and priorities in the Mikea Forest of south-west Madagascar. Oryx, 34(4), 287-304.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B08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1962-2000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D7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AB3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Madagascar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485E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6433C839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196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Shearman, P. L., Ash, J., Mackey, B., Bryan, J. E., &amp; Lokes, B. (2009). Forest conversion and degradation in Papua New Guinea 1972–2002. Biotropica, 41(3), 379-390.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26B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1972-2002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E1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8A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Papa New Guinea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F87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09112B1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35E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Shriar, A. J. (2002). Food security and land use deforestation in northern Guatemala. Food Policy, 27(4), 395-414.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BCC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1960's-1970's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6D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CC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Guatemala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C6F9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0923FA8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FF8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Shriar, A. J. (2011). Economic integration, rural hardship, and conservation on Guatemala's agricultural frontier. Journal of Sustainable Forestry, 30(1-2), 133-157.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E0E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1998-2005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82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42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Guatemala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61B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36D3ACE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73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Sierra, R., &amp; Stallings, J. (1998). The dynamics and social organization of tropical deforestation in Northwest Ecuador, 1983-1995. Human Ecology, 26(1), 135-161.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F0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1983-1995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4F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E7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CF6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FD1533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8C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Songer, M., Aung, M., Senior, B., DeFries, R., &amp; Leimgruber, P. (2009). Spatial and temporal deforestation dynamics in protected and unprotected dry forests: a case study from Myanmar (Burma). Biodiversity and Conservation, 18(4), 1001-1018.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B6A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1972-2005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C8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1F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Myanmar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155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207F4945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00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Southgate, D., Sierra, R., &amp; Brown, L. (1991). The causes of tropical deforestation in Ecuador: A statistical analysis. World Development, 19(9), 1145-1151.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F24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C7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E3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Ecuador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E53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B68889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142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Steininger, M. K., Tucker, C. J., Ersts, P., Killeen, T. J., Villegas, Z., &amp; Hecht, S. B. (2001). Clearance and fragmentation of tropical deciduous forest in the Tierras Bajas, Santa Cruz, Bolivia. Conservation Biology, 15(4), 856-866.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EF8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1975-1998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2C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C8F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F003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396FA449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25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Steininger, M. K., Tucker, C. J., Townshend, J. R., Killeen, T. J., Desch, A., Bell, V., &amp; Ersts, P. (2001). Tropical deforestation in the Bolivian Amazon. Environmental </w:t>
            </w:r>
            <w:r>
              <w:rPr>
                <w:rFonts w:eastAsia="Times New Roman"/>
                <w:sz w:val="22"/>
                <w:szCs w:val="22"/>
              </w:rPr>
              <w:t>C</w:t>
            </w:r>
            <w:r w:rsidRPr="005D0F96">
              <w:rPr>
                <w:rFonts w:eastAsia="Times New Roman"/>
                <w:sz w:val="22"/>
                <w:szCs w:val="22"/>
              </w:rPr>
              <w:t>onservation, 28(2), 127-134.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03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1985-1995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3D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617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Bolivia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909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633342C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8C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Tang, L., Shao, G., Piao, Z., Dai, L., Jenkins, M. A., Wang, S., ... &amp; Zhao, J. (2010). Forest degradation deepens around and within protected areas in East Asia. Biological Conservation, 143(5), 1295-1298.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4F1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1985-2007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DE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F9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Korea, China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4C1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1E2C4588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4B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Tian, H., Xu, H., &amp; Hall, C. A. S. (1995). Pattern and change of a boreal forest landscape in northeastern China. In Boreal Forests and Global Change (pp. 465-476). Springer, Dordrecht.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34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1955-1980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822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DD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662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4595FBA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7F1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Timoney, K. P. (2003). The changing disturbance regime of the boreal forest of the Canadian Prairie Provinces.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The Forestry Chronicle,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79(3), 502-516.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19B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1950s to Present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4F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9E2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FEA2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4B6FC07A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08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Trejo, I., Dirzo, R. (2000). Deforestation of seasonally dry tropical forest: A national and local analysis in Mexico. Biological Conservation, 94, 133-142.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D16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1973-2000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CD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29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Mexico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3250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17579BE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0BD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Tsuyuki, S., Goh, M. H., Teo, S., Kamlun, K. U., &amp; Phua, M. H. (2011). Monitoring deforestation in Sarawak, Malaysia using multitemporal Landsat data. Kanto Forest Research, 62, 87-90.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730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1990-2009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82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A8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Malaysia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752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164178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B51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Turner Ii, B. L., Villar, S. C., Foster, D., Geoghegan, J., Keys, E., Klepeis, P., ... &amp; Plotkin, A. B. (2001). Deforestation in the southern Yucatán peninsular region: an integrative approach. Forest Ecology and Management, 154(3), 353-370.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C3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1960's-1990's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58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9C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Mexico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6BD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1A277F13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CE3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Turubanova, S., Potapov, P. V., Tyukavina, A., &amp; Hansen, M. C. (2018). Ongoing primary forest loss in Brazil, Democratic Republic of the Congo, and Indonesia. Environmental Research Letters, 13(7), 074028.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062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2001-2014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F8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America, Asia, 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56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Brazil, Democratic Republic of Congo, 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679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CA692CE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69A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Van der Ploeg, J., Van Weerd, M., Masipiqueña, A. B., &amp; Persoon, G. A. (2011). Illegal logging in the Northern Sierra Madre Natural Park, the Philippines. Conservation and Society, 9(3), 202-215.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5D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2005-2010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72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F5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Philippines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504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4EC47B9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89A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VanWey, L. K., Spera, S., de Sa, R., Mahr, D., &amp; Mustard, J. F. (2013). Socioeconomic development and agricultural intensification in Mato Grosso. Philosophical Transactions of the Royal Society B: Biological Sciences, 368(1619), 20120168.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58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2000-2010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DC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A6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C148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A0C62A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589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Verbist, B., Putra, A. E. D., &amp; Budidarsono, S. (2005). Factors driving land use change: Effects on watershed functions in a coffee agroforestry system in Lampung, Sumatra. Agricultural Systems, 85(3), 254-270.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371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1970's-2001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D5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63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EB4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45E0B90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571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Veríssimo, A., Barreto, P., Mattos, M., Tarifa, R., &amp; Uhl, C. (1992). Logging impacts and prospects for sustainable forest management in an old Amazonian frontier: the case of Paragominas. Forest </w:t>
            </w:r>
            <w:r>
              <w:rPr>
                <w:rFonts w:eastAsia="Times New Roman"/>
                <w:sz w:val="22"/>
                <w:szCs w:val="22"/>
              </w:rPr>
              <w:t>E</w:t>
            </w:r>
            <w:r w:rsidRPr="005D0F96">
              <w:rPr>
                <w:rFonts w:eastAsia="Times New Roman"/>
                <w:sz w:val="22"/>
                <w:szCs w:val="22"/>
              </w:rPr>
              <w:t xml:space="preserve">cology and </w:t>
            </w:r>
            <w:r>
              <w:rPr>
                <w:rFonts w:eastAsia="Times New Roman"/>
                <w:sz w:val="22"/>
                <w:szCs w:val="22"/>
              </w:rPr>
              <w:t>M</w:t>
            </w:r>
            <w:r w:rsidRPr="005D0F96">
              <w:rPr>
                <w:rFonts w:eastAsia="Times New Roman"/>
                <w:sz w:val="22"/>
                <w:szCs w:val="22"/>
              </w:rPr>
              <w:t>anagement, 55(1-4), 169-199.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131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1960's- 1990's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CF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B6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7B4D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D20D73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CC4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Vieira, I. C. G., Toledo, P. D., Silva, J. D., &amp; Higuchi, H. (2008). Deforestation and threats to the biodiversity of Amazonia. Brazilian Journal of Biology, 68(4), 949-956.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CB4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1950-2006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DE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68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8D8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1632E8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5A0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Viña, A., &amp; Cavelier, J. (1999). Deforestation Rates (1938–1988) of Tropical Lowland Forests on the Andean Foothills of Colombia 1. Biotropica, 31(1), 31-36.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5A8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1938-1988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FD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9B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Colombia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0B8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0C0D0087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2A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Viña, A., Echavarria, F. R., &amp; Rundquist, D. C. (2004). Satellite change detection analysis of deforestation rates and patterns along the Colombia–Ecuador border. AMBIO: A Journal of the Human Environment, 33(3), 118-126.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00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1973-1996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25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BB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Ecuador, Colombia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A549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4545B1E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753" w14:textId="77777777" w:rsidR="002422E2" w:rsidRPr="005939F0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939F0">
              <w:rPr>
                <w:rFonts w:eastAsia="Times New Roman"/>
                <w:color w:val="222222"/>
                <w:sz w:val="22"/>
                <w:szCs w:val="22"/>
              </w:rPr>
              <w:lastRenderedPageBreak/>
              <w:t>Volante, J. N., Mosciaro, M. J., Gavier-Pizarro, G. I., &amp; Paruelo, J. M. (2016). Agricultural expansion in the Semiarid Chaco: Poorly selective contagious advance. Land Use Policy, 55, 154-165.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4267" w14:textId="77777777" w:rsidR="002422E2" w:rsidRPr="005939F0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939F0">
              <w:rPr>
                <w:rFonts w:eastAsia="Times New Roman"/>
                <w:color w:val="000000"/>
                <w:sz w:val="22"/>
                <w:szCs w:val="22"/>
              </w:rPr>
              <w:t>1985-2015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ECD" w14:textId="77777777" w:rsidR="002422E2" w:rsidRPr="005939F0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39F0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B8BC" w14:textId="77777777" w:rsidR="002422E2" w:rsidRPr="005939F0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939F0">
              <w:rPr>
                <w:rFonts w:eastAsia="Times New Roman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6C8DB" w14:textId="77777777" w:rsidR="002422E2" w:rsidRPr="005939F0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39F0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5D295D1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46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Whitney, G. G. (1990). The history and status of the hemlock-hardwood forests of the Allegheny Plateau. The Journal of Ecology, 443-458.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0B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1880-1930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17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5F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United States of America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FDC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07F694D1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1DB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Whitney, G.G., Somerlot, W.J. (1985). A case study of woodland continuity and change in the American Midwest. Biological Conservation, 31, 265-287.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CC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1805-1985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27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North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14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United States of America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8AC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Temperate</w:t>
            </w:r>
          </w:p>
        </w:tc>
      </w:tr>
      <w:tr w:rsidR="002422E2" w:rsidRPr="005D0F96" w14:paraId="2FB2CFAF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9F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Wolfire, D., Brunner, J., Sizer, N. 1998. Forests and the Democratic Republic of Congo Opportunity in a time of Crisis. World Resource Institute.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898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1960's-1990's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39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F6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Democratic Republic of Congo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195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059">
              <w:rPr>
                <w:rFonts w:eastAsia="Times New Roman"/>
                <w:sz w:val="22"/>
                <w:szCs w:val="22"/>
              </w:rPr>
              <w:t>Tropical Wet - Dry</w:t>
            </w:r>
          </w:p>
        </w:tc>
      </w:tr>
      <w:tr w:rsidR="002422E2" w:rsidRPr="005D0F96" w14:paraId="2097E7A2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570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Yamada, I. (2006). Peat swamp forests in Borneo and Sumatra-Original state, development and disasters during the past 50 years with a proposal for future eco-resource management. Tropics, 15(4), 329-336.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3DD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1970-2006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79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8E7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EB5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AF6BA61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DD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Yaroshenko, A. Y., Potapov, P. V., &amp; Turubanova, S. A. (2001). The last intact forest landscapes of Northern European Russia. Greenpeace Russia and Global Forest Watch, Moscow. The last large intact forests in North-West Russia, 93.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EE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1997-2000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E22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Europe-Russia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86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Russia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D7D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Boreal</w:t>
            </w:r>
          </w:p>
        </w:tc>
      </w:tr>
      <w:tr w:rsidR="002422E2" w:rsidRPr="005D0F96" w14:paraId="55455FB6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754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Zak, M. R., Cabido, M., &amp; Hodgson, J. G. (2004). Do subtropical seasonal forests in the Gran Ch</w:t>
            </w:r>
            <w:r>
              <w:rPr>
                <w:rFonts w:eastAsia="Times New Roman"/>
                <w:color w:val="222222"/>
                <w:sz w:val="22"/>
                <w:szCs w:val="22"/>
              </w:rPr>
              <w:t xml:space="preserve">aco, Argentina, have a </w:t>
            </w:r>
            <w:proofErr w:type="gramStart"/>
            <w:r>
              <w:rPr>
                <w:rFonts w:eastAsia="Times New Roman"/>
                <w:color w:val="222222"/>
                <w:sz w:val="22"/>
                <w:szCs w:val="22"/>
              </w:rPr>
              <w:t>future?.</w:t>
            </w:r>
            <w:proofErr w:type="gramEnd"/>
            <w:r>
              <w:rPr>
                <w:rFonts w:eastAsia="Times New Roman"/>
                <w:color w:val="222222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color w:val="222222"/>
                <w:sz w:val="22"/>
                <w:szCs w:val="22"/>
              </w:rPr>
              <w:t>Biological Conservation, 120(4), 589-598.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0E0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1969-1999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64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B12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AD1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Subtropical</w:t>
            </w:r>
            <w:r>
              <w:rPr>
                <w:rFonts w:eastAsia="Times New Roman"/>
                <w:sz w:val="22"/>
                <w:szCs w:val="22"/>
              </w:rPr>
              <w:t xml:space="preserve"> Dry</w:t>
            </w:r>
          </w:p>
        </w:tc>
      </w:tr>
      <w:tr w:rsidR="002422E2" w:rsidRPr="005D0F96" w14:paraId="455AECA6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BD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lastRenderedPageBreak/>
              <w:t>Zak, M. R., Cabido, M., Cáceres, D., &amp; Díaz, S. (2008). What drives accelerated land cover change in central Argentina? Synergistic consequences of climatic, socioeconomic, and technological factors. Environmental Management, 42(2), 181-189.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B7B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1969-1999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3F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5C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Argentina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1A1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  <w:tr w:rsidR="002422E2" w:rsidRPr="005D0F96" w14:paraId="32D9DDC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85B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Zambrano, Angelica M.A, 2004. Land Use and Land Cover in Inapari, Peru, and Assis Brazil, Brazil, Southwest Amazonia. University of Florida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D0F96">
              <w:rPr>
                <w:rFonts w:eastAsia="Times New Roman"/>
                <w:sz w:val="22"/>
                <w:szCs w:val="22"/>
              </w:rPr>
              <w:t>(Master of Arts Thesis): 1-134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203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A2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C7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Brazil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A2A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7B5767B0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1FC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Zeledon, E. B., &amp; Kelly, N. M. (2009). Understanding large-scale deforestation in southern Jinotega, Nicaragua from 1978 to 1999 through the examination of changes in land use and land cover. Journal of Environmental Management, 90(9), 2866-2872.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C973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1978-1999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FA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Latin America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1FA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Nicaragua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304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1F39700C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EDA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Zeng, Z., Gower, D. B., &amp; Wood, E. F. (2018). Accelerating forest loss in Southeast Asian Massif in the 21st century: A case study in Nan Province, Thailand. Global Change Biology, 24(10), 4682-4695.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B0A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2001–2016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9F2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BF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Thailand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FAC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2EA52CBB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855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 xml:space="preserve">Zhai, D. L., Cannon, C. H., Dai, Z. C., Zhang, C. P., &amp; Xu, J. C. (2015). Deforestation and fragmentation of natural forests in the upper Changhua watershed, Hainan, China: implications for biodiversity conservation. Environmental </w:t>
            </w:r>
            <w:r>
              <w:rPr>
                <w:rFonts w:eastAsia="Times New Roman"/>
                <w:sz w:val="22"/>
                <w:szCs w:val="22"/>
              </w:rPr>
              <w:t>M</w:t>
            </w:r>
            <w:r w:rsidRPr="005D0F96">
              <w:rPr>
                <w:rFonts w:eastAsia="Times New Roman"/>
                <w:sz w:val="22"/>
                <w:szCs w:val="22"/>
              </w:rPr>
              <w:t xml:space="preserve">onitoring and </w:t>
            </w:r>
            <w:r>
              <w:rPr>
                <w:rFonts w:eastAsia="Times New Roman"/>
                <w:sz w:val="22"/>
                <w:szCs w:val="22"/>
              </w:rPr>
              <w:t>A</w:t>
            </w:r>
            <w:r w:rsidRPr="005D0F96">
              <w:rPr>
                <w:rFonts w:eastAsia="Times New Roman"/>
                <w:sz w:val="22"/>
                <w:szCs w:val="22"/>
              </w:rPr>
              <w:t>ssessment, 187(1), 4137.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C21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1988-2005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C3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CF4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FF9F7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6D40148A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E06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Zhang, M., Fellowes, J. R., Jiang, X., Wang, W., Chan, B. P., Ren, G., &amp; Zhu, J. (2010). Degradation of tropical forest in Hainan, China, 1991–2008: Conservation implications for Hainan Gibbon (</w:t>
            </w:r>
            <w:r w:rsidRPr="00314523">
              <w:rPr>
                <w:rFonts w:eastAsia="Times New Roman"/>
                <w:i/>
                <w:sz w:val="22"/>
                <w:szCs w:val="22"/>
              </w:rPr>
              <w:t>Nomascus hainanus</w:t>
            </w:r>
            <w:r w:rsidRPr="005D0F96">
              <w:rPr>
                <w:rFonts w:eastAsia="Times New Roman"/>
                <w:sz w:val="22"/>
                <w:szCs w:val="22"/>
              </w:rPr>
              <w:t>). Biological Conservation, 143(6), 1397-1404.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8B8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1991-2008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20E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Asia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C9F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China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8249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Wet</w:t>
            </w:r>
          </w:p>
        </w:tc>
      </w:tr>
      <w:tr w:rsidR="002422E2" w:rsidRPr="005D0F96" w14:paraId="31BAD91D" w14:textId="77777777" w:rsidTr="0049799C">
        <w:trPr>
          <w:trHeight w:val="180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329" w14:textId="77777777" w:rsidR="002422E2" w:rsidRPr="005D0F96" w:rsidRDefault="002422E2" w:rsidP="0049799C">
            <w:pPr>
              <w:jc w:val="center"/>
              <w:rPr>
                <w:rFonts w:eastAsia="Times New Roman"/>
                <w:color w:val="222222"/>
                <w:sz w:val="22"/>
                <w:szCs w:val="22"/>
              </w:rPr>
            </w:pPr>
            <w:r w:rsidRPr="005D0F96">
              <w:rPr>
                <w:rFonts w:eastAsia="Times New Roman"/>
                <w:color w:val="222222"/>
                <w:sz w:val="22"/>
                <w:szCs w:val="22"/>
              </w:rPr>
              <w:t>Zinner, D., Wygoda, C., Razafimanantsoa, L., Rasoloarison, R., Andrianandrasana, H. T., Ganzhorn, J. U., &amp; Torkler, F. (2014). Analysis of deforestation patterns in the central Menabe, Madagascar, between 1973 and 2010. Regional Environmental Change, 14(1), 157-166.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DA3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1973-2010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CF0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Africa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D71" w14:textId="77777777" w:rsidR="002422E2" w:rsidRPr="005D0F96" w:rsidRDefault="002422E2" w:rsidP="004979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0F96">
              <w:rPr>
                <w:rFonts w:eastAsia="Times New Roman"/>
                <w:color w:val="000000"/>
                <w:sz w:val="22"/>
                <w:szCs w:val="22"/>
              </w:rPr>
              <w:t>Madagascar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621D" w14:textId="77777777" w:rsidR="002422E2" w:rsidRPr="005D0F96" w:rsidRDefault="002422E2" w:rsidP="0049799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0F96">
              <w:rPr>
                <w:rFonts w:eastAsia="Times New Roman"/>
                <w:sz w:val="22"/>
                <w:szCs w:val="22"/>
              </w:rPr>
              <w:t>Tropical Dry</w:t>
            </w:r>
          </w:p>
        </w:tc>
      </w:tr>
    </w:tbl>
    <w:p w14:paraId="6F386E02" w14:textId="600A2804" w:rsidR="00A11552" w:rsidRDefault="00A11552"/>
    <w:p w14:paraId="316860D5" w14:textId="4F8F767C" w:rsidR="00672053" w:rsidRPr="00F33E1B" w:rsidRDefault="00661024">
      <w:pPr>
        <w:rPr>
          <w:b/>
        </w:rPr>
      </w:pPr>
      <w:r>
        <w:rPr>
          <w:b/>
        </w:rPr>
        <w:lastRenderedPageBreak/>
        <w:t>Appendix 4</w:t>
      </w:r>
      <w:r w:rsidR="00672053" w:rsidRPr="00F33E1B">
        <w:rPr>
          <w:b/>
        </w:rPr>
        <w:t xml:space="preserve">. </w:t>
      </w:r>
      <w:r w:rsidR="00F33E1B">
        <w:rPr>
          <w:b/>
        </w:rPr>
        <w:t>Direct Drivers of IF Loss</w:t>
      </w:r>
    </w:p>
    <w:p w14:paraId="0C9589AE" w14:textId="7A277247" w:rsidR="001847B0" w:rsidRDefault="001847B0" w:rsidP="002422E2">
      <w:pPr>
        <w:tabs>
          <w:tab w:val="left" w:pos="2790"/>
        </w:tabs>
        <w:ind w:hanging="600"/>
        <w:jc w:val="center"/>
        <w:rPr>
          <w:highlight w:val="yellow"/>
        </w:rPr>
      </w:pPr>
    </w:p>
    <w:p w14:paraId="565800E2" w14:textId="7C173B1D" w:rsidR="002B7A9F" w:rsidRDefault="002B7A9F" w:rsidP="002422E2">
      <w:pPr>
        <w:tabs>
          <w:tab w:val="left" w:pos="2790"/>
        </w:tabs>
        <w:ind w:hanging="600"/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2243CEC8" wp14:editId="5F82CFF6">
            <wp:extent cx="5943600" cy="30695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1. Revis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61B4F" w14:textId="77777777" w:rsidR="002B7A9F" w:rsidRPr="002422E2" w:rsidRDefault="002B7A9F" w:rsidP="002422E2">
      <w:pPr>
        <w:tabs>
          <w:tab w:val="left" w:pos="2790"/>
        </w:tabs>
        <w:ind w:hanging="600"/>
        <w:jc w:val="center"/>
        <w:rPr>
          <w:highlight w:val="yellow"/>
        </w:rPr>
      </w:pPr>
    </w:p>
    <w:p w14:paraId="5FCF80E5" w14:textId="432E39F3" w:rsidR="001847B0" w:rsidRPr="001847B0" w:rsidRDefault="00661024" w:rsidP="001847B0">
      <w:pPr>
        <w:tabs>
          <w:tab w:val="left" w:pos="2790"/>
        </w:tabs>
        <w:jc w:val="center"/>
      </w:pPr>
      <w:r>
        <w:t>Appendix 4</w:t>
      </w:r>
      <w:r w:rsidR="001847B0" w:rsidRPr="001847B0">
        <w:t xml:space="preserve">. The figure </w:t>
      </w:r>
      <w:r w:rsidR="002422E2">
        <w:t xml:space="preserve">above </w:t>
      </w:r>
      <w:r w:rsidR="001847B0" w:rsidRPr="001847B0">
        <w:t>shows the reported frequency of direct drivers of IF loss globally and regionally</w:t>
      </w:r>
      <w:r w:rsidR="002422E2">
        <w:t xml:space="preserve"> by percent of case studies</w:t>
      </w:r>
      <w:r w:rsidR="001847B0" w:rsidRPr="001847B0">
        <w:t>.</w:t>
      </w:r>
      <w:r w:rsidR="002422E2">
        <w:t xml:space="preserve"> </w:t>
      </w:r>
    </w:p>
    <w:p w14:paraId="38A52088" w14:textId="51AC88D5" w:rsidR="001847B0" w:rsidRDefault="001847B0" w:rsidP="001847B0">
      <w:pPr>
        <w:tabs>
          <w:tab w:val="left" w:pos="2790"/>
        </w:tabs>
      </w:pPr>
    </w:p>
    <w:p w14:paraId="309CADAE" w14:textId="05BFBB7D" w:rsidR="00672053" w:rsidRDefault="00672053" w:rsidP="00672053">
      <w:pPr>
        <w:tabs>
          <w:tab w:val="left" w:pos="2790"/>
        </w:tabs>
        <w:jc w:val="center"/>
      </w:pPr>
    </w:p>
    <w:p w14:paraId="3FF0D190" w14:textId="77777777" w:rsidR="002422E2" w:rsidRDefault="002422E2" w:rsidP="00672053">
      <w:pPr>
        <w:tabs>
          <w:tab w:val="left" w:pos="2790"/>
        </w:tabs>
      </w:pPr>
    </w:p>
    <w:p w14:paraId="7F0D8710" w14:textId="77777777" w:rsidR="002422E2" w:rsidRDefault="002422E2" w:rsidP="00672053">
      <w:pPr>
        <w:tabs>
          <w:tab w:val="left" w:pos="2790"/>
        </w:tabs>
      </w:pPr>
    </w:p>
    <w:p w14:paraId="2EF40522" w14:textId="77777777" w:rsidR="002422E2" w:rsidRDefault="002422E2" w:rsidP="00672053">
      <w:pPr>
        <w:tabs>
          <w:tab w:val="left" w:pos="2790"/>
        </w:tabs>
      </w:pPr>
    </w:p>
    <w:p w14:paraId="5A4CA64A" w14:textId="77777777" w:rsidR="002422E2" w:rsidRDefault="002422E2" w:rsidP="00672053">
      <w:pPr>
        <w:tabs>
          <w:tab w:val="left" w:pos="2790"/>
        </w:tabs>
      </w:pPr>
    </w:p>
    <w:p w14:paraId="5BF13A6E" w14:textId="77777777" w:rsidR="002422E2" w:rsidRDefault="002422E2" w:rsidP="00672053">
      <w:pPr>
        <w:tabs>
          <w:tab w:val="left" w:pos="2790"/>
        </w:tabs>
      </w:pPr>
    </w:p>
    <w:p w14:paraId="620DE294" w14:textId="77777777" w:rsidR="002422E2" w:rsidRDefault="002422E2" w:rsidP="00672053">
      <w:pPr>
        <w:tabs>
          <w:tab w:val="left" w:pos="2790"/>
        </w:tabs>
      </w:pPr>
    </w:p>
    <w:p w14:paraId="0493E9E4" w14:textId="77777777" w:rsidR="002422E2" w:rsidRDefault="002422E2" w:rsidP="00672053">
      <w:pPr>
        <w:tabs>
          <w:tab w:val="left" w:pos="2790"/>
        </w:tabs>
      </w:pPr>
    </w:p>
    <w:p w14:paraId="10BBCA36" w14:textId="77777777" w:rsidR="002422E2" w:rsidRDefault="002422E2" w:rsidP="00672053">
      <w:pPr>
        <w:tabs>
          <w:tab w:val="left" w:pos="2790"/>
        </w:tabs>
      </w:pPr>
    </w:p>
    <w:p w14:paraId="06E91129" w14:textId="77777777" w:rsidR="002422E2" w:rsidRDefault="002422E2" w:rsidP="00672053">
      <w:pPr>
        <w:tabs>
          <w:tab w:val="left" w:pos="2790"/>
        </w:tabs>
      </w:pPr>
    </w:p>
    <w:p w14:paraId="69A609A8" w14:textId="77777777" w:rsidR="002422E2" w:rsidRDefault="002422E2" w:rsidP="00672053">
      <w:pPr>
        <w:tabs>
          <w:tab w:val="left" w:pos="2790"/>
        </w:tabs>
      </w:pPr>
    </w:p>
    <w:p w14:paraId="5FDB2E08" w14:textId="77777777" w:rsidR="002422E2" w:rsidRDefault="002422E2" w:rsidP="00672053">
      <w:pPr>
        <w:tabs>
          <w:tab w:val="left" w:pos="2790"/>
        </w:tabs>
      </w:pPr>
    </w:p>
    <w:p w14:paraId="6B7D8688" w14:textId="77777777" w:rsidR="002422E2" w:rsidRDefault="002422E2" w:rsidP="00672053">
      <w:pPr>
        <w:tabs>
          <w:tab w:val="left" w:pos="2790"/>
        </w:tabs>
      </w:pPr>
    </w:p>
    <w:p w14:paraId="71BA185F" w14:textId="77777777" w:rsidR="002422E2" w:rsidRDefault="002422E2" w:rsidP="00672053">
      <w:pPr>
        <w:tabs>
          <w:tab w:val="left" w:pos="2790"/>
        </w:tabs>
      </w:pPr>
    </w:p>
    <w:p w14:paraId="12E163A7" w14:textId="77777777" w:rsidR="002422E2" w:rsidRDefault="002422E2" w:rsidP="00672053">
      <w:pPr>
        <w:tabs>
          <w:tab w:val="left" w:pos="2790"/>
        </w:tabs>
      </w:pPr>
    </w:p>
    <w:p w14:paraId="2659D6A9" w14:textId="77777777" w:rsidR="002422E2" w:rsidRDefault="002422E2" w:rsidP="00672053">
      <w:pPr>
        <w:tabs>
          <w:tab w:val="left" w:pos="2790"/>
        </w:tabs>
      </w:pPr>
    </w:p>
    <w:p w14:paraId="38C51587" w14:textId="77777777" w:rsidR="002422E2" w:rsidRDefault="002422E2" w:rsidP="00672053">
      <w:pPr>
        <w:tabs>
          <w:tab w:val="left" w:pos="2790"/>
        </w:tabs>
      </w:pPr>
    </w:p>
    <w:p w14:paraId="1A22168A" w14:textId="77777777" w:rsidR="002422E2" w:rsidRDefault="002422E2" w:rsidP="00672053">
      <w:pPr>
        <w:tabs>
          <w:tab w:val="left" w:pos="2790"/>
        </w:tabs>
      </w:pPr>
    </w:p>
    <w:p w14:paraId="05BC9D8D" w14:textId="77777777" w:rsidR="002422E2" w:rsidRDefault="002422E2" w:rsidP="00672053">
      <w:pPr>
        <w:tabs>
          <w:tab w:val="left" w:pos="2790"/>
        </w:tabs>
      </w:pPr>
    </w:p>
    <w:p w14:paraId="61319EF4" w14:textId="77777777" w:rsidR="002422E2" w:rsidRDefault="002422E2" w:rsidP="00672053">
      <w:pPr>
        <w:tabs>
          <w:tab w:val="left" w:pos="2790"/>
        </w:tabs>
      </w:pPr>
    </w:p>
    <w:p w14:paraId="29AE1F37" w14:textId="77777777" w:rsidR="002422E2" w:rsidRDefault="002422E2" w:rsidP="00672053">
      <w:pPr>
        <w:tabs>
          <w:tab w:val="left" w:pos="2790"/>
        </w:tabs>
      </w:pPr>
    </w:p>
    <w:p w14:paraId="7610730D" w14:textId="77777777" w:rsidR="002422E2" w:rsidRDefault="002422E2" w:rsidP="00672053">
      <w:pPr>
        <w:tabs>
          <w:tab w:val="left" w:pos="2790"/>
        </w:tabs>
      </w:pPr>
    </w:p>
    <w:p w14:paraId="60E8A9BA" w14:textId="77777777" w:rsidR="002422E2" w:rsidRDefault="002422E2" w:rsidP="00672053">
      <w:pPr>
        <w:tabs>
          <w:tab w:val="left" w:pos="2790"/>
        </w:tabs>
      </w:pPr>
    </w:p>
    <w:p w14:paraId="76C345C6" w14:textId="75B753CC" w:rsidR="00F335B7" w:rsidRPr="00F335B7" w:rsidRDefault="00661024" w:rsidP="00F335B7">
      <w:pPr>
        <w:tabs>
          <w:tab w:val="left" w:pos="2790"/>
        </w:tabs>
        <w:rPr>
          <w:b/>
        </w:rPr>
      </w:pPr>
      <w:r>
        <w:rPr>
          <w:b/>
        </w:rPr>
        <w:lastRenderedPageBreak/>
        <w:t>Appendix 5</w:t>
      </w:r>
      <w:r w:rsidR="00672053" w:rsidRPr="00F33E1B">
        <w:rPr>
          <w:b/>
        </w:rPr>
        <w:t>.</w:t>
      </w:r>
      <w:r w:rsidR="00F33E1B">
        <w:rPr>
          <w:b/>
        </w:rPr>
        <w:t xml:space="preserve"> Indirect Drivers of IF Loss</w:t>
      </w:r>
    </w:p>
    <w:p w14:paraId="58D51E6D" w14:textId="621C60B8" w:rsidR="00F335B7" w:rsidRPr="00672053" w:rsidRDefault="00F335B7" w:rsidP="002422E2">
      <w:pPr>
        <w:tabs>
          <w:tab w:val="left" w:pos="2790"/>
        </w:tabs>
        <w:ind w:hanging="360"/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636026C7" wp14:editId="0303C1C5">
            <wp:extent cx="5943600" cy="31965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 2. Revis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31A3" w14:textId="4333A373" w:rsidR="001847B0" w:rsidRPr="001847B0" w:rsidRDefault="00661024" w:rsidP="001847B0">
      <w:pPr>
        <w:tabs>
          <w:tab w:val="left" w:pos="2790"/>
        </w:tabs>
        <w:jc w:val="center"/>
      </w:pPr>
      <w:r>
        <w:t>Appendix 5</w:t>
      </w:r>
      <w:r w:rsidR="001847B0" w:rsidRPr="001847B0">
        <w:t xml:space="preserve">. The figure above shows the reported indirect drivers of IF loss </w:t>
      </w:r>
      <w:r w:rsidR="002422E2">
        <w:t>by percent of c</w:t>
      </w:r>
      <w:r w:rsidR="001847B0" w:rsidRPr="001847B0">
        <w:t>as</w:t>
      </w:r>
      <w:r w:rsidR="002422E2">
        <w:t>e</w:t>
      </w:r>
      <w:r w:rsidR="001847B0" w:rsidRPr="001847B0">
        <w:t xml:space="preserve"> </w:t>
      </w:r>
      <w:r w:rsidR="002422E2">
        <w:t xml:space="preserve">studies </w:t>
      </w:r>
      <w:r w:rsidR="001847B0" w:rsidRPr="001847B0">
        <w:t xml:space="preserve">by spatial scale (L = Local, N= National, and I = International). The indirect drivers are: (1) demographic, (2) economic, (3) sociopolitical, (4) cultural and religious, (5) scientific and technological. </w:t>
      </w:r>
    </w:p>
    <w:p w14:paraId="2C9AE5BA" w14:textId="26FBCD50" w:rsidR="00672053" w:rsidRDefault="00672053"/>
    <w:p w14:paraId="25002C16" w14:textId="2DBDD7BD" w:rsidR="00F33E1B" w:rsidRDefault="00F33E1B"/>
    <w:p w14:paraId="670A2E65" w14:textId="77777777" w:rsidR="00F33E1B" w:rsidRDefault="00F33E1B"/>
    <w:p w14:paraId="2EB27CCF" w14:textId="77777777" w:rsidR="00630010" w:rsidRDefault="00630010">
      <w:pPr>
        <w:rPr>
          <w:b/>
        </w:rPr>
      </w:pPr>
    </w:p>
    <w:p w14:paraId="35B6B2B4" w14:textId="29BCEC75" w:rsidR="00BA6BDF" w:rsidRPr="000E429C" w:rsidRDefault="00BA6BDF" w:rsidP="00BA6BDF">
      <w:r>
        <w:rPr>
          <w:b/>
        </w:rPr>
        <w:t>Appendix 6</w:t>
      </w:r>
      <w:r w:rsidR="0049799C">
        <w:rPr>
          <w:b/>
        </w:rPr>
        <w:t xml:space="preserve"> IF Conservation Interventions Proposed by Sector</w:t>
      </w:r>
      <w:r>
        <w:rPr>
          <w:b/>
        </w:rPr>
        <w:t xml:space="preserve">. </w:t>
      </w:r>
      <w:r w:rsidR="0020727E">
        <w:t>The</w:t>
      </w:r>
      <w:r>
        <w:t xml:space="preserve"> table </w:t>
      </w:r>
      <w:r w:rsidR="0020727E">
        <w:t xml:space="preserve">below </w:t>
      </w:r>
      <w:bookmarkStart w:id="0" w:name="_GoBack"/>
      <w:bookmarkEnd w:id="0"/>
      <w:r>
        <w:t xml:space="preserve">provides and overview </w:t>
      </w:r>
      <w:r w:rsidRPr="00CB3C34">
        <w:t xml:space="preserve">of </w:t>
      </w:r>
      <w:r>
        <w:t xml:space="preserve">prospective </w:t>
      </w:r>
      <w:r w:rsidRPr="00CB3C34">
        <w:t>IF conserv</w:t>
      </w:r>
      <w:r>
        <w:t xml:space="preserve">ation interventions based on the relative frequency of their recommendation in the case studies </w:t>
      </w:r>
      <w:r w:rsidRPr="00CB3C34">
        <w:t xml:space="preserve">and their ability to address </w:t>
      </w:r>
      <w:r>
        <w:t xml:space="preserve">the </w:t>
      </w:r>
      <w:r w:rsidRPr="00CB3C34">
        <w:t>prominent IF deforestation drivers</w:t>
      </w:r>
      <w:r>
        <w:t xml:space="preserve"> described</w:t>
      </w:r>
      <w:r w:rsidRPr="00CB3C34">
        <w:t>.</w:t>
      </w:r>
    </w:p>
    <w:p w14:paraId="4BF905AA" w14:textId="77777777" w:rsidR="00BA6BDF" w:rsidRDefault="00BA6BDF">
      <w:pPr>
        <w:rPr>
          <w:b/>
        </w:rPr>
      </w:pPr>
    </w:p>
    <w:tbl>
      <w:tblPr>
        <w:tblW w:w="11480" w:type="dxa"/>
        <w:tblInd w:w="-865" w:type="dxa"/>
        <w:tblLook w:val="04A0" w:firstRow="1" w:lastRow="0" w:firstColumn="1" w:lastColumn="0" w:noHBand="0" w:noVBand="1"/>
      </w:tblPr>
      <w:tblGrid>
        <w:gridCol w:w="5040"/>
        <w:gridCol w:w="1490"/>
        <w:gridCol w:w="4950"/>
      </w:tblGrid>
      <w:tr w:rsidR="00BA6BDF" w:rsidRPr="00CB3C34" w14:paraId="38300BA3" w14:textId="77777777" w:rsidTr="0049799C">
        <w:trPr>
          <w:trHeight w:val="7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933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B3C3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Interventions Proposed by Sector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709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B3C3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% of Total Proposed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21F11143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B3C3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Example Policies and Activities Proposed</w:t>
            </w:r>
          </w:p>
        </w:tc>
      </w:tr>
      <w:tr w:rsidR="00BA6BDF" w:rsidRPr="00CB3C34" w14:paraId="78BD95F2" w14:textId="77777777" w:rsidTr="0049799C">
        <w:trPr>
          <w:trHeight w:val="44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2CF4" w14:textId="77777777" w:rsidR="00BA6BDF" w:rsidRPr="00CB3C34" w:rsidRDefault="00BA6BDF" w:rsidP="0049799C">
            <w:pPr>
              <w:rPr>
                <w:rFonts w:eastAsia="Times New Roman"/>
                <w:b/>
                <w:bCs/>
                <w:color w:val="000000"/>
              </w:rPr>
            </w:pPr>
            <w:r w:rsidRPr="00CB3C34">
              <w:rPr>
                <w:rFonts w:eastAsia="Times New Roman"/>
                <w:b/>
                <w:bCs/>
                <w:color w:val="000000"/>
              </w:rPr>
              <w:t>Forest-Conservation Sector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6415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527E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A6BDF" w:rsidRPr="00CB3C34" w14:paraId="52E7F550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D84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Forest Governance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8A4F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6CBDF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Incentives for private landowners to conserve IFs; (2) balance timber exports with forest protection; (3) stop issuing logging permits</w:t>
            </w:r>
          </w:p>
        </w:tc>
      </w:tr>
      <w:tr w:rsidR="00BA6BDF" w:rsidRPr="00CB3C34" w14:paraId="7BA8F416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CF5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Forest Management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4640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D786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Reduced-impact logging practices; (2) lower harvest rate; (3) retain IF stands and landscapes</w:t>
            </w:r>
          </w:p>
        </w:tc>
      </w:tr>
      <w:tr w:rsidR="00BA6BDF" w:rsidRPr="00CB3C34" w14:paraId="1B98FBC0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9FA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Protected Areas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EA92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B935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Expand protected areas (PAs); (2) create new P</w:t>
            </w:r>
            <w:r>
              <w:rPr>
                <w:rFonts w:eastAsia="Calibri"/>
              </w:rPr>
              <w:t>A</w:t>
            </w:r>
            <w:r w:rsidRPr="00CB3C34">
              <w:rPr>
                <w:rFonts w:eastAsia="Calibri"/>
              </w:rPr>
              <w:t>s</w:t>
            </w:r>
            <w:r>
              <w:rPr>
                <w:rFonts w:eastAsia="Calibri"/>
              </w:rPr>
              <w:t>;</w:t>
            </w:r>
            <w:r w:rsidRPr="00CB3C34">
              <w:rPr>
                <w:rFonts w:eastAsia="Calibri"/>
              </w:rPr>
              <w:t xml:space="preserve"> (3) increase PA status; (4) create corridors</w:t>
            </w:r>
          </w:p>
        </w:tc>
      </w:tr>
      <w:tr w:rsidR="00BA6BDF" w:rsidRPr="00CB3C34" w14:paraId="05D63EE5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1E4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lastRenderedPageBreak/>
              <w:t>- Market-Based Conservation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A10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D04F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Establish jurisdictional REDD+ programs; (2) Incentives for ecotourism; (3) implement payments for ecosystem services programs</w:t>
            </w:r>
          </w:p>
        </w:tc>
      </w:tr>
      <w:tr w:rsidR="00BA6BDF" w:rsidRPr="00CB3C34" w14:paraId="4CA40365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2A7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Forest Planning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1A1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69D6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Identify and designate priority areas; (2) ensure forest connectivity through planning; (3) optimize areas designated for use and protection</w:t>
            </w:r>
          </w:p>
        </w:tc>
      </w:tr>
      <w:tr w:rsidR="00BA6BDF" w:rsidRPr="00CB3C34" w14:paraId="7B7DBA65" w14:textId="77777777" w:rsidTr="0049799C">
        <w:trPr>
          <w:trHeight w:val="38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C90" w14:textId="77777777" w:rsidR="00BA6BDF" w:rsidRPr="00CB3C34" w:rsidRDefault="00BA6BDF" w:rsidP="0049799C">
            <w:pPr>
              <w:rPr>
                <w:rFonts w:eastAsia="Times New Roman"/>
                <w:b/>
                <w:bCs/>
                <w:color w:val="000000"/>
              </w:rPr>
            </w:pPr>
            <w:r w:rsidRPr="00CB3C34">
              <w:rPr>
                <w:rFonts w:eastAsia="Times New Roman"/>
                <w:b/>
                <w:bCs/>
                <w:color w:val="000000"/>
              </w:rPr>
              <w:t>Inter-sectoral Actions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61C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DD2D2" w14:textId="77777777" w:rsidR="00BA6BDF" w:rsidRPr="00CB3C34" w:rsidRDefault="00BA6BDF" w:rsidP="0049799C">
            <w:pPr>
              <w:rPr>
                <w:rFonts w:eastAsia="Calibri"/>
              </w:rPr>
            </w:pPr>
          </w:p>
        </w:tc>
      </w:tr>
      <w:tr w:rsidR="00BA6BDF" w:rsidRPr="00CB3C34" w14:paraId="7AB2C17E" w14:textId="77777777" w:rsidTr="0049799C">
        <w:trPr>
          <w:trHeight w:val="3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B6A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Collaboration and Landscape Governance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BC3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261E7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Open dialogue among stakeholders; (2) create institutions to engage stakeholders; (3) restructure relationships between stakeholders</w:t>
            </w:r>
          </w:p>
        </w:tc>
      </w:tr>
      <w:tr w:rsidR="00BA6BDF" w:rsidRPr="00CB3C34" w14:paraId="4302F3F6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22A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Land Tenure and Reform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9A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595DD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strengthen traditional property rights; (2) remove land clearing as a condition to claim land; (3) formalize existing landholding</w:t>
            </w:r>
          </w:p>
        </w:tc>
      </w:tr>
      <w:tr w:rsidR="00BA6BDF" w:rsidRPr="00CB3C34" w14:paraId="71566ACC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F271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Sustainable Land-Use Planning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BD3A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254A7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Devise landscape-scale regulations; (2) create regional land management plans; (3) plan infrastructure projects to reduce fragmentation</w:t>
            </w:r>
          </w:p>
        </w:tc>
      </w:tr>
      <w:tr w:rsidR="00BA6BDF" w:rsidRPr="00CB3C34" w14:paraId="74E0299B" w14:textId="77777777" w:rsidTr="0049799C">
        <w:trPr>
          <w:trHeight w:val="4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60A" w14:textId="77777777" w:rsidR="00BA6BDF" w:rsidRPr="00CB3C34" w:rsidRDefault="00BA6BDF" w:rsidP="0049799C">
            <w:pPr>
              <w:rPr>
                <w:rFonts w:eastAsia="Times New Roman"/>
                <w:b/>
                <w:bCs/>
                <w:color w:val="000000"/>
              </w:rPr>
            </w:pPr>
            <w:r w:rsidRPr="00CB3C34">
              <w:rPr>
                <w:rFonts w:eastAsia="Times New Roman"/>
                <w:b/>
                <w:bCs/>
                <w:color w:val="000000"/>
              </w:rPr>
              <w:t>Finance Sector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FE9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D2EB" w14:textId="77777777" w:rsidR="00BA6BDF" w:rsidRPr="00CB3C34" w:rsidRDefault="00BA6BDF" w:rsidP="0049799C">
            <w:pPr>
              <w:rPr>
                <w:rFonts w:eastAsia="Calibri"/>
              </w:rPr>
            </w:pPr>
          </w:p>
        </w:tc>
      </w:tr>
      <w:tr w:rsidR="00BA6BDF" w:rsidRPr="00CB3C34" w14:paraId="3E049182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DE7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Redesign Subsidies and Tax Incentives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4A8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BCD6D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Provide landowners tax relief or subsidies to reforest and conserve; (2) impose taxes to limit land speculation; (3) eliminate tax holidays</w:t>
            </w:r>
          </w:p>
        </w:tc>
      </w:tr>
      <w:tr w:rsidR="00BA6BDF" w:rsidRPr="00CB3C34" w14:paraId="7BA57339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9EF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Promote Jobs and Economic Alternatives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EA46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427BE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Improve labor opportunities in urban areas; (2) create non-agricultural jobs; (3) reduce raw log exports and increase local manufacturing</w:t>
            </w:r>
          </w:p>
        </w:tc>
      </w:tr>
      <w:tr w:rsidR="00BA6BDF" w:rsidRPr="00CB3C34" w14:paraId="3FC71CDE" w14:textId="77777777" w:rsidTr="0049799C">
        <w:trPr>
          <w:trHeight w:val="51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254" w14:textId="77777777" w:rsidR="00BA6BDF" w:rsidRPr="00CB3C34" w:rsidRDefault="00BA6BDF" w:rsidP="0049799C">
            <w:pPr>
              <w:rPr>
                <w:rFonts w:eastAsia="Times New Roman"/>
                <w:b/>
                <w:bCs/>
                <w:color w:val="000000"/>
              </w:rPr>
            </w:pPr>
            <w:r w:rsidRPr="00CB3C34">
              <w:rPr>
                <w:rFonts w:eastAsia="Times New Roman"/>
                <w:b/>
                <w:bCs/>
                <w:color w:val="000000"/>
              </w:rPr>
              <w:t>Public Education &amp; Science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44B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B86E" w14:textId="77777777" w:rsidR="00BA6BDF" w:rsidRPr="00CB3C34" w:rsidRDefault="00BA6BDF" w:rsidP="0049799C">
            <w:pPr>
              <w:rPr>
                <w:rFonts w:eastAsia="Calibri"/>
              </w:rPr>
            </w:pPr>
          </w:p>
        </w:tc>
      </w:tr>
      <w:tr w:rsidR="00BA6BDF" w:rsidRPr="00CB3C34" w14:paraId="53800CAB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05F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Developing/Using Scientific Knowledge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08A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7AC8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Understand causes of local forest change; (2) improve agricultural productivity; (3) integrate research into land planning and management</w:t>
            </w:r>
          </w:p>
        </w:tc>
      </w:tr>
      <w:tr w:rsidR="00BA6BDF" w:rsidRPr="00CB3C34" w14:paraId="56388BE9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6EE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General Education and Local Training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E5C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89AE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 xml:space="preserve">(1) Encourage reduced deforestation by locals; (2) educate farmers to increase agricultural productivity; (3) increase agency staff training </w:t>
            </w:r>
          </w:p>
        </w:tc>
      </w:tr>
      <w:tr w:rsidR="00BA6BDF" w:rsidRPr="00CB3C34" w14:paraId="2694AF7F" w14:textId="77777777" w:rsidTr="0049799C">
        <w:trPr>
          <w:trHeight w:val="42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038" w14:textId="77777777" w:rsidR="00BA6BDF" w:rsidRPr="00CB3C34" w:rsidRDefault="00BA6BDF" w:rsidP="0049799C">
            <w:pPr>
              <w:rPr>
                <w:rFonts w:eastAsia="Times New Roman"/>
                <w:b/>
                <w:bCs/>
                <w:color w:val="000000"/>
              </w:rPr>
            </w:pPr>
            <w:r w:rsidRPr="00CB3C34">
              <w:rPr>
                <w:rFonts w:eastAsia="Times New Roman"/>
                <w:b/>
                <w:bCs/>
                <w:color w:val="000000"/>
              </w:rPr>
              <w:t>Judicial Sector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7BC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66A6" w14:textId="77777777" w:rsidR="00BA6BDF" w:rsidRPr="00CB3C34" w:rsidRDefault="00BA6BDF" w:rsidP="0049799C">
            <w:pPr>
              <w:rPr>
                <w:rFonts w:eastAsia="Calibri"/>
              </w:rPr>
            </w:pPr>
          </w:p>
        </w:tc>
      </w:tr>
      <w:tr w:rsidR="00BA6BDF" w:rsidRPr="00CB3C34" w14:paraId="06BDCF82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FAA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Law Enforcement and Monitoring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CE5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DF99D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Strengthen park enforcement; (2) regional satellite-based monitoring; (3) manned checkpoints and increased forest monitoring</w:t>
            </w:r>
          </w:p>
        </w:tc>
      </w:tr>
      <w:tr w:rsidR="00BA6BDF" w:rsidRPr="00CB3C34" w14:paraId="7AF58834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F0A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Address Corruption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10C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2C7BD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 xml:space="preserve">(1) Conduct corruption investigations; (2) increase government transparency; (3) improve corruption controls for granting concessions </w:t>
            </w:r>
          </w:p>
        </w:tc>
      </w:tr>
      <w:tr w:rsidR="00BA6BDF" w:rsidRPr="00CB3C34" w14:paraId="30CA03C8" w14:textId="77777777" w:rsidTr="0049799C">
        <w:trPr>
          <w:trHeight w:val="46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E7C" w14:textId="77777777" w:rsidR="00BA6BDF" w:rsidRPr="00CB3C34" w:rsidRDefault="00BA6BDF" w:rsidP="0049799C">
            <w:pPr>
              <w:rPr>
                <w:rFonts w:eastAsia="Times New Roman"/>
                <w:b/>
                <w:bCs/>
                <w:color w:val="000000"/>
              </w:rPr>
            </w:pPr>
            <w:r w:rsidRPr="00CB3C34">
              <w:rPr>
                <w:rFonts w:eastAsia="Times New Roman"/>
                <w:b/>
                <w:bCs/>
                <w:color w:val="000000"/>
              </w:rPr>
              <w:t>Agricultural Sector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DCF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21F8" w14:textId="77777777" w:rsidR="00BA6BDF" w:rsidRPr="00CB3C34" w:rsidRDefault="00BA6BDF" w:rsidP="0049799C">
            <w:pPr>
              <w:rPr>
                <w:rFonts w:eastAsia="Calibri"/>
              </w:rPr>
            </w:pPr>
          </w:p>
        </w:tc>
      </w:tr>
      <w:tr w:rsidR="00BA6BDF" w:rsidRPr="00CB3C34" w14:paraId="34DF32D8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D95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Change Agricultural Incentives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360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ADFFA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Eliminate plantation subsidies; (2) incentives for responsible agricultural production; (3) incentives for agroforestry and crop certification</w:t>
            </w:r>
          </w:p>
        </w:tc>
      </w:tr>
      <w:tr w:rsidR="00BA6BDF" w:rsidRPr="00CB3C34" w14:paraId="644A0D0A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BB6" w14:textId="77777777" w:rsidR="00BA6BDF" w:rsidRPr="00CB3C34" w:rsidRDefault="00BA6BDF" w:rsidP="0049799C">
            <w:pPr>
              <w:rPr>
                <w:rFonts w:eastAsia="Times New Roman"/>
                <w:color w:val="000000"/>
              </w:rPr>
            </w:pPr>
            <w:r w:rsidRPr="00CB3C34">
              <w:rPr>
                <w:rFonts w:eastAsia="Times New Roman"/>
                <w:color w:val="000000"/>
              </w:rPr>
              <w:t>- Increase Crop/Land-Use Intensity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DC0" w14:textId="77777777" w:rsidR="00BA6BDF" w:rsidRPr="00CB3C34" w:rsidRDefault="00BA6BDF" w:rsidP="00497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0A9AC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Expand double-cropping; (2) promote cattle intensification; (3) increase crop profitability</w:t>
            </w:r>
          </w:p>
        </w:tc>
      </w:tr>
      <w:tr w:rsidR="00BA6BDF" w:rsidRPr="00CB3C34" w14:paraId="0F7DB378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582" w14:textId="77777777" w:rsidR="00BA6BDF" w:rsidRPr="00CB3C34" w:rsidRDefault="00BA6BDF" w:rsidP="0049799C">
            <w:pPr>
              <w:rPr>
                <w:rFonts w:eastAsia="Times New Roman"/>
                <w:b/>
                <w:bCs/>
                <w:color w:val="000000"/>
              </w:rPr>
            </w:pPr>
            <w:r w:rsidRPr="00CB3C34">
              <w:rPr>
                <w:rFonts w:eastAsia="Times New Roman"/>
                <w:b/>
                <w:bCs/>
                <w:color w:val="000000"/>
              </w:rPr>
              <w:lastRenderedPageBreak/>
              <w:t>Transport Sector - Roads Policies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CC8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5731B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Avoid building roads and bridges; (2) undertake robust impact assessments of infrastructure proposals; (3) improve local roads</w:t>
            </w:r>
          </w:p>
        </w:tc>
      </w:tr>
      <w:tr w:rsidR="00BA6BDF" w:rsidRPr="00CB3C34" w14:paraId="29519ACD" w14:textId="77777777" w:rsidTr="0049799C">
        <w:trPr>
          <w:trHeight w:val="3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235" w14:textId="77777777" w:rsidR="00BA6BDF" w:rsidRPr="00CB3C34" w:rsidRDefault="00BA6BDF" w:rsidP="0049799C">
            <w:pPr>
              <w:rPr>
                <w:rFonts w:eastAsia="Times New Roman"/>
                <w:b/>
                <w:bCs/>
                <w:color w:val="000000"/>
              </w:rPr>
            </w:pPr>
            <w:r w:rsidRPr="00CB3C34">
              <w:rPr>
                <w:rFonts w:eastAsia="Times New Roman"/>
                <w:b/>
                <w:bCs/>
                <w:color w:val="000000"/>
              </w:rPr>
              <w:t>Social Welfare Sector - Social Welfare Policies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D44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CD4C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>(1) Create family planning services; (2) offer healthcare to increase human capital; (3) discourage colonization and immigration</w:t>
            </w:r>
          </w:p>
        </w:tc>
      </w:tr>
      <w:tr w:rsidR="00BA6BDF" w:rsidRPr="00CB3C34" w14:paraId="7E7C186C" w14:textId="77777777" w:rsidTr="0049799C">
        <w:trPr>
          <w:trHeight w:val="3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B2C" w14:textId="77777777" w:rsidR="00BA6BDF" w:rsidRPr="00CB3C34" w:rsidRDefault="00BA6BDF" w:rsidP="0049799C">
            <w:pPr>
              <w:rPr>
                <w:rFonts w:eastAsia="Times New Roman"/>
                <w:b/>
                <w:bCs/>
                <w:color w:val="000000"/>
              </w:rPr>
            </w:pPr>
            <w:r w:rsidRPr="00CB3C34">
              <w:rPr>
                <w:rFonts w:eastAsia="Times New Roman"/>
                <w:b/>
                <w:bCs/>
                <w:color w:val="000000"/>
              </w:rPr>
              <w:t>Advocacy and Lobbying - Forest Advocacy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284" w14:textId="77777777" w:rsidR="00BA6BDF" w:rsidRPr="00CB3C34" w:rsidRDefault="00BA6BDF" w:rsidP="004979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90906" w14:textId="77777777" w:rsidR="00BA6BDF" w:rsidRPr="00CB3C34" w:rsidRDefault="00BA6BDF" w:rsidP="0049799C">
            <w:pPr>
              <w:rPr>
                <w:rFonts w:eastAsia="Calibri"/>
              </w:rPr>
            </w:pPr>
            <w:r w:rsidRPr="00CB3C34">
              <w:rPr>
                <w:rFonts w:eastAsia="Calibri"/>
              </w:rPr>
              <w:t xml:space="preserve">(1) Increase global concern for IFs; (2) support local grassroots organizations; (3) promote sustainable resource use and development </w:t>
            </w:r>
          </w:p>
        </w:tc>
      </w:tr>
    </w:tbl>
    <w:p w14:paraId="2B5B2127" w14:textId="77777777" w:rsidR="00BA6BDF" w:rsidRDefault="00BA6BDF">
      <w:pPr>
        <w:rPr>
          <w:b/>
        </w:rPr>
      </w:pPr>
    </w:p>
    <w:p w14:paraId="31B4D038" w14:textId="77777777" w:rsidR="00630010" w:rsidRDefault="00630010">
      <w:pPr>
        <w:rPr>
          <w:b/>
        </w:rPr>
      </w:pPr>
    </w:p>
    <w:p w14:paraId="494543C3" w14:textId="77777777" w:rsidR="00630010" w:rsidRDefault="00630010">
      <w:pPr>
        <w:rPr>
          <w:b/>
        </w:rPr>
      </w:pPr>
    </w:p>
    <w:p w14:paraId="5D3C4922" w14:textId="77777777" w:rsidR="00630010" w:rsidRDefault="00630010">
      <w:pPr>
        <w:rPr>
          <w:b/>
        </w:rPr>
      </w:pPr>
    </w:p>
    <w:p w14:paraId="48FBA1B6" w14:textId="77777777" w:rsidR="00630010" w:rsidRDefault="00630010">
      <w:pPr>
        <w:rPr>
          <w:b/>
        </w:rPr>
      </w:pPr>
    </w:p>
    <w:p w14:paraId="1F997702" w14:textId="77777777" w:rsidR="00630010" w:rsidRDefault="00630010">
      <w:pPr>
        <w:rPr>
          <w:b/>
        </w:rPr>
      </w:pPr>
    </w:p>
    <w:p w14:paraId="41B410BC" w14:textId="77777777" w:rsidR="00630010" w:rsidRDefault="00630010">
      <w:pPr>
        <w:rPr>
          <w:b/>
        </w:rPr>
      </w:pPr>
    </w:p>
    <w:p w14:paraId="07B17B82" w14:textId="77777777" w:rsidR="00630010" w:rsidRDefault="00630010">
      <w:pPr>
        <w:rPr>
          <w:b/>
        </w:rPr>
      </w:pPr>
    </w:p>
    <w:p w14:paraId="15957FE4" w14:textId="77777777" w:rsidR="00630010" w:rsidRDefault="00630010">
      <w:pPr>
        <w:rPr>
          <w:b/>
        </w:rPr>
      </w:pPr>
    </w:p>
    <w:p w14:paraId="038A0FC0" w14:textId="77777777" w:rsidR="00630010" w:rsidRDefault="00630010">
      <w:pPr>
        <w:rPr>
          <w:b/>
        </w:rPr>
      </w:pPr>
    </w:p>
    <w:p w14:paraId="08612A0E" w14:textId="77777777" w:rsidR="00630010" w:rsidRDefault="00630010">
      <w:pPr>
        <w:rPr>
          <w:b/>
        </w:rPr>
      </w:pPr>
    </w:p>
    <w:p w14:paraId="46F1492D" w14:textId="77777777" w:rsidR="00630010" w:rsidRDefault="00630010">
      <w:pPr>
        <w:rPr>
          <w:b/>
        </w:rPr>
      </w:pPr>
    </w:p>
    <w:p w14:paraId="26C90FBB" w14:textId="77777777" w:rsidR="00630010" w:rsidRDefault="00630010">
      <w:pPr>
        <w:rPr>
          <w:b/>
        </w:rPr>
      </w:pPr>
    </w:p>
    <w:p w14:paraId="1F0787DD" w14:textId="77777777" w:rsidR="00630010" w:rsidRDefault="00630010">
      <w:pPr>
        <w:rPr>
          <w:b/>
        </w:rPr>
      </w:pPr>
    </w:p>
    <w:p w14:paraId="6D93E90F" w14:textId="77777777" w:rsidR="00630010" w:rsidRDefault="00630010">
      <w:pPr>
        <w:rPr>
          <w:b/>
        </w:rPr>
      </w:pPr>
    </w:p>
    <w:p w14:paraId="45283850" w14:textId="77777777" w:rsidR="00630010" w:rsidRDefault="00630010">
      <w:pPr>
        <w:rPr>
          <w:b/>
        </w:rPr>
      </w:pPr>
    </w:p>
    <w:p w14:paraId="61E61C4D" w14:textId="34194CDF" w:rsidR="00F33E1B" w:rsidRPr="00F33E1B" w:rsidRDefault="00F33E1B" w:rsidP="00661024"/>
    <w:sectPr w:rsidR="00F33E1B" w:rsidRPr="00F33E1B" w:rsidSect="002B6B93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495A3" w14:textId="77777777" w:rsidR="00902AB8" w:rsidRDefault="00902AB8" w:rsidP="00D02074">
      <w:r>
        <w:separator/>
      </w:r>
    </w:p>
  </w:endnote>
  <w:endnote w:type="continuationSeparator" w:id="0">
    <w:p w14:paraId="192D04B8" w14:textId="77777777" w:rsidR="00902AB8" w:rsidRDefault="00902AB8" w:rsidP="00D0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lackC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76076" w14:textId="77777777" w:rsidR="0049799C" w:rsidRDefault="0049799C" w:rsidP="00A115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C3708" w14:textId="77777777" w:rsidR="0049799C" w:rsidRDefault="0049799C" w:rsidP="00A1155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3F8B4" w14:textId="77777777" w:rsidR="0049799C" w:rsidRDefault="0049799C" w:rsidP="00A115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1853B" w14:textId="77777777" w:rsidR="00902AB8" w:rsidRDefault="00902AB8" w:rsidP="00D02074">
      <w:r>
        <w:separator/>
      </w:r>
    </w:p>
  </w:footnote>
  <w:footnote w:type="continuationSeparator" w:id="0">
    <w:p w14:paraId="29BD472E" w14:textId="77777777" w:rsidR="00902AB8" w:rsidRDefault="00902AB8" w:rsidP="00D0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D5B"/>
    <w:multiLevelType w:val="hybridMultilevel"/>
    <w:tmpl w:val="A2B224F4"/>
    <w:lvl w:ilvl="0" w:tplc="00CAAC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1E6098"/>
    <w:multiLevelType w:val="multilevel"/>
    <w:tmpl w:val="EFEA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A6C54"/>
    <w:multiLevelType w:val="multilevel"/>
    <w:tmpl w:val="3A0C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E5D41"/>
    <w:multiLevelType w:val="hybridMultilevel"/>
    <w:tmpl w:val="A250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60067"/>
    <w:multiLevelType w:val="multilevel"/>
    <w:tmpl w:val="3CFC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743CC"/>
    <w:multiLevelType w:val="hybridMultilevel"/>
    <w:tmpl w:val="468E43EC"/>
    <w:lvl w:ilvl="0" w:tplc="2F5A1B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060BA"/>
    <w:multiLevelType w:val="hybridMultilevel"/>
    <w:tmpl w:val="587E58A2"/>
    <w:lvl w:ilvl="0" w:tplc="BBF0603C">
      <w:start w:val="1"/>
      <w:numFmt w:val="decimal"/>
      <w:lvlText w:val="%1."/>
      <w:lvlJc w:val="left"/>
      <w:pPr>
        <w:ind w:left="720" w:hanging="360"/>
      </w:pPr>
      <w:rPr>
        <w:rFonts w:cs="Frutiger-BlackC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52"/>
    <w:rsid w:val="00015925"/>
    <w:rsid w:val="000E049E"/>
    <w:rsid w:val="00156760"/>
    <w:rsid w:val="001847B0"/>
    <w:rsid w:val="0020727E"/>
    <w:rsid w:val="00227E33"/>
    <w:rsid w:val="0023753D"/>
    <w:rsid w:val="002422E2"/>
    <w:rsid w:val="002672A7"/>
    <w:rsid w:val="00294429"/>
    <w:rsid w:val="002965CD"/>
    <w:rsid w:val="002B6B93"/>
    <w:rsid w:val="002B7A9F"/>
    <w:rsid w:val="003976D4"/>
    <w:rsid w:val="003B1A44"/>
    <w:rsid w:val="003C5221"/>
    <w:rsid w:val="0049799C"/>
    <w:rsid w:val="004E5005"/>
    <w:rsid w:val="005811FB"/>
    <w:rsid w:val="005939F0"/>
    <w:rsid w:val="00630010"/>
    <w:rsid w:val="00631AC9"/>
    <w:rsid w:val="00655FCD"/>
    <w:rsid w:val="00661024"/>
    <w:rsid w:val="00672053"/>
    <w:rsid w:val="006D5089"/>
    <w:rsid w:val="006E3656"/>
    <w:rsid w:val="00750281"/>
    <w:rsid w:val="008F408A"/>
    <w:rsid w:val="00902AB8"/>
    <w:rsid w:val="0099333D"/>
    <w:rsid w:val="009E186F"/>
    <w:rsid w:val="00A11552"/>
    <w:rsid w:val="00AC2BB3"/>
    <w:rsid w:val="00AD20A8"/>
    <w:rsid w:val="00BA6BDF"/>
    <w:rsid w:val="00C64A2B"/>
    <w:rsid w:val="00D02074"/>
    <w:rsid w:val="00D25349"/>
    <w:rsid w:val="00D5314B"/>
    <w:rsid w:val="00EB2FCB"/>
    <w:rsid w:val="00ED233D"/>
    <w:rsid w:val="00EE3E01"/>
    <w:rsid w:val="00F335B7"/>
    <w:rsid w:val="00F33E1B"/>
    <w:rsid w:val="00F35941"/>
    <w:rsid w:val="00F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98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1552"/>
    <w:rPr>
      <w:rFonts w:ascii="Times New Roman" w:hAnsi="Times New Roman" w:cs="Times New Roman"/>
    </w:rPr>
  </w:style>
  <w:style w:type="paragraph" w:styleId="Heading5">
    <w:name w:val="heading 5"/>
    <w:basedOn w:val="Normal"/>
    <w:link w:val="Heading5Char"/>
    <w:uiPriority w:val="9"/>
    <w:qFormat/>
    <w:rsid w:val="00A1155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15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11552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1155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entText">
    <w:name w:val="annotation text"/>
    <w:basedOn w:val="Normal"/>
    <w:link w:val="CommentTextChar"/>
    <w:uiPriority w:val="99"/>
    <w:unhideWhenUsed/>
    <w:rsid w:val="00A11552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5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5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5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5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5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552"/>
    <w:pPr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11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52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11552"/>
  </w:style>
  <w:style w:type="paragraph" w:customStyle="1" w:styleId="p1">
    <w:name w:val="p1"/>
    <w:basedOn w:val="Normal"/>
    <w:rsid w:val="00A11552"/>
    <w:rPr>
      <w:rFonts w:ascii="Helvetica" w:hAnsi="Helvetica"/>
      <w:sz w:val="15"/>
      <w:szCs w:val="15"/>
    </w:rPr>
  </w:style>
  <w:style w:type="paragraph" w:customStyle="1" w:styleId="p2">
    <w:name w:val="p2"/>
    <w:basedOn w:val="Normal"/>
    <w:rsid w:val="00A11552"/>
    <w:rPr>
      <w:rFonts w:ascii="Helvetica" w:hAnsi="Helvetica"/>
      <w:sz w:val="21"/>
      <w:szCs w:val="21"/>
    </w:rPr>
  </w:style>
  <w:style w:type="paragraph" w:customStyle="1" w:styleId="p3">
    <w:name w:val="p3"/>
    <w:basedOn w:val="Normal"/>
    <w:rsid w:val="00A11552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A11552"/>
  </w:style>
  <w:style w:type="character" w:customStyle="1" w:styleId="s1">
    <w:name w:val="s1"/>
    <w:basedOn w:val="DefaultParagraphFont"/>
    <w:rsid w:val="00A11552"/>
    <w:rPr>
      <w:rFonts w:ascii="Helvetica" w:hAnsi="Helvetica" w:hint="default"/>
      <w:sz w:val="10"/>
      <w:szCs w:val="10"/>
    </w:rPr>
  </w:style>
  <w:style w:type="character" w:customStyle="1" w:styleId="s2">
    <w:name w:val="s2"/>
    <w:basedOn w:val="DefaultParagraphFont"/>
    <w:rsid w:val="00A11552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A11552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11552"/>
  </w:style>
  <w:style w:type="paragraph" w:styleId="NormalWeb">
    <w:name w:val="Normal (Web)"/>
    <w:basedOn w:val="Normal"/>
    <w:uiPriority w:val="99"/>
    <w:unhideWhenUsed/>
    <w:rsid w:val="00A11552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A11552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1552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11552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5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155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155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155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11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5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422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7752</Words>
  <Characters>44188</Characters>
  <Application>Microsoft Macintosh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2019-09-28T13:35:00Z</dcterms:created>
  <dcterms:modified xsi:type="dcterms:W3CDTF">2019-09-28T13:35:00Z</dcterms:modified>
</cp:coreProperties>
</file>