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lineRule="auto" w:line="360" w:before="0" w:after="0"/>
        <w:jc w:val="both"/>
        <w:rPr>
          <w:rFonts w:ascii="Times New Roman" w:hAnsi="Times New Roman"/>
          <w:b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Supplementary Material and Method</w:t>
      </w:r>
    </w:p>
    <w:p>
      <w:pPr>
        <w:pStyle w:val="TextBody"/>
        <w:bidi w:val="0"/>
        <w:spacing w:lineRule="auto" w:line="360" w:before="0" w:after="0"/>
        <w:jc w:val="both"/>
        <w:rPr>
          <w:rFonts w:ascii="Times New Roman" w:hAnsi="Times New Roman"/>
          <w:b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r>
    </w:p>
    <w:p>
      <w:pPr>
        <w:pStyle w:val="TextBody"/>
        <w:bidi w:val="0"/>
        <w:spacing w:lineRule="auto" w:line="360" w:before="0" w:after="0"/>
        <w:jc w:val="both"/>
        <w:rPr>
          <w:rFonts w:ascii="Times New Roman" w:hAnsi="Times New Roman"/>
          <w:b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Estimation of phylogenetic informativeness using TAPIR </w:t>
      </w:r>
    </w:p>
    <w:p>
      <w:pPr>
        <w:pStyle w:val="TextBody"/>
        <w:bidi w:val="0"/>
        <w:spacing w:lineRule="auto" w:line="360" w:before="0" w:after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Estimation of phylogenetic informativeness was performed on the following selection of species:</w:t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818"/>
        <w:gridCol w:w="4820"/>
      </w:tblGrid>
      <w:tr>
        <w:trPr>
          <w:tblHeader w:val="true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Heading"/>
              <w:spacing w:lineRule="auto" w:line="36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Species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Heading"/>
              <w:spacing w:lineRule="auto" w:line="36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Sample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lineRule="auto" w:line="360"/>
              <w:jc w:val="both"/>
              <w:rPr>
                <w:rFonts w:ascii="Times New Roman" w:hAnsi="Times New Roman"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A</w:t>
            </w:r>
            <w:r>
              <w:rPr>
                <w:rFonts w:ascii="Times New Roman" w:hAnsi="Times New Roman"/>
                <w:i/>
                <w:iCs/>
                <w:sz w:val="24"/>
              </w:rPr>
              <w:t>sterogyne g</w:t>
            </w:r>
            <w:r>
              <w:rPr>
                <w:rFonts w:ascii="Times New Roman" w:hAnsi="Times New Roman"/>
                <w:i/>
                <w:iCs/>
                <w:sz w:val="24"/>
              </w:rPr>
              <w:t>uianensis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lineRule="auto" w:line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2493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lineRule="auto" w:line="360"/>
              <w:jc w:val="both"/>
              <w:rPr>
                <w:rFonts w:ascii="Times New Roman" w:hAnsi="Times New Roman"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A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sterogyne </w:t>
            </w:r>
            <w:r>
              <w:rPr>
                <w:rFonts w:ascii="Times New Roman" w:hAnsi="Times New Roman"/>
                <w:i/>
                <w:iCs/>
                <w:sz w:val="24"/>
              </w:rPr>
              <w:t>martiana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lineRule="auto" w:line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IO503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lineRule="auto" w:line="360"/>
              <w:jc w:val="both"/>
              <w:rPr>
                <w:rFonts w:ascii="Times New Roman" w:hAnsi="Times New Roman"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Bactris gasipoes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lineRule="auto" w:line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743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lineRule="auto" w:line="360"/>
              <w:jc w:val="both"/>
              <w:rPr>
                <w:rFonts w:ascii="Times New Roman" w:hAnsi="Times New Roman"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 xml:space="preserve">Ceroxylon </w:t>
            </w:r>
            <w:r>
              <w:rPr>
                <w:rFonts w:ascii="Times New Roman" w:hAnsi="Times New Roman"/>
                <w:i/>
                <w:iCs/>
                <w:sz w:val="24"/>
              </w:rPr>
              <w:t>a</w:t>
            </w:r>
            <w:r>
              <w:rPr>
                <w:rFonts w:ascii="Times New Roman" w:hAnsi="Times New Roman"/>
                <w:i/>
                <w:iCs/>
                <w:sz w:val="24"/>
              </w:rPr>
              <w:t>lpinum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lineRule="auto" w:line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523B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lineRule="auto" w:line="360"/>
              <w:jc w:val="both"/>
              <w:rPr>
                <w:rFonts w:ascii="Times New Roman" w:hAnsi="Times New Roman"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C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alyptrogyne </w:t>
            </w:r>
            <w:r>
              <w:rPr>
                <w:rFonts w:ascii="Times New Roman" w:hAnsi="Times New Roman"/>
                <w:i/>
                <w:iCs/>
                <w:sz w:val="24"/>
              </w:rPr>
              <w:t>anomala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lineRule="auto" w:line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AC07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lineRule="auto" w:line="360"/>
              <w:jc w:val="both"/>
              <w:rPr>
                <w:rFonts w:ascii="Times New Roman" w:hAnsi="Times New Roman"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C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alyptrogyne </w:t>
            </w:r>
            <w:r>
              <w:rPr>
                <w:rFonts w:ascii="Times New Roman" w:hAnsi="Times New Roman"/>
                <w:i/>
                <w:iCs/>
                <w:sz w:val="24"/>
              </w:rPr>
              <w:t>osensis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lineRule="auto" w:line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2564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lineRule="auto" w:line="360"/>
              <w:jc w:val="both"/>
              <w:rPr>
                <w:rFonts w:ascii="Times New Roman" w:hAnsi="Times New Roman"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Cocos nucifer</w:t>
            </w:r>
            <w:r>
              <w:rPr>
                <w:rFonts w:ascii="Times New Roman" w:hAnsi="Times New Roman"/>
                <w:i/>
                <w:iCs/>
                <w:sz w:val="24"/>
              </w:rPr>
              <w:t>a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lineRule="auto" w:line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984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lineRule="auto" w:line="360"/>
              <w:jc w:val="both"/>
              <w:rPr>
                <w:rFonts w:ascii="Times New Roman" w:hAnsi="Times New Roman"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G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eonoma </w:t>
            </w:r>
            <w:r>
              <w:rPr>
                <w:rFonts w:ascii="Times New Roman" w:hAnsi="Times New Roman"/>
                <w:i/>
                <w:iCs/>
                <w:sz w:val="24"/>
              </w:rPr>
              <w:t>deversa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lineRule="auto" w:line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1823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lineRule="auto" w:line="360"/>
              <w:jc w:val="both"/>
              <w:rPr>
                <w:rFonts w:ascii="Times New Roman" w:hAnsi="Times New Roman"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G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eonoma </w:t>
            </w:r>
            <w:r>
              <w:rPr>
                <w:rFonts w:ascii="Times New Roman" w:hAnsi="Times New Roman"/>
                <w:i/>
                <w:iCs/>
                <w:sz w:val="24"/>
              </w:rPr>
              <w:t>deversa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lineRule="auto" w:line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CB10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lineRule="auto" w:line="360"/>
              <w:jc w:val="both"/>
              <w:rPr>
                <w:rFonts w:ascii="Times New Roman" w:hAnsi="Times New Roman"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G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eonoma </w:t>
            </w:r>
            <w:r>
              <w:rPr>
                <w:rFonts w:ascii="Times New Roman" w:hAnsi="Times New Roman"/>
                <w:i/>
                <w:iCs/>
                <w:sz w:val="24"/>
              </w:rPr>
              <w:t>deversa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lineRule="auto" w:line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OL082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lineRule="auto" w:line="360"/>
              <w:jc w:val="both"/>
              <w:rPr>
                <w:rFonts w:ascii="Times New Roman" w:hAnsi="Times New Roman"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G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eonoma </w:t>
            </w:r>
            <w:r>
              <w:rPr>
                <w:rFonts w:ascii="Times New Roman" w:hAnsi="Times New Roman"/>
                <w:i/>
                <w:iCs/>
                <w:sz w:val="24"/>
              </w:rPr>
              <w:t>deversa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lineRule="auto" w:line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OL101_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lineRule="auto" w:line="360"/>
              <w:jc w:val="both"/>
              <w:rPr>
                <w:rFonts w:ascii="Times New Roman" w:hAnsi="Times New Roman"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G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eonoma </w:t>
            </w:r>
            <w:r>
              <w:rPr>
                <w:rFonts w:ascii="Times New Roman" w:hAnsi="Times New Roman"/>
                <w:i/>
                <w:iCs/>
                <w:sz w:val="24"/>
              </w:rPr>
              <w:t>ferruginea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lineRule="auto" w:line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2534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lineRule="auto" w:line="360"/>
              <w:jc w:val="both"/>
              <w:rPr>
                <w:rFonts w:ascii="Times New Roman" w:hAnsi="Times New Roman"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G</w:t>
            </w:r>
            <w:r>
              <w:rPr>
                <w:rFonts w:ascii="Times New Roman" w:hAnsi="Times New Roman"/>
                <w:i/>
                <w:iCs/>
                <w:sz w:val="24"/>
              </w:rPr>
              <w:t>eonoma s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tricta </w:t>
            </w:r>
            <w:r>
              <w:rPr>
                <w:rFonts w:ascii="Times New Roman" w:hAnsi="Times New Roman"/>
                <w:i w:val="false"/>
                <w:iCs w:val="false"/>
                <w:sz w:val="24"/>
              </w:rPr>
              <w:t>var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 trailii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lineRule="auto" w:line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AC60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lineRule="auto" w:line="360"/>
              <w:jc w:val="both"/>
              <w:rPr>
                <w:rFonts w:ascii="Times New Roman" w:hAnsi="Times New Roman"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Licuala distans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lineRule="auto" w:line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1017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lineRule="auto" w:line="360"/>
              <w:jc w:val="both"/>
              <w:rPr>
                <w:rFonts w:ascii="Times New Roman" w:hAnsi="Times New Roman"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Licuala merguensis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lineRule="auto" w:line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1011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lineRule="auto" w:line="360"/>
              <w:jc w:val="both"/>
              <w:rPr>
                <w:rFonts w:ascii="Times New Roman" w:hAnsi="Times New Roman"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P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holidostachys </w:t>
            </w:r>
            <w:r>
              <w:rPr>
                <w:rFonts w:ascii="Times New Roman" w:hAnsi="Times New Roman"/>
                <w:i/>
                <w:iCs/>
                <w:sz w:val="24"/>
              </w:rPr>
              <w:t>dactyloides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lineRule="auto" w:line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1119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lineRule="auto" w:line="360"/>
              <w:jc w:val="both"/>
              <w:rPr>
                <w:rFonts w:ascii="Times New Roman" w:hAnsi="Times New Roman"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P</w:t>
            </w:r>
            <w:r>
              <w:rPr>
                <w:rFonts w:ascii="Times New Roman" w:hAnsi="Times New Roman"/>
                <w:i/>
                <w:iCs/>
                <w:sz w:val="24"/>
              </w:rPr>
              <w:t>holidostachys synanthera</w:t>
            </w:r>
            <w:r>
              <w:rPr>
                <w:rFonts w:ascii="Times New Roman" w:hAnsi="Times New Roman"/>
                <w:i w:val="false"/>
                <w:iCs w:val="false"/>
                <w:sz w:val="24"/>
              </w:rPr>
              <w:t xml:space="preserve"> subsp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 robusta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lineRule="auto" w:line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1804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lineRule="auto" w:line="360"/>
              <w:jc w:val="both"/>
              <w:rPr>
                <w:rFonts w:ascii="Times New Roman" w:hAnsi="Times New Roman"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Socratea exorrhiza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lineRule="auto" w:line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3125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lineRule="auto" w:line="360"/>
              <w:jc w:val="both"/>
              <w:rPr>
                <w:rFonts w:ascii="Times New Roman" w:hAnsi="Times New Roman"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W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elfia </w:t>
            </w:r>
            <w:r>
              <w:rPr>
                <w:rFonts w:ascii="Times New Roman" w:hAnsi="Times New Roman"/>
                <w:i/>
                <w:iCs/>
                <w:sz w:val="24"/>
              </w:rPr>
              <w:t>regia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lineRule="auto" w:line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3007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lineRule="auto" w:line="360"/>
              <w:jc w:val="both"/>
              <w:rPr>
                <w:rFonts w:ascii="Times New Roman" w:hAnsi="Times New Roman"/>
                <w:i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Wettinia maynensis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lineRule="auto" w:line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296B</w:t>
            </w:r>
          </w:p>
        </w:tc>
      </w:tr>
    </w:tbl>
    <w:p>
      <w:pPr>
        <w:pStyle w:val="TextBody"/>
        <w:bidi w:val="0"/>
        <w:spacing w:lineRule="auto" w:line="360" w:before="0" w:after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Gene trees were inferred for the </w:t>
      </w:r>
      <w:bookmarkStart w:id="0" w:name="docs-internal-guid-180bb6cc-7fff-9b93-f8"/>
      <w:bookmarkEnd w:id="0"/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3,297 gen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omic regions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 which had no missing data i.e. had DNA sequence data available for all of the 20 selected samples. Gene tree estimation was performed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 in RaxML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8.2.10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(Stamatakis, 2014)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, using the GTR+GAMMA model of substitution. </w:t>
      </w:r>
      <w:bookmarkStart w:id="1" w:name="docs-internal-guid-e13a6e0b-7fff-4c95-6f"/>
      <w:bookmarkEnd w:id="1"/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white"/>
          <w:u w:val="none"/>
          <w:effect w:val="none"/>
        </w:rPr>
        <w:t xml:space="preserve">Bootstrapping was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white"/>
          <w:u w:val="none"/>
          <w:effect w:val="none"/>
        </w:rPr>
        <w:t>run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white"/>
          <w:u w:val="none"/>
          <w:effect w:val="none"/>
        </w:rPr>
        <w:t xml:space="preserve"> with the -autoMRE option, which automatically stops the 1,000 bootstrap replicate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white"/>
          <w:u w:val="none"/>
          <w:effect w:val="none"/>
        </w:rPr>
        <w:t xml:space="preserve">searches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white"/>
          <w:u w:val="none"/>
          <w:effect w:val="none"/>
        </w:rPr>
        <w:t xml:space="preserve">if the support values converge earlier. We then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white"/>
          <w:u w:val="none"/>
          <w:effect w:val="none"/>
        </w:rPr>
        <w:t>computed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white"/>
          <w:u w:val="none"/>
          <w:effect w:val="none"/>
        </w:rPr>
        <w:t xml:space="preserve"> the mean bootstrap value of each gene tree.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white"/>
          <w:u w:val="none"/>
          <w:effect w:val="none"/>
        </w:rPr>
        <w:t xml:space="preserve">All genes with a mean boostrap per gene tree &gt;60 were concatenated into a single alignment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white"/>
          <w:u w:val="none"/>
          <w:effect w:val="none"/>
        </w:rPr>
        <w:t>(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white"/>
          <w:u w:val="none"/>
          <w:effect w:val="none"/>
        </w:rPr>
        <w:t xml:space="preserve">total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white"/>
          <w:u w:val="none"/>
          <w:effect w:val="none"/>
        </w:rPr>
        <w:t xml:space="preserve">length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white"/>
          <w:u w:val="none"/>
          <w:effect w:val="none"/>
        </w:rPr>
        <w:t xml:space="preserve">of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white"/>
          <w:u w:val="none"/>
          <w:effect w:val="none"/>
        </w:rPr>
        <w:t xml:space="preserve">1,546,401 bp)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white"/>
          <w:u w:val="none"/>
          <w:effect w:val="none"/>
        </w:rPr>
        <w:t>which was then used to infer a phylogenetic tree in RaxML under the GTR+GAMMA model of substitution</w:t>
      </w:r>
      <w:bookmarkStart w:id="2" w:name="docs-internal-guid-e13a6e0b-7fff-4c95-6f"/>
      <w:bookmarkEnd w:id="2"/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white"/>
          <w:u w:val="none"/>
          <w:effect w:val="none"/>
        </w:rPr>
        <w:t xml:space="preserve"> and with the -autoMRE option to perform bootstrap replicate searches. The maximum likelihood tree was subsequently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white"/>
          <w:u w:val="none"/>
          <w:effect w:val="none"/>
        </w:rPr>
        <w:t>time-calibrated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white"/>
          <w:u w:val="none"/>
          <w:effect w:val="none"/>
        </w:rPr>
        <w:t xml:space="preserve"> using Penalized Likelihood in the program TreePL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highlight w:val="white"/>
          <w:u w:val="none"/>
          <w:effect w:val="none"/>
          <w:vertAlign w:val="baseline"/>
        </w:rPr>
        <w:t>(Smith and O</w:t>
      </w:r>
      <w:r>
        <w:rPr>
          <w:rFonts w:ascii="Times New Roman" w:hAnsi="Times New Roman"/>
          <w:b w:val="false"/>
          <w:i w:val="false"/>
          <w:caps w:val="false"/>
          <w:smallCaps w:val="false"/>
          <w:position w:val="0"/>
          <w:sz w:val="24"/>
          <w:u w:val="none"/>
          <w:vertAlign w:val="baseline"/>
        </w:rPr>
        <w:t>’meara, 2012)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white"/>
          <w:u w:val="none"/>
          <w:effect w:val="none"/>
        </w:rPr>
        <w:t xml:space="preserve">.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white"/>
          <w:u w:val="none"/>
          <w:effect w:val="none"/>
        </w:rPr>
        <w:t>W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white"/>
          <w:u w:val="none"/>
          <w:effect w:val="none"/>
        </w:rPr>
        <w:t xml:space="preserve">e chose this method because it is considerably faster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white"/>
          <w:u w:val="none"/>
          <w:effect w:val="none"/>
        </w:rPr>
        <w:t xml:space="preserve">and the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white"/>
          <w:u w:val="none"/>
          <w:effect w:val="none"/>
        </w:rPr>
        <w:t xml:space="preserve">purpose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white"/>
          <w:u w:val="none"/>
          <w:effect w:val="none"/>
        </w:rPr>
        <w:t xml:space="preserve">was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white"/>
          <w:u w:val="none"/>
          <w:effect w:val="none"/>
        </w:rPr>
        <w:t>to be able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white"/>
          <w:u w:val="none"/>
          <w:effect w:val="none"/>
        </w:rPr>
        <w:t xml:space="preserve"> to compute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white"/>
          <w:u w:val="none"/>
          <w:effect w:val="none"/>
        </w:rPr>
        <w:t xml:space="preserve"> phylogene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white"/>
          <w:u w:val="none"/>
          <w:effect w:val="none"/>
        </w:rPr>
        <w:t>t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white"/>
          <w:u w:val="none"/>
          <w:effect w:val="none"/>
        </w:rPr>
        <w:t>ic inform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white"/>
          <w:u w:val="none"/>
          <w:effect w:val="none"/>
        </w:rPr>
        <w:t>a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white"/>
          <w:u w:val="none"/>
          <w:effect w:val="none"/>
        </w:rPr>
        <w:t xml:space="preserve">tiveness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white"/>
          <w:u w:val="none"/>
          <w:effect w:val="none"/>
        </w:rPr>
        <w:t>over broad time slices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white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white"/>
          <w:u w:val="none"/>
          <w:effect w:val="none"/>
        </w:rPr>
        <w:t>rather than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white"/>
          <w:u w:val="none"/>
          <w:effect w:val="none"/>
        </w:rPr>
        <w:t xml:space="preserve"> a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white"/>
          <w:u w:val="none"/>
          <w:effect w:val="none"/>
        </w:rPr>
        <w:t>obtain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white"/>
          <w:u w:val="none"/>
          <w:effect w:val="none"/>
        </w:rPr>
        <w:t>ing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white"/>
          <w:u w:val="none"/>
          <w:effect w:val="none"/>
        </w:rPr>
        <w:t xml:space="preserve"> a very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white"/>
          <w:u w:val="none"/>
          <w:effect w:val="none"/>
        </w:rPr>
        <w:t xml:space="preserve">precise estimation of node ages.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white"/>
          <w:u w:val="none"/>
          <w:effect w:val="none"/>
        </w:rPr>
        <w:t>Divergence time estimation was performed using the following calibration points: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The fossil </w:t>
      </w:r>
      <w:r>
        <w:rPr>
          <w:rFonts w:ascii="Times New Roman" w:hAnsi="Times New Roman"/>
          <w:i/>
          <w:iCs/>
        </w:rPr>
        <w:t xml:space="preserve">Sabal carolinensis </w:t>
      </w:r>
      <w:r>
        <w:rPr>
          <w:rFonts w:ascii="Times New Roman" w:hAnsi="Times New Roman"/>
        </w:rPr>
        <w:t xml:space="preserve">for the root node, following </w:t>
      </w:r>
      <w:r>
        <w:rPr>
          <w:rFonts w:ascii="Times New Roman" w:hAnsi="Times New Roman"/>
        </w:rPr>
        <w:t>(Couvreur et al., 2011)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Minimum age = 85.8 My; Maximum age = 88.8  My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2) Divergence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between </w:t>
      </w:r>
      <w:r>
        <w:rPr>
          <w:rFonts w:ascii="Times New Roman" w:hAnsi="Times New Roman"/>
        </w:rPr>
        <w:t xml:space="preserve">Cocos and Bactris, </w:t>
      </w:r>
      <w:r>
        <w:rPr>
          <w:rFonts w:ascii="Times New Roman" w:hAnsi="Times New Roman"/>
        </w:rPr>
        <w:t>following Couvreur et al. (2011).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Minimum age = </w:t>
      </w:r>
      <w:r>
        <w:rPr>
          <w:rFonts w:ascii="Times New Roman" w:hAnsi="Times New Roman"/>
        </w:rPr>
        <w:t xml:space="preserve">54.8 </w:t>
      </w:r>
      <w:r>
        <w:rPr>
          <w:rFonts w:ascii="Times New Roman" w:hAnsi="Times New Roman"/>
        </w:rPr>
        <w:t>My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 xml:space="preserve">Maximum age = </w:t>
      </w:r>
      <w:r>
        <w:rPr>
          <w:rFonts w:ascii="Times New Roman" w:hAnsi="Times New Roman"/>
        </w:rPr>
        <w:t xml:space="preserve">60.79  </w:t>
      </w:r>
      <w:r>
        <w:rPr>
          <w:rFonts w:ascii="Times New Roman" w:hAnsi="Times New Roman"/>
        </w:rPr>
        <w:t>My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Secondary calibration for crown Geonomateae using the estimate from </w:t>
      </w:r>
      <w:r>
        <w:rPr>
          <w:rFonts w:ascii="Times New Roman" w:hAnsi="Times New Roman"/>
        </w:rPr>
        <w:t>(Roncal et al., 2010)</w:t>
      </w:r>
      <w:r>
        <w:rPr>
          <w:rFonts w:ascii="Times New Roman" w:hAnsi="Times New Roman"/>
        </w:rPr>
        <w:t>⁠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Minimum age = 21.2 My; Maximum age = 33.5  My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Secondary calibration for crown </w:t>
      </w:r>
      <w:r>
        <w:rPr>
          <w:rFonts w:ascii="Times New Roman" w:hAnsi="Times New Roman"/>
          <w:i/>
          <w:iCs/>
        </w:rPr>
        <w:t>Geonoma</w:t>
      </w:r>
      <w:r>
        <w:rPr>
          <w:rFonts w:ascii="Times New Roman" w:hAnsi="Times New Roman"/>
        </w:rPr>
        <w:t xml:space="preserve"> using the estimate from Roncal et al. (2010).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Minimum age = 11.9 My; Maximum age = 19.5  My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The resulting dated phylogeny in My is shown below (node numbers indicate age estimates in My):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88900</wp:posOffset>
            </wp:positionH>
            <wp:positionV relativeFrom="paragraph">
              <wp:posOffset>40640</wp:posOffset>
            </wp:positionV>
            <wp:extent cx="6120130" cy="479107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dated phylogenetic tree was used to estimate the phylogenetic informativeness of the 3,287 genes over 5 time intervals (1-5 My, 5-15 My, 15-25 My, 25-50 My, 50-89 My) in TAPIR </w:t>
      </w:r>
      <w:r>
        <w:rPr>
          <w:rFonts w:ascii="Times New Roman" w:hAnsi="Times New Roman"/>
        </w:rPr>
        <w:t>(Faircloth et al., 2012)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Bibliography1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Couvreur, T. L. P., Forest, F., and Baker, W. J. (2011). Origin and global diversification patterns of tropical rain forests: inferences from a complete genus-level phylogeny of palms. </w:t>
      </w:r>
      <w:r>
        <w:rPr>
          <w:rFonts w:ascii="Times New Roman" w:hAnsi="Times New Roman"/>
          <w:i/>
        </w:rPr>
        <w:t>BMC biology</w:t>
      </w:r>
      <w:r>
        <w:rPr>
          <w:rFonts w:ascii="Times New Roman" w:hAnsi="Times New Roman"/>
        </w:rPr>
        <w:t xml:space="preserve"> 9, 44. doi:10.1186/1741-7007-9-44.</w:t>
      </w:r>
    </w:p>
    <w:p>
      <w:pPr>
        <w:pStyle w:val="Bibliography1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Faircloth, B. C., Chang, J., and Alfaro, M. E. (2012). TAPIR enables high-throughput estimation and comparison of phylogenetic informativeness using locus-specific substitution models. </w:t>
      </w:r>
      <w:r>
        <w:rPr>
          <w:rFonts w:ascii="Times New Roman" w:hAnsi="Times New Roman"/>
          <w:i/>
        </w:rPr>
        <w:t>arXiv preprint arXiv:1202.1215</w:t>
      </w:r>
      <w:r>
        <w:rPr>
          <w:rFonts w:ascii="Times New Roman" w:hAnsi="Times New Roman"/>
        </w:rPr>
        <w:t>.</w:t>
      </w:r>
    </w:p>
    <w:p>
      <w:pPr>
        <w:pStyle w:val="Bibliography1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Roncal, J., Borchsenius, F., Asmussen-Lange, C. B., and Balslev, H. (2010). “Divergence Times in the Tribe Geonomateae (Arecaceae) coincide with Tertiary Geological Events,” in </w:t>
      </w:r>
      <w:r>
        <w:rPr>
          <w:rFonts w:ascii="Times New Roman" w:hAnsi="Times New Roman"/>
          <w:i/>
        </w:rPr>
        <w:t>Diversity, Phylogeny and Evolution in the Monocoltiledons</w:t>
      </w:r>
      <w:r>
        <w:rPr>
          <w:rFonts w:ascii="Times New Roman" w:hAnsi="Times New Roman"/>
        </w:rPr>
        <w:t>, 245–265.</w:t>
      </w:r>
    </w:p>
    <w:p>
      <w:pPr>
        <w:pStyle w:val="Bibliography1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Smith, S. A., and O’meara, B. C. (2012). treePL: divergence time estimation using penalized likelihood for large phylogenies. </w:t>
      </w:r>
      <w:r>
        <w:rPr>
          <w:rFonts w:ascii="Times New Roman" w:hAnsi="Times New Roman"/>
          <w:i/>
        </w:rPr>
        <w:t>Bioinformatics</w:t>
      </w:r>
      <w:r>
        <w:rPr>
          <w:rFonts w:ascii="Times New Roman" w:hAnsi="Times New Roman"/>
        </w:rPr>
        <w:t xml:space="preserve"> 28, 2689–2690.</w:t>
      </w:r>
    </w:p>
    <w:p>
      <w:pPr>
        <w:pStyle w:val="Bibliography1"/>
        <w:spacing w:lineRule="auto" w:line="240" w:before="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Stamatakis, A. (2014). RAxML version 8: a tool for phylogenetic analysis and post-analysis of large phylogenies. </w:t>
      </w:r>
      <w:r>
        <w:rPr>
          <w:rFonts w:ascii="Times New Roman" w:hAnsi="Times New Roman"/>
          <w:i/>
        </w:rPr>
        <w:t>Bioinformatics</w:t>
      </w:r>
      <w:r>
        <w:rPr>
          <w:rFonts w:ascii="Times New Roman" w:hAnsi="Times New Roman"/>
        </w:rPr>
        <w:t xml:space="preserve"> 30, 1312–1313.</w:t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4"/>
        <w:szCs w:val="24"/>
        <w:lang w:val="en-GB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en-GB" w:eastAsia="zh-CN" w:bidi="hi-IN"/>
    </w:rPr>
  </w:style>
  <w:style w:type="character" w:styleId="LineNumbering">
    <w:name w:val="Line Numbering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Bibliography1">
    <w:name w:val="Bibliography 1"/>
    <w:basedOn w:val="Index"/>
    <w:qFormat/>
    <w:pPr>
      <w:spacing w:lineRule="atLeast" w:line="240" w:before="0" w:after="240"/>
      <w:ind w:left="720" w:right="0" w:hanging="72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102</TotalTime>
  <Application>LibreOffice/6.0.6.2$Linux_X86_64 LibreOffice_project/00m0$Build-2</Application>
  <Pages>3</Pages>
  <Words>554</Words>
  <Characters>3188</Characters>
  <CharactersWithSpaces>3700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2018-10-22T13:23:09Z</dcterms:created>
  <dc:creator/>
  <dc:description/>
  <dc:language>en-GB</dc:language>
  <cp:lastModifiedBy>Oriane Loiseau</cp:lastModifiedBy>
  <dcterms:modified xsi:type="dcterms:W3CDTF">2019-04-18T14:30:43Z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http://www.zotero.org/styles/molecular-phylogenetics-and-evolution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d44ff26a-80c7-3987-9964-8a84d365ab78</vt:lpwstr>
  </property>
  <property fmtid="{D5CDD505-2E9C-101B-9397-08002B2CF9AE}" pid="5" name="ZOTERO_PREF_1">
    <vt:lpwstr>&lt;data data-version="3" zotero-version="5.0.56"&gt;&lt;session id="UsYn0oen"/&gt;&lt;style id="http://www.zotero.org/styles/frontiers-in-plant-science" hasBibliography="1" bibliographyStyleHasBeenSet="1"/&gt;&lt;prefs&gt;&lt;pref name="fieldType" value="ReferenceMark"/&gt;&lt;/prefs&gt;&lt;/</vt:lpwstr>
  </property>
  <property fmtid="{D5CDD505-2E9C-101B-9397-08002B2CF9AE}" pid="6" name="ZOTERO_PREF_2">
    <vt:lpwstr>data&gt;</vt:lpwstr>
  </property>
</Properties>
</file>