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E50D6" w14:textId="33224617" w:rsidR="006472CB" w:rsidRPr="00305825" w:rsidRDefault="006472CB" w:rsidP="00D56D34">
      <w:pPr>
        <w:widowControl w:val="0"/>
        <w:tabs>
          <w:tab w:val="left" w:pos="1301"/>
        </w:tabs>
        <w:kinsoku w:val="0"/>
        <w:overflowPunct w:val="0"/>
        <w:autoSpaceDE w:val="0"/>
        <w:autoSpaceDN w:val="0"/>
        <w:adjustRightInd w:val="0"/>
        <w:spacing w:after="0" w:line="240" w:lineRule="auto"/>
        <w:jc w:val="both"/>
        <w:outlineLvl w:val="0"/>
        <w:rPr>
          <w:rFonts w:eastAsiaTheme="minorEastAsia" w:cs="Times New Roman"/>
          <w:b/>
          <w:bCs/>
          <w:sz w:val="24"/>
          <w:szCs w:val="24"/>
          <w:lang w:val="en-GB" w:eastAsia="en-GB"/>
        </w:rPr>
      </w:pPr>
      <w:bookmarkStart w:id="0" w:name="_GoBack"/>
      <w:bookmarkEnd w:id="0"/>
      <w:r w:rsidRPr="00305825">
        <w:rPr>
          <w:rFonts w:eastAsiaTheme="minorEastAsia" w:cs="Times New Roman"/>
          <w:b/>
          <w:bCs/>
          <w:sz w:val="24"/>
          <w:szCs w:val="24"/>
          <w:lang w:val="en-GB" w:eastAsia="en-GB"/>
        </w:rPr>
        <w:t>Note S1. More on the Center of Mass</w:t>
      </w:r>
    </w:p>
    <w:p w14:paraId="405FFA4F" w14:textId="77777777" w:rsidR="006472CB" w:rsidRPr="00305825" w:rsidRDefault="006472CB" w:rsidP="006472CB">
      <w:pPr>
        <w:widowControl w:val="0"/>
        <w:kinsoku w:val="0"/>
        <w:overflowPunct w:val="0"/>
        <w:autoSpaceDE w:val="0"/>
        <w:autoSpaceDN w:val="0"/>
        <w:adjustRightInd w:val="0"/>
        <w:spacing w:before="108" w:after="0" w:line="240" w:lineRule="auto"/>
        <w:ind w:left="-40"/>
        <w:rPr>
          <w:rFonts w:eastAsiaTheme="minorEastAsia" w:cs="Times New Roman"/>
          <w:w w:val="105"/>
          <w:sz w:val="24"/>
          <w:szCs w:val="24"/>
          <w:lang w:val="en-GB" w:eastAsia="en-GB"/>
        </w:rPr>
      </w:pPr>
    </w:p>
    <w:p w14:paraId="3D127700" w14:textId="3B7742C9" w:rsidR="001F0272" w:rsidRPr="00305825" w:rsidRDefault="001F0272" w:rsidP="001F0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color w:val="000000"/>
          <w:sz w:val="24"/>
          <w:szCs w:val="24"/>
        </w:rPr>
      </w:pPr>
      <w:r w:rsidRPr="00305825">
        <w:rPr>
          <w:rFonts w:cs="Times New Roman"/>
          <w:color w:val="000000"/>
          <w:sz w:val="24"/>
          <w:szCs w:val="24"/>
        </w:rPr>
        <w:t xml:space="preserve">In generalizing the Newtonian mechanical theory from a single particle to a system composed of many particles, a distinction is introduced between the </w:t>
      </w:r>
      <w:r w:rsidRPr="00305825">
        <w:rPr>
          <w:rFonts w:cs="Times New Roman"/>
          <w:b/>
          <w:color w:val="000000"/>
          <w:sz w:val="24"/>
          <w:szCs w:val="24"/>
        </w:rPr>
        <w:t>internal</w:t>
      </w:r>
      <w:r w:rsidRPr="00305825">
        <w:rPr>
          <w:rFonts w:cs="Times New Roman"/>
          <w:color w:val="000000"/>
          <w:sz w:val="24"/>
          <w:szCs w:val="24"/>
        </w:rPr>
        <w:t xml:space="preserve"> forces acting on the </w:t>
      </w:r>
      <w:r w:rsidRPr="00305825">
        <w:rPr>
          <w:rFonts w:cs="Times New Roman"/>
          <w:i/>
          <w:color w:val="000000"/>
          <w:sz w:val="24"/>
          <w:szCs w:val="24"/>
        </w:rPr>
        <w:t>i</w:t>
      </w:r>
      <w:r w:rsidRPr="00305825">
        <w:rPr>
          <w:rFonts w:cs="Times New Roman"/>
          <w:color w:val="000000"/>
          <w:sz w:val="24"/>
          <w:szCs w:val="24"/>
        </w:rPr>
        <w:t xml:space="preserve">th particle due to other particles in the system, and the </w:t>
      </w:r>
      <w:r w:rsidRPr="00305825">
        <w:rPr>
          <w:rFonts w:cs="Times New Roman"/>
          <w:b/>
          <w:color w:val="000000"/>
          <w:sz w:val="24"/>
          <w:szCs w:val="24"/>
        </w:rPr>
        <w:t>external</w:t>
      </w:r>
      <w:r w:rsidRPr="00305825">
        <w:rPr>
          <w:rFonts w:cs="Times New Roman"/>
          <w:color w:val="000000"/>
          <w:sz w:val="24"/>
          <w:szCs w:val="24"/>
        </w:rPr>
        <w:t xml:space="preserve"> forces acting on the system due to other, outside-the-system sources. Using this decomposition, the equation of motion</w:t>
      </w:r>
      <w:r w:rsidR="00090399">
        <w:rPr>
          <w:rFonts w:cs="Times New Roman"/>
          <w:color w:val="000000"/>
          <w:sz w:val="24"/>
          <w:szCs w:val="24"/>
        </w:rPr>
        <w:t xml:space="preserve">, </w:t>
      </w:r>
      <w:r w:rsidRPr="00305825">
        <w:rPr>
          <w:rFonts w:cs="Times New Roman"/>
          <w:color w:val="000000"/>
          <w:sz w:val="24"/>
          <w:szCs w:val="24"/>
        </w:rPr>
        <w:t>Newton's second law</w:t>
      </w:r>
      <w:r w:rsidR="00090399">
        <w:rPr>
          <w:rFonts w:cs="Times New Roman"/>
          <w:color w:val="000000"/>
          <w:sz w:val="24"/>
          <w:szCs w:val="24"/>
        </w:rPr>
        <w:t>,</w:t>
      </w:r>
      <w:r w:rsidRPr="00305825">
        <w:rPr>
          <w:rFonts w:cs="Times New Roman"/>
          <w:color w:val="000000"/>
          <w:sz w:val="24"/>
          <w:szCs w:val="24"/>
        </w:rPr>
        <w:t xml:space="preserve"> for the </w:t>
      </w:r>
      <w:r w:rsidRPr="00305825">
        <w:rPr>
          <w:rFonts w:cs="Times New Roman"/>
          <w:i/>
          <w:color w:val="000000"/>
          <w:sz w:val="24"/>
          <w:szCs w:val="24"/>
        </w:rPr>
        <w:t>i</w:t>
      </w:r>
      <w:r w:rsidRPr="00305825">
        <w:rPr>
          <w:rFonts w:cs="Times New Roman"/>
          <w:color w:val="000000"/>
          <w:sz w:val="24"/>
          <w:szCs w:val="24"/>
        </w:rPr>
        <w:t>th particle belonging to the system is given by:</w:t>
      </w:r>
    </w:p>
    <w:p w14:paraId="086C0DB9" w14:textId="77777777" w:rsidR="001F0272" w:rsidRPr="001F0272" w:rsidRDefault="001F0272" w:rsidP="001F0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olor w:val="000000"/>
        </w:rPr>
      </w:pPr>
    </w:p>
    <w:p w14:paraId="34573A10" w14:textId="46126790" w:rsidR="001F0272" w:rsidRPr="001F0272" w:rsidRDefault="001D48BF" w:rsidP="0038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hAnsiTheme="minorHAnsi"/>
          <w:color w:val="000000"/>
        </w:rPr>
      </w:pPr>
      <m:oMath>
        <m:acc>
          <m:accPr>
            <m:chr m:val="̇"/>
            <m:ctrlPr>
              <w:rPr>
                <w:rFonts w:ascii="Cambria Math" w:hAnsi="Cambria Math"/>
                <w:i/>
                <w:color w:val="000000"/>
              </w:rPr>
            </m:ctrlPr>
          </m:accPr>
          <m:e>
            <m:sSub>
              <m:sSubPr>
                <m:ctrlPr>
                  <w:rPr>
                    <w:rFonts w:ascii="Cambria Math" w:hAnsi="Cambria Math"/>
                    <w:b/>
                    <w:i/>
                    <w:color w:val="000000"/>
                  </w:rPr>
                </m:ctrlPr>
              </m:sSubPr>
              <m:e>
                <m:r>
                  <m:rPr>
                    <m:sty m:val="bi"/>
                  </m:rPr>
                  <w:rPr>
                    <w:rFonts w:ascii="Cambria Math" w:hAnsi="Cambria Math"/>
                    <w:color w:val="000000"/>
                  </w:rPr>
                  <m:t>p</m:t>
                </m:r>
              </m:e>
              <m:sub>
                <m:r>
                  <m:rPr>
                    <m:sty m:val="bi"/>
                  </m:rPr>
                  <w:rPr>
                    <w:rFonts w:ascii="Cambria Math" w:hAnsi="Cambria Math"/>
                    <w:color w:val="000000"/>
                  </w:rPr>
                  <m:t>i</m:t>
                </m:r>
              </m:sub>
            </m:sSub>
          </m:e>
        </m:acc>
        <m:r>
          <w:rPr>
            <w:rFonts w:ascii="Cambria Math" w:hAnsi="Cambria Math"/>
            <w:color w:val="000000"/>
          </w:rPr>
          <m:t>=</m:t>
        </m:r>
        <m:nary>
          <m:naryPr>
            <m:chr m:val="∑"/>
            <m:limLoc m:val="undOvr"/>
            <m:supHide m:val="1"/>
            <m:ctrlPr>
              <w:rPr>
                <w:rFonts w:ascii="Cambria Math" w:hAnsi="Cambria Math"/>
                <w:i/>
                <w:color w:val="000000"/>
              </w:rPr>
            </m:ctrlPr>
          </m:naryPr>
          <m:sub>
            <m:r>
              <w:rPr>
                <w:rFonts w:ascii="Cambria Math" w:hAnsi="Cambria Math"/>
                <w:color w:val="000000"/>
              </w:rPr>
              <m:t>j</m:t>
            </m:r>
          </m:sub>
          <m:sup/>
          <m:e>
            <m:sSub>
              <m:sSubPr>
                <m:ctrlPr>
                  <w:rPr>
                    <w:rFonts w:ascii="Cambria Math" w:hAnsi="Cambria Math"/>
                    <w:b/>
                    <w:i/>
                    <w:color w:val="000000"/>
                  </w:rPr>
                </m:ctrlPr>
              </m:sSubPr>
              <m:e>
                <m:r>
                  <m:rPr>
                    <m:sty m:val="bi"/>
                  </m:rPr>
                  <w:rPr>
                    <w:rFonts w:ascii="Cambria Math" w:hAnsi="Cambria Math"/>
                    <w:color w:val="000000"/>
                  </w:rPr>
                  <m:t>F</m:t>
                </m:r>
              </m:e>
              <m:sub>
                <m:r>
                  <m:rPr>
                    <m:sty m:val="bi"/>
                  </m:rPr>
                  <w:rPr>
                    <w:rFonts w:ascii="Cambria Math" w:hAnsi="Cambria Math"/>
                    <w:color w:val="000000"/>
                  </w:rPr>
                  <m:t>ij</m:t>
                </m:r>
              </m:sub>
            </m:sSub>
          </m:e>
        </m:nary>
        <m:r>
          <w:rPr>
            <w:rFonts w:ascii="Cambria Math" w:hAnsi="Cambria Math"/>
            <w:color w:val="000000"/>
          </w:rPr>
          <m:t>+</m:t>
        </m:r>
        <m:sSubSup>
          <m:sSubSupPr>
            <m:ctrlPr>
              <w:rPr>
                <w:rFonts w:ascii="Cambria Math" w:hAnsi="Cambria Math"/>
                <w:i/>
                <w:color w:val="000000"/>
              </w:rPr>
            </m:ctrlPr>
          </m:sSubSupPr>
          <m:e>
            <m:r>
              <m:rPr>
                <m:sty m:val="bi"/>
              </m:rPr>
              <w:rPr>
                <w:rFonts w:ascii="Cambria Math" w:hAnsi="Cambria Math"/>
                <w:color w:val="000000"/>
              </w:rPr>
              <m:t>F</m:t>
            </m:r>
          </m:e>
          <m:sub>
            <m:r>
              <w:rPr>
                <w:rFonts w:ascii="Cambria Math" w:hAnsi="Cambria Math"/>
                <w:color w:val="000000"/>
              </w:rPr>
              <m:t>i</m:t>
            </m:r>
          </m:sub>
          <m:sup>
            <m:r>
              <w:rPr>
                <w:rFonts w:ascii="Cambria Math" w:hAnsi="Cambria Math"/>
                <w:color w:val="000000"/>
              </w:rPr>
              <m:t>ext</m:t>
            </m:r>
          </m:sup>
        </m:sSubSup>
      </m:oMath>
      <w:r w:rsidR="00380BC6">
        <w:rPr>
          <w:rFonts w:asciiTheme="minorHAnsi" w:eastAsiaTheme="minorEastAsia" w:hAnsiTheme="minorHAnsi"/>
          <w:color w:val="000000"/>
        </w:rPr>
        <w:t xml:space="preserve">                                                              (1)</w:t>
      </w:r>
    </w:p>
    <w:p w14:paraId="115B5913" w14:textId="77777777" w:rsidR="001F0272" w:rsidRPr="00305825" w:rsidRDefault="001F0272" w:rsidP="001F0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color w:val="000000"/>
          <w:sz w:val="24"/>
          <w:szCs w:val="24"/>
        </w:rPr>
      </w:pPr>
    </w:p>
    <w:p w14:paraId="7874D889" w14:textId="77777777" w:rsidR="001F0272" w:rsidRPr="00D51710" w:rsidRDefault="001F0272" w:rsidP="001F0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color w:val="000000"/>
          <w:sz w:val="24"/>
          <w:szCs w:val="24"/>
        </w:rPr>
      </w:pPr>
      <w:r w:rsidRPr="00D51710">
        <w:rPr>
          <w:rFonts w:cs="Times New Roman"/>
          <w:color w:val="000000"/>
          <w:sz w:val="24"/>
          <w:szCs w:val="24"/>
        </w:rPr>
        <w:t xml:space="preserve">where </w:t>
      </w:r>
      <m:oMath>
        <m:r>
          <m:rPr>
            <m:sty m:val="bi"/>
          </m:rPr>
          <w:rPr>
            <w:rFonts w:ascii="Cambria Math" w:hAnsi="Cambria Math" w:cs="Times New Roman"/>
            <w:color w:val="000000"/>
            <w:sz w:val="24"/>
            <w:szCs w:val="24"/>
          </w:rPr>
          <m:t>p</m:t>
        </m:r>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m</m:t>
            </m:r>
          </m:e>
          <m:sub>
            <m:r>
              <w:rPr>
                <w:rFonts w:ascii="Cambria Math" w:hAnsi="Cambria Math" w:cs="Times New Roman"/>
                <w:color w:val="000000"/>
                <w:sz w:val="24"/>
                <w:szCs w:val="24"/>
              </w:rPr>
              <m:t>i</m:t>
            </m:r>
          </m:sub>
        </m:sSub>
        <m:acc>
          <m:accPr>
            <m:chr m:val="̇"/>
            <m:ctrlPr>
              <w:rPr>
                <w:rFonts w:ascii="Cambria Math" w:hAnsi="Cambria Math" w:cs="Times New Roman"/>
                <w:i/>
                <w:color w:val="000000"/>
                <w:sz w:val="24"/>
                <w:szCs w:val="24"/>
              </w:rPr>
            </m:ctrlPr>
          </m:accPr>
          <m:e>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r</m:t>
                </m:r>
              </m:e>
              <m:sub>
                <m:r>
                  <m:rPr>
                    <m:sty m:val="bi"/>
                  </m:rPr>
                  <w:rPr>
                    <w:rFonts w:ascii="Cambria Math" w:hAnsi="Cambria Math" w:cs="Times New Roman"/>
                    <w:color w:val="000000"/>
                    <w:sz w:val="24"/>
                    <w:szCs w:val="24"/>
                  </w:rPr>
                  <m:t>i</m:t>
                </m:r>
              </m:sub>
            </m:sSub>
          </m:e>
        </m:acc>
      </m:oMath>
      <w:r w:rsidRPr="00D51710">
        <w:rPr>
          <w:rFonts w:cs="Times New Roman"/>
          <w:b/>
          <w:color w:val="000000"/>
          <w:sz w:val="24"/>
          <w:szCs w:val="24"/>
        </w:rPr>
        <w:t xml:space="preserve"> </w:t>
      </w:r>
      <w:r w:rsidRPr="00D51710">
        <w:rPr>
          <w:rFonts w:cs="Times New Roman"/>
          <w:color w:val="000000"/>
          <w:sz w:val="24"/>
          <w:szCs w:val="24"/>
        </w:rPr>
        <w:t xml:space="preserve">denotes the linear momentum, </w:t>
      </w:r>
      <m:oMath>
        <m:sSub>
          <m:sSubPr>
            <m:ctrlPr>
              <w:rPr>
                <w:rFonts w:ascii="Cambria Math" w:hAnsi="Cambria Math" w:cs="Times New Roman"/>
                <w:i/>
                <w:color w:val="000000"/>
                <w:sz w:val="24"/>
                <w:szCs w:val="24"/>
              </w:rPr>
            </m:ctrlPr>
          </m:sSubPr>
          <m:e>
            <m:r>
              <m:rPr>
                <m:sty m:val="bi"/>
              </m:rPr>
              <w:rPr>
                <w:rFonts w:ascii="Cambria Math" w:hAnsi="Cambria Math" w:cs="Times New Roman"/>
                <w:color w:val="000000"/>
                <w:sz w:val="24"/>
                <w:szCs w:val="24"/>
              </w:rPr>
              <m:t>F</m:t>
            </m:r>
          </m:e>
          <m:sub>
            <m:r>
              <w:rPr>
                <w:rFonts w:ascii="Cambria Math" w:hAnsi="Cambria Math" w:cs="Times New Roman"/>
                <w:color w:val="000000"/>
                <w:sz w:val="24"/>
                <w:szCs w:val="24"/>
              </w:rPr>
              <m:t>ij</m:t>
            </m:r>
          </m:sub>
        </m:sSub>
      </m:oMath>
      <w:r w:rsidRPr="00D51710">
        <w:rPr>
          <w:rFonts w:cs="Times New Roman"/>
          <w:color w:val="000000"/>
          <w:sz w:val="24"/>
          <w:szCs w:val="24"/>
        </w:rPr>
        <w:t xml:space="preserve"> the (internal) force exercised by particle </w:t>
      </w:r>
      <w:r w:rsidRPr="00D51710">
        <w:rPr>
          <w:rFonts w:cs="Times New Roman"/>
          <w:i/>
          <w:color w:val="000000"/>
          <w:sz w:val="24"/>
          <w:szCs w:val="24"/>
        </w:rPr>
        <w:t>j</w:t>
      </w:r>
      <w:r w:rsidRPr="00D51710">
        <w:rPr>
          <w:rFonts w:cs="Times New Roman"/>
          <w:color w:val="000000"/>
          <w:sz w:val="24"/>
          <w:szCs w:val="24"/>
        </w:rPr>
        <w:t xml:space="preserve"> on particle </w:t>
      </w:r>
      <w:r w:rsidRPr="00D51710">
        <w:rPr>
          <w:rFonts w:cs="Times New Roman"/>
          <w:i/>
          <w:color w:val="000000"/>
          <w:sz w:val="24"/>
          <w:szCs w:val="24"/>
        </w:rPr>
        <w:t>i</w:t>
      </w:r>
      <w:r w:rsidRPr="00D51710">
        <w:rPr>
          <w:rFonts w:cs="Times New Roman"/>
          <w:color w:val="000000"/>
          <w:sz w:val="24"/>
          <w:szCs w:val="24"/>
        </w:rPr>
        <w:t xml:space="preserve">, and </w:t>
      </w:r>
      <m:oMath>
        <m:sSubSup>
          <m:sSubSupPr>
            <m:ctrlPr>
              <w:rPr>
                <w:rFonts w:ascii="Cambria Math" w:hAnsi="Cambria Math" w:cs="Times New Roman"/>
                <w:i/>
                <w:color w:val="000000"/>
                <w:sz w:val="24"/>
                <w:szCs w:val="24"/>
              </w:rPr>
            </m:ctrlPr>
          </m:sSubSupPr>
          <m:e>
            <m:r>
              <m:rPr>
                <m:sty m:val="bi"/>
              </m:rPr>
              <w:rPr>
                <w:rFonts w:ascii="Cambria Math" w:hAnsi="Cambria Math" w:cs="Times New Roman"/>
                <w:color w:val="000000"/>
                <w:sz w:val="24"/>
                <w:szCs w:val="24"/>
              </w:rPr>
              <m:t>F</m:t>
            </m:r>
          </m:e>
          <m:sub>
            <m:r>
              <w:rPr>
                <w:rFonts w:ascii="Cambria Math" w:hAnsi="Cambria Math" w:cs="Times New Roman"/>
                <w:color w:val="000000"/>
                <w:sz w:val="24"/>
                <w:szCs w:val="24"/>
              </w:rPr>
              <m:t>ij</m:t>
            </m:r>
          </m:sub>
          <m:sup>
            <m:r>
              <w:rPr>
                <w:rFonts w:ascii="Cambria Math" w:hAnsi="Cambria Math" w:cs="Times New Roman"/>
                <w:color w:val="000000"/>
                <w:sz w:val="24"/>
                <w:szCs w:val="24"/>
              </w:rPr>
              <m:t>ext</m:t>
            </m:r>
          </m:sup>
        </m:sSubSup>
      </m:oMath>
      <w:r w:rsidRPr="00D51710">
        <w:rPr>
          <w:rFonts w:cs="Times New Roman"/>
          <w:color w:val="000000"/>
          <w:sz w:val="24"/>
          <w:szCs w:val="24"/>
        </w:rPr>
        <w:t xml:space="preserve"> the external force on the </w:t>
      </w:r>
      <w:r w:rsidRPr="00D51710">
        <w:rPr>
          <w:rFonts w:cs="Times New Roman"/>
          <w:i/>
          <w:color w:val="000000"/>
          <w:sz w:val="24"/>
          <w:szCs w:val="24"/>
        </w:rPr>
        <w:t>i</w:t>
      </w:r>
      <w:r w:rsidRPr="00D51710">
        <w:rPr>
          <w:rFonts w:cs="Times New Roman"/>
          <w:color w:val="000000"/>
          <w:sz w:val="24"/>
          <w:szCs w:val="24"/>
        </w:rPr>
        <w:t>th particle.</w:t>
      </w:r>
    </w:p>
    <w:p w14:paraId="35A3E72C" w14:textId="6949E85E" w:rsidR="001F0272" w:rsidRPr="00D51710" w:rsidRDefault="001F0272" w:rsidP="001F0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color w:val="000000"/>
          <w:sz w:val="24"/>
          <w:szCs w:val="24"/>
        </w:rPr>
      </w:pPr>
      <w:r w:rsidRPr="00D51710">
        <w:rPr>
          <w:rFonts w:cs="Times New Roman"/>
          <w:color w:val="000000"/>
          <w:sz w:val="24"/>
          <w:szCs w:val="24"/>
        </w:rPr>
        <w:t xml:space="preserve">Summing </w:t>
      </w:r>
      <w:r w:rsidR="00090399" w:rsidRPr="00D51710">
        <w:rPr>
          <w:rFonts w:cs="Times New Roman"/>
          <w:color w:val="000000"/>
          <w:sz w:val="24"/>
          <w:szCs w:val="24"/>
        </w:rPr>
        <w:t xml:space="preserve">up </w:t>
      </w:r>
      <w:r w:rsidRPr="00D51710">
        <w:rPr>
          <w:rFonts w:cs="Times New Roman"/>
          <w:color w:val="000000"/>
          <w:sz w:val="24"/>
          <w:szCs w:val="24"/>
        </w:rPr>
        <w:t>all the particles in the system one reaches the following equation of motion for the system:</w:t>
      </w:r>
    </w:p>
    <w:p w14:paraId="6BE84FEF" w14:textId="77777777" w:rsidR="001F0272" w:rsidRPr="001F0272" w:rsidRDefault="001F0272" w:rsidP="001F0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olor w:val="000000"/>
        </w:rPr>
      </w:pPr>
    </w:p>
    <w:p w14:paraId="4A4F7291" w14:textId="5AF634D9" w:rsidR="001F0272" w:rsidRPr="001F0272" w:rsidRDefault="001D48BF" w:rsidP="0038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hAnsiTheme="minorHAnsi"/>
          <w:color w:val="000000"/>
        </w:rPr>
      </w:pPr>
      <m:oMath>
        <m:f>
          <m:fPr>
            <m:ctrlPr>
              <w:rPr>
                <w:rFonts w:ascii="Cambria Math" w:hAnsi="Cambria Math"/>
                <w:i/>
                <w:color w:val="000000"/>
              </w:rPr>
            </m:ctrlPr>
          </m:fPr>
          <m:num>
            <m:sSup>
              <m:sSupPr>
                <m:ctrlPr>
                  <w:rPr>
                    <w:rFonts w:ascii="Cambria Math" w:hAnsi="Cambria Math"/>
                    <w:i/>
                    <w:color w:val="000000"/>
                  </w:rPr>
                </m:ctrlPr>
              </m:sSupPr>
              <m:e>
                <m:r>
                  <w:rPr>
                    <w:rFonts w:ascii="Cambria Math" w:hAnsi="Cambria Math"/>
                    <w:color w:val="000000"/>
                  </w:rPr>
                  <m:t>d</m:t>
                </m:r>
              </m:e>
              <m:sup>
                <m:r>
                  <w:rPr>
                    <w:rFonts w:ascii="Cambria Math" w:hAnsi="Cambria Math"/>
                    <w:color w:val="000000"/>
                  </w:rPr>
                  <m:t>2</m:t>
                </m:r>
              </m:sup>
            </m:sSup>
          </m:num>
          <m:den>
            <m:sSup>
              <m:sSupPr>
                <m:ctrlPr>
                  <w:rPr>
                    <w:rFonts w:ascii="Cambria Math" w:hAnsi="Cambria Math"/>
                    <w:i/>
                    <w:color w:val="000000"/>
                  </w:rPr>
                </m:ctrlPr>
              </m:sSupPr>
              <m:e>
                <m:r>
                  <w:rPr>
                    <w:rFonts w:ascii="Cambria Math" w:hAnsi="Cambria Math"/>
                    <w:color w:val="000000"/>
                  </w:rPr>
                  <m:t>dt</m:t>
                </m:r>
              </m:e>
              <m:sup>
                <m:r>
                  <w:rPr>
                    <w:rFonts w:ascii="Cambria Math" w:hAnsi="Cambria Math"/>
                    <w:color w:val="000000"/>
                  </w:rPr>
                  <m:t>2</m:t>
                </m:r>
              </m:sup>
            </m:sSup>
          </m:den>
        </m:f>
        <m:nary>
          <m:naryPr>
            <m:chr m:val="∑"/>
            <m:limLoc m:val="undOvr"/>
            <m:supHide m:val="1"/>
            <m:ctrlPr>
              <w:rPr>
                <w:rFonts w:ascii="Cambria Math" w:hAnsi="Cambria Math"/>
                <w:i/>
                <w:color w:val="000000"/>
              </w:rPr>
            </m:ctrlPr>
          </m:naryPr>
          <m:sub>
            <m:r>
              <w:rPr>
                <w:rFonts w:ascii="Cambria Math" w:hAnsi="Cambria Math"/>
                <w:color w:val="000000"/>
              </w:rPr>
              <m:t>i</m:t>
            </m:r>
          </m:sub>
          <m:sup/>
          <m:e>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i</m:t>
                </m:r>
              </m:sub>
            </m:sSub>
            <m:sSub>
              <m:sSubPr>
                <m:ctrlPr>
                  <w:rPr>
                    <w:rFonts w:ascii="Cambria Math" w:hAnsi="Cambria Math"/>
                    <w:b/>
                    <w:i/>
                    <w:color w:val="000000"/>
                  </w:rPr>
                </m:ctrlPr>
              </m:sSubPr>
              <m:e>
                <m:r>
                  <m:rPr>
                    <m:sty m:val="bi"/>
                  </m:rPr>
                  <w:rPr>
                    <w:rFonts w:ascii="Cambria Math" w:hAnsi="Cambria Math"/>
                    <w:color w:val="000000"/>
                  </w:rPr>
                  <m:t>r</m:t>
                </m:r>
              </m:e>
              <m:sub>
                <m:r>
                  <m:rPr>
                    <m:sty m:val="bi"/>
                  </m:rPr>
                  <w:rPr>
                    <w:rFonts w:ascii="Cambria Math" w:hAnsi="Cambria Math"/>
                    <w:color w:val="000000"/>
                  </w:rPr>
                  <m:t>i</m:t>
                </m:r>
              </m:sub>
            </m:sSub>
          </m:e>
        </m:nary>
        <m:r>
          <w:rPr>
            <w:rFonts w:ascii="Cambria Math" w:hAnsi="Cambria Math"/>
            <w:color w:val="000000"/>
          </w:rPr>
          <m:t>=</m:t>
        </m:r>
        <m:nary>
          <m:naryPr>
            <m:chr m:val="∑"/>
            <m:limLoc m:val="undOvr"/>
            <m:supHide m:val="1"/>
            <m:ctrlPr>
              <w:rPr>
                <w:rFonts w:ascii="Cambria Math" w:hAnsi="Cambria Math"/>
                <w:i/>
                <w:color w:val="000000"/>
              </w:rPr>
            </m:ctrlPr>
          </m:naryPr>
          <m:sub>
            <m:r>
              <w:rPr>
                <w:rFonts w:ascii="Cambria Math" w:hAnsi="Cambria Math"/>
                <w:color w:val="000000"/>
              </w:rPr>
              <m:t>ij</m:t>
            </m:r>
          </m:sub>
          <m:sup/>
          <m:e>
            <m:sSub>
              <m:sSubPr>
                <m:ctrlPr>
                  <w:rPr>
                    <w:rFonts w:ascii="Cambria Math" w:hAnsi="Cambria Math"/>
                    <w:b/>
                    <w:i/>
                    <w:color w:val="000000"/>
                  </w:rPr>
                </m:ctrlPr>
              </m:sSubPr>
              <m:e>
                <m:r>
                  <m:rPr>
                    <m:sty m:val="bi"/>
                  </m:rPr>
                  <w:rPr>
                    <w:rFonts w:ascii="Cambria Math" w:hAnsi="Cambria Math"/>
                    <w:color w:val="000000"/>
                  </w:rPr>
                  <m:t>F</m:t>
                </m:r>
              </m:e>
              <m:sub>
                <m:r>
                  <m:rPr>
                    <m:sty m:val="bi"/>
                  </m:rPr>
                  <w:rPr>
                    <w:rFonts w:ascii="Cambria Math" w:hAnsi="Cambria Math"/>
                    <w:color w:val="000000"/>
                  </w:rPr>
                  <m:t>ij</m:t>
                </m:r>
              </m:sub>
            </m:sSub>
          </m:e>
        </m:nary>
        <m:r>
          <w:rPr>
            <w:rFonts w:ascii="Cambria Math" w:hAnsi="Cambria Math"/>
            <w:color w:val="000000"/>
          </w:rPr>
          <m:t>+</m:t>
        </m:r>
        <m:nary>
          <m:naryPr>
            <m:chr m:val="∑"/>
            <m:limLoc m:val="undOvr"/>
            <m:supHide m:val="1"/>
            <m:ctrlPr>
              <w:rPr>
                <w:rFonts w:ascii="Cambria Math" w:hAnsi="Cambria Math"/>
                <w:i/>
                <w:color w:val="000000"/>
              </w:rPr>
            </m:ctrlPr>
          </m:naryPr>
          <m:sub>
            <m:r>
              <w:rPr>
                <w:rFonts w:ascii="Cambria Math" w:hAnsi="Cambria Math"/>
                <w:color w:val="000000"/>
              </w:rPr>
              <m:t>i</m:t>
            </m:r>
          </m:sub>
          <m:sup/>
          <m:e>
            <m:sSubSup>
              <m:sSubSupPr>
                <m:ctrlPr>
                  <w:rPr>
                    <w:rFonts w:ascii="Cambria Math" w:hAnsi="Cambria Math"/>
                    <w:b/>
                    <w:i/>
                    <w:color w:val="000000"/>
                  </w:rPr>
                </m:ctrlPr>
              </m:sSubSupPr>
              <m:e>
                <m:r>
                  <m:rPr>
                    <m:sty m:val="bi"/>
                  </m:rPr>
                  <w:rPr>
                    <w:rFonts w:ascii="Cambria Math" w:hAnsi="Cambria Math"/>
                    <w:color w:val="000000"/>
                  </w:rPr>
                  <m:t>F</m:t>
                </m:r>
              </m:e>
              <m:sub>
                <m:r>
                  <m:rPr>
                    <m:sty m:val="bi"/>
                  </m:rPr>
                  <w:rPr>
                    <w:rFonts w:ascii="Cambria Math" w:hAnsi="Cambria Math"/>
                    <w:color w:val="000000"/>
                  </w:rPr>
                  <m:t>i</m:t>
                </m:r>
              </m:sub>
              <m:sup>
                <m:r>
                  <m:rPr>
                    <m:sty m:val="bi"/>
                  </m:rPr>
                  <w:rPr>
                    <w:rFonts w:ascii="Cambria Math" w:hAnsi="Cambria Math"/>
                    <w:color w:val="000000"/>
                  </w:rPr>
                  <m:t>ext</m:t>
                </m:r>
              </m:sup>
            </m:sSubSup>
          </m:e>
        </m:nary>
        <m:r>
          <w:rPr>
            <w:rFonts w:ascii="Cambria Math" w:eastAsiaTheme="minorEastAsia" w:hAnsi="Cambria Math"/>
            <w:color w:val="000000"/>
          </w:rPr>
          <m:t>≡</m:t>
        </m:r>
        <m:sSup>
          <m:sSupPr>
            <m:ctrlPr>
              <w:rPr>
                <w:rFonts w:ascii="Cambria Math" w:eastAsiaTheme="minorEastAsia" w:hAnsi="Cambria Math"/>
                <w:i/>
                <w:color w:val="000000"/>
              </w:rPr>
            </m:ctrlPr>
          </m:sSupPr>
          <m:e>
            <m:r>
              <m:rPr>
                <m:sty m:val="bi"/>
              </m:rPr>
              <w:rPr>
                <w:rFonts w:ascii="Cambria Math" w:eastAsiaTheme="minorEastAsia" w:hAnsi="Cambria Math"/>
                <w:color w:val="000000"/>
              </w:rPr>
              <m:t>F</m:t>
            </m:r>
          </m:e>
          <m:sup>
            <m:r>
              <w:rPr>
                <w:rFonts w:ascii="Cambria Math" w:eastAsiaTheme="minorEastAsia" w:hAnsi="Cambria Math"/>
                <w:color w:val="000000"/>
              </w:rPr>
              <m:t>ext</m:t>
            </m:r>
          </m:sup>
        </m:sSup>
      </m:oMath>
      <w:r w:rsidR="00380BC6">
        <w:rPr>
          <w:rFonts w:asciiTheme="minorHAnsi" w:eastAsiaTheme="minorEastAsia" w:hAnsiTheme="minorHAnsi"/>
          <w:color w:val="000000"/>
        </w:rPr>
        <w:t xml:space="preserve">                                (2)</w:t>
      </w:r>
    </w:p>
    <w:p w14:paraId="64EB107F" w14:textId="77777777" w:rsidR="001F0272" w:rsidRPr="00305825" w:rsidRDefault="001F0272" w:rsidP="001F0272">
      <w:pPr>
        <w:spacing w:after="0" w:line="240" w:lineRule="auto"/>
        <w:rPr>
          <w:rFonts w:cs="Times New Roman"/>
          <w:color w:val="000000"/>
        </w:rPr>
      </w:pPr>
    </w:p>
    <w:p w14:paraId="28E4C097" w14:textId="48D2BEEA" w:rsidR="001F0272" w:rsidRPr="00D56D34" w:rsidRDefault="001F0272" w:rsidP="001F0272">
      <w:pPr>
        <w:spacing w:after="0" w:line="240" w:lineRule="auto"/>
        <w:rPr>
          <w:rFonts w:cs="Times New Roman"/>
          <w:sz w:val="24"/>
          <w:szCs w:val="24"/>
        </w:rPr>
      </w:pPr>
      <w:r w:rsidRPr="00D56D34">
        <w:rPr>
          <w:rFonts w:cs="Times New Roman"/>
          <w:color w:val="000000"/>
          <w:sz w:val="24"/>
          <w:szCs w:val="24"/>
        </w:rPr>
        <w:t xml:space="preserve">where the sum over the internal forces </w:t>
      </w:r>
      <m:oMath>
        <m:sSub>
          <m:sSubPr>
            <m:ctrlPr>
              <w:rPr>
                <w:rFonts w:ascii="Cambria Math" w:hAnsi="Cambria Math" w:cs="Times New Roman"/>
                <w:i/>
                <w:color w:val="000000"/>
                <w:sz w:val="24"/>
                <w:szCs w:val="24"/>
              </w:rPr>
            </m:ctrlPr>
          </m:sSubPr>
          <m:e>
            <m:r>
              <m:rPr>
                <m:sty m:val="bi"/>
              </m:rPr>
              <w:rPr>
                <w:rFonts w:ascii="Cambria Math" w:hAnsi="Cambria Math" w:cs="Times New Roman"/>
                <w:color w:val="000000"/>
                <w:sz w:val="24"/>
                <w:szCs w:val="24"/>
              </w:rPr>
              <m:t>F</m:t>
            </m:r>
          </m:e>
          <m:sub>
            <m:r>
              <w:rPr>
                <w:rFonts w:ascii="Cambria Math" w:hAnsi="Cambria Math" w:cs="Times New Roman"/>
                <w:color w:val="000000"/>
                <w:sz w:val="24"/>
                <w:szCs w:val="24"/>
              </w:rPr>
              <m:t>ij</m:t>
            </m:r>
          </m:sub>
        </m:sSub>
      </m:oMath>
      <w:r w:rsidRPr="00D56D34">
        <w:rPr>
          <w:rFonts w:cs="Times New Roman"/>
          <w:color w:val="000000"/>
          <w:sz w:val="24"/>
          <w:szCs w:val="24"/>
        </w:rPr>
        <w:t xml:space="preserve"> vanishes because of Netwon’s third law of motion: the force two particles exert on each other is equal and opposite</w:t>
      </w:r>
      <w:r w:rsidR="00E02ED6" w:rsidRPr="00D56D34">
        <w:rPr>
          <w:rFonts w:cs="Times New Roman"/>
          <w:color w:val="000000"/>
          <w:sz w:val="24"/>
          <w:szCs w:val="24"/>
        </w:rPr>
        <w:t xml:space="preserve">. </w:t>
      </w:r>
      <w:r w:rsidR="00E02ED6" w:rsidRPr="00D56D34">
        <w:rPr>
          <w:rFonts w:cs="Times New Roman"/>
          <w:sz w:val="24"/>
          <w:szCs w:val="24"/>
        </w:rPr>
        <w:t xml:space="preserve">Moreover, the force applied by a particle on itself is null, </w:t>
      </w:r>
      <m:oMath>
        <m:sSub>
          <m:sSubPr>
            <m:ctrlPr>
              <w:rPr>
                <w:rFonts w:ascii="Cambria Math" w:hAnsi="Cambria Math" w:cs="Times New Roman"/>
                <w:i/>
                <w:sz w:val="24"/>
                <w:szCs w:val="24"/>
              </w:rPr>
            </m:ctrlPr>
          </m:sSubPr>
          <m:e>
            <m:r>
              <m:rPr>
                <m:sty m:val="bi"/>
              </m:rPr>
              <w:rPr>
                <w:rFonts w:ascii="Cambria Math" w:hAnsi="Cambria Math" w:cs="Times New Roman"/>
                <w:sz w:val="24"/>
                <w:szCs w:val="24"/>
              </w:rPr>
              <m:t>F</m:t>
            </m:r>
          </m:e>
          <m:sub>
            <m:r>
              <w:rPr>
                <w:rFonts w:ascii="Cambria Math" w:hAnsi="Cambria Math" w:cs="Times New Roman"/>
                <w:sz w:val="24"/>
                <w:szCs w:val="24"/>
              </w:rPr>
              <m:t>ii</m:t>
            </m:r>
          </m:sub>
        </m:sSub>
        <m:r>
          <w:rPr>
            <w:rFonts w:ascii="Cambria Math" w:hAnsi="Cambria Math" w:cs="Times New Roman"/>
            <w:sz w:val="24"/>
            <w:szCs w:val="24"/>
          </w:rPr>
          <m:t>=0</m:t>
        </m:r>
      </m:oMath>
      <w:r w:rsidR="00E02ED6" w:rsidRPr="00D56D34">
        <w:rPr>
          <w:rFonts w:cs="Times New Roman"/>
          <w:sz w:val="24"/>
          <w:szCs w:val="24"/>
        </w:rPr>
        <w:t xml:space="preserve">, so that the sum may be taken over the indexes </w:t>
      </w:r>
      <w:r w:rsidR="00E02ED6" w:rsidRPr="00D56D34">
        <w:rPr>
          <w:rFonts w:cs="Times New Roman"/>
          <w:i/>
          <w:sz w:val="24"/>
          <w:szCs w:val="24"/>
        </w:rPr>
        <w:t>i</w:t>
      </w:r>
      <w:r w:rsidR="00E02ED6" w:rsidRPr="00D56D34">
        <w:rPr>
          <w:rFonts w:cs="Times New Roman"/>
          <w:sz w:val="24"/>
          <w:szCs w:val="24"/>
        </w:rPr>
        <w:t>,</w:t>
      </w:r>
      <w:r w:rsidR="00090399" w:rsidRPr="00D56D34">
        <w:rPr>
          <w:rFonts w:cs="Times New Roman"/>
          <w:sz w:val="24"/>
          <w:szCs w:val="24"/>
        </w:rPr>
        <w:t xml:space="preserve"> </w:t>
      </w:r>
      <w:r w:rsidR="00E02ED6" w:rsidRPr="00D56D34">
        <w:rPr>
          <w:rFonts w:cs="Times New Roman"/>
          <w:i/>
          <w:sz w:val="24"/>
          <w:szCs w:val="24"/>
        </w:rPr>
        <w:t>j</w:t>
      </w:r>
      <w:r w:rsidR="00E02ED6" w:rsidRPr="00D56D34">
        <w:rPr>
          <w:rFonts w:cs="Times New Roman"/>
          <w:sz w:val="24"/>
          <w:szCs w:val="24"/>
        </w:rPr>
        <w:t xml:space="preserve"> such that </w:t>
      </w:r>
      <w:r w:rsidR="00E02ED6" w:rsidRPr="00D56D34">
        <w:rPr>
          <w:rFonts w:cs="Times New Roman"/>
          <w:i/>
          <w:sz w:val="24"/>
          <w:szCs w:val="24"/>
        </w:rPr>
        <w:t xml:space="preserve">i ≠ j. </w:t>
      </w:r>
      <w:r w:rsidRPr="00D56D34">
        <w:rPr>
          <w:rFonts w:cs="Times New Roman"/>
          <w:color w:val="000000"/>
          <w:sz w:val="24"/>
          <w:szCs w:val="24"/>
        </w:rPr>
        <w:t xml:space="preserve"> Given the net external force on the system </w:t>
      </w:r>
      <m:oMath>
        <m:sSup>
          <m:sSupPr>
            <m:ctrlPr>
              <w:rPr>
                <w:rFonts w:ascii="Cambria Math" w:hAnsi="Cambria Math" w:cs="Times New Roman"/>
                <w:i/>
                <w:color w:val="000000"/>
                <w:sz w:val="24"/>
                <w:szCs w:val="24"/>
              </w:rPr>
            </m:ctrlPr>
          </m:sSupPr>
          <m:e>
            <m:r>
              <m:rPr>
                <m:sty m:val="bi"/>
              </m:rPr>
              <w:rPr>
                <w:rFonts w:ascii="Cambria Math" w:hAnsi="Cambria Math" w:cs="Times New Roman"/>
                <w:color w:val="000000"/>
                <w:sz w:val="24"/>
                <w:szCs w:val="24"/>
              </w:rPr>
              <m:t>F</m:t>
            </m:r>
          </m:e>
          <m:sup>
            <m:r>
              <w:rPr>
                <w:rFonts w:ascii="Cambria Math" w:hAnsi="Cambria Math" w:cs="Times New Roman"/>
                <w:color w:val="000000"/>
                <w:sz w:val="24"/>
                <w:szCs w:val="24"/>
              </w:rPr>
              <m:t>ext</m:t>
            </m:r>
          </m:sup>
        </m:sSup>
      </m:oMath>
      <w:r w:rsidRPr="00D56D34">
        <w:rPr>
          <w:rFonts w:cs="Times New Roman"/>
          <w:color w:val="000000"/>
          <w:sz w:val="24"/>
          <w:szCs w:val="24"/>
        </w:rPr>
        <w:t xml:space="preserve">, the center of mass of the system is defined as the average of the radii vectors of the system’s particles weighted over their </w:t>
      </w:r>
      <w:r w:rsidRPr="00D56D34">
        <w:rPr>
          <w:rFonts w:cs="Times New Roman"/>
          <w:sz w:val="24"/>
          <w:szCs w:val="24"/>
        </w:rPr>
        <w:t>masses:</w:t>
      </w:r>
    </w:p>
    <w:p w14:paraId="6ABD1C45" w14:textId="77777777" w:rsidR="001F0272" w:rsidRPr="001F0272" w:rsidRDefault="001F0272" w:rsidP="001F0272">
      <w:pPr>
        <w:spacing w:line="259" w:lineRule="auto"/>
        <w:rPr>
          <w:rFonts w:asciiTheme="minorHAnsi" w:hAnsiTheme="minorHAnsi"/>
        </w:rPr>
      </w:pPr>
    </w:p>
    <w:p w14:paraId="73F284D7" w14:textId="23F5C54D" w:rsidR="001F0272" w:rsidRPr="001F0272" w:rsidRDefault="001F0272" w:rsidP="00380BC6">
      <w:pPr>
        <w:spacing w:line="259" w:lineRule="auto"/>
        <w:jc w:val="center"/>
        <w:rPr>
          <w:rFonts w:asciiTheme="minorHAnsi" w:hAnsiTheme="minorHAnsi"/>
          <w:b/>
        </w:rPr>
      </w:pPr>
      <m:oMath>
        <m:r>
          <m:rPr>
            <m:sty m:val="bi"/>
          </m:rPr>
          <w:rPr>
            <w:rFonts w:ascii="Cambria Math" w:hAnsi="Cambria Math"/>
          </w:rPr>
          <m:t xml:space="preserve">R= </m:t>
        </m:r>
        <m:f>
          <m:fPr>
            <m:ctrlPr>
              <w:rPr>
                <w:rFonts w:ascii="Cambria Math" w:hAnsi="Cambria Math"/>
                <w:b/>
                <w:i/>
              </w:rPr>
            </m:ctrlPr>
          </m:fPr>
          <m:num>
            <m:nary>
              <m:naryPr>
                <m:chr m:val="∑"/>
                <m:limLoc m:val="subSup"/>
                <m:supHide m:val="1"/>
                <m:ctrlPr>
                  <w:rPr>
                    <w:rFonts w:ascii="Cambria Math" w:hAnsi="Cambria Math"/>
                    <w:b/>
                    <w:i/>
                  </w:rPr>
                </m:ctrlPr>
              </m:naryPr>
              <m:sub>
                <m:r>
                  <w:rPr>
                    <w:rFonts w:ascii="Cambria Math" w:hAnsi="Cambria Math"/>
                  </w:rPr>
                  <m:t>i</m:t>
                </m:r>
              </m:sub>
              <m:sup/>
              <m:e>
                <m:sSub>
                  <m:sSubPr>
                    <m:ctrlPr>
                      <w:rPr>
                        <w:rFonts w:ascii="Cambria Math" w:hAnsi="Cambria Math"/>
                        <w:i/>
                      </w:rPr>
                    </m:ctrlPr>
                  </m:sSubPr>
                  <m:e>
                    <m:r>
                      <w:rPr>
                        <w:rFonts w:ascii="Cambria Math" w:hAnsi="Cambria Math"/>
                      </w:rPr>
                      <m:t>m</m:t>
                    </m:r>
                  </m:e>
                  <m:sub>
                    <m:r>
                      <w:rPr>
                        <w:rFonts w:ascii="Cambria Math" w:hAnsi="Cambria Math"/>
                      </w:rPr>
                      <m:t>i</m:t>
                    </m:r>
                  </m:sub>
                </m:sSub>
                <m:sSub>
                  <m:sSubPr>
                    <m:ctrlPr>
                      <w:rPr>
                        <w:rFonts w:ascii="Cambria Math" w:hAnsi="Cambria Math"/>
                        <w:b/>
                        <w:i/>
                      </w:rPr>
                    </m:ctrlPr>
                  </m:sSubPr>
                  <m:e>
                    <m:r>
                      <m:rPr>
                        <m:sty m:val="bi"/>
                      </m:rPr>
                      <w:rPr>
                        <w:rFonts w:ascii="Cambria Math" w:hAnsi="Cambria Math"/>
                      </w:rPr>
                      <m:t>r</m:t>
                    </m:r>
                  </m:e>
                  <m:sub>
                    <m:r>
                      <w:rPr>
                        <w:rFonts w:ascii="Cambria Math" w:hAnsi="Cambria Math"/>
                      </w:rPr>
                      <m:t>i</m:t>
                    </m:r>
                  </m:sub>
                </m:sSub>
              </m:e>
            </m:nary>
          </m:num>
          <m:den>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m</m:t>
                    </m:r>
                  </m:e>
                  <m:sub>
                    <m:r>
                      <w:rPr>
                        <w:rFonts w:ascii="Cambria Math" w:hAnsi="Cambria Math"/>
                      </w:rPr>
                      <m:t>i</m:t>
                    </m:r>
                  </m:sub>
                </m:sSub>
              </m:e>
            </m:nary>
          </m:den>
        </m:f>
        <m:r>
          <m:rPr>
            <m:sty m:val="bi"/>
          </m:rPr>
          <w:rPr>
            <w:rFonts w:ascii="Cambria Math" w:hAnsi="Cambria Math"/>
          </w:rPr>
          <m:t>≡</m:t>
        </m:r>
        <m:f>
          <m:fPr>
            <m:ctrlPr>
              <w:rPr>
                <w:rFonts w:ascii="Cambria Math" w:hAnsi="Cambria Math"/>
                <w:b/>
                <w:i/>
              </w:rPr>
            </m:ctrlPr>
          </m:fPr>
          <m:num>
            <m:nary>
              <m:naryPr>
                <m:chr m:val="∑"/>
                <m:limLoc m:val="subSup"/>
                <m:supHide m:val="1"/>
                <m:ctrlPr>
                  <w:rPr>
                    <w:rFonts w:ascii="Cambria Math" w:hAnsi="Cambria Math"/>
                    <w:b/>
                    <w:i/>
                  </w:rPr>
                </m:ctrlPr>
              </m:naryPr>
              <m:sub>
                <m:r>
                  <w:rPr>
                    <w:rFonts w:ascii="Cambria Math" w:hAnsi="Cambria Math"/>
                  </w:rPr>
                  <m:t>i</m:t>
                </m:r>
              </m:sub>
              <m:sup/>
              <m:e>
                <m:sSub>
                  <m:sSubPr>
                    <m:ctrlPr>
                      <w:rPr>
                        <w:rFonts w:ascii="Cambria Math" w:hAnsi="Cambria Math"/>
                        <w:i/>
                      </w:rPr>
                    </m:ctrlPr>
                  </m:sSubPr>
                  <m:e>
                    <m:r>
                      <w:rPr>
                        <w:rFonts w:ascii="Cambria Math" w:hAnsi="Cambria Math"/>
                      </w:rPr>
                      <m:t>m</m:t>
                    </m:r>
                  </m:e>
                  <m:sub>
                    <m:r>
                      <w:rPr>
                        <w:rFonts w:ascii="Cambria Math" w:hAnsi="Cambria Math"/>
                      </w:rPr>
                      <m:t>i</m:t>
                    </m:r>
                  </m:sub>
                </m:sSub>
                <m:sSub>
                  <m:sSubPr>
                    <m:ctrlPr>
                      <w:rPr>
                        <w:rFonts w:ascii="Cambria Math" w:hAnsi="Cambria Math"/>
                        <w:b/>
                        <w:i/>
                      </w:rPr>
                    </m:ctrlPr>
                  </m:sSubPr>
                  <m:e>
                    <m:r>
                      <m:rPr>
                        <m:sty m:val="bi"/>
                      </m:rPr>
                      <w:rPr>
                        <w:rFonts w:ascii="Cambria Math" w:hAnsi="Cambria Math"/>
                      </w:rPr>
                      <m:t>r</m:t>
                    </m:r>
                  </m:e>
                  <m:sub>
                    <m:r>
                      <w:rPr>
                        <w:rFonts w:ascii="Cambria Math" w:hAnsi="Cambria Math"/>
                      </w:rPr>
                      <m:t>i</m:t>
                    </m:r>
                  </m:sub>
                </m:sSub>
              </m:e>
            </m:nary>
          </m:num>
          <m:den>
            <m:r>
              <w:rPr>
                <w:rFonts w:ascii="Cambria Math" w:hAnsi="Cambria Math"/>
              </w:rPr>
              <m:t>M</m:t>
            </m:r>
          </m:den>
        </m:f>
      </m:oMath>
      <w:r w:rsidR="00380BC6">
        <w:rPr>
          <w:rFonts w:asciiTheme="minorHAnsi" w:eastAsiaTheme="minorEastAsia" w:hAnsiTheme="minorHAnsi"/>
          <w:b/>
        </w:rPr>
        <w:t xml:space="preserve">                                                                       </w:t>
      </w:r>
      <w:r w:rsidR="00380BC6" w:rsidRPr="00380BC6">
        <w:rPr>
          <w:rFonts w:asciiTheme="minorHAnsi" w:eastAsiaTheme="minorEastAsia" w:hAnsiTheme="minorHAnsi"/>
        </w:rPr>
        <w:t>(3)</w:t>
      </w:r>
    </w:p>
    <w:p w14:paraId="39DF1D06" w14:textId="77777777" w:rsidR="001F0272" w:rsidRPr="00090399" w:rsidRDefault="001F0272" w:rsidP="001F0272">
      <w:pPr>
        <w:spacing w:line="259" w:lineRule="auto"/>
        <w:rPr>
          <w:rFonts w:eastAsiaTheme="minorEastAsia" w:cs="Times New Roman"/>
          <w:sz w:val="24"/>
          <w:szCs w:val="24"/>
        </w:rPr>
      </w:pPr>
      <w:r w:rsidRPr="00090399">
        <w:rPr>
          <w:rFonts w:cs="Times New Roman"/>
          <w:sz w:val="24"/>
          <w:szCs w:val="24"/>
        </w:rPr>
        <w:t xml:space="preserve">where </w:t>
      </w:r>
      <m:oMath>
        <m:r>
          <w:rPr>
            <w:rFonts w:ascii="Cambria Math" w:hAnsi="Cambria Math" w:cs="Times New Roman"/>
            <w:sz w:val="24"/>
            <w:szCs w:val="24"/>
          </w:rPr>
          <m:t xml:space="preserve">M= </m:t>
        </m:r>
        <m:nary>
          <m:naryPr>
            <m:chr m:val="∑"/>
            <m:limLoc m:val="subSup"/>
            <m:supHide m:val="1"/>
            <m:ctrlPr>
              <w:rPr>
                <w:rFonts w:ascii="Cambria Math" w:hAnsi="Cambria Math" w:cs="Times New Roman"/>
                <w:i/>
                <w:sz w:val="24"/>
                <w:szCs w:val="24"/>
              </w:rPr>
            </m:ctrlPr>
          </m:naryPr>
          <m:sub>
            <m:r>
              <w:rPr>
                <w:rFonts w:ascii="Cambria Math" w:hAnsi="Cambria Math" w:cs="Times New Roman"/>
                <w:sz w:val="24"/>
                <w:szCs w:val="24"/>
              </w:rPr>
              <m:t>i</m:t>
            </m:r>
          </m:sub>
          <m:sup/>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e>
        </m:nary>
      </m:oMath>
      <w:r w:rsidRPr="00090399">
        <w:rPr>
          <w:rFonts w:eastAsiaTheme="minorEastAsia" w:cs="Times New Roman"/>
          <w:sz w:val="24"/>
          <w:szCs w:val="24"/>
        </w:rPr>
        <w:t xml:space="preserve"> is the total mass of the system. Using the definition of the center of mass above, the equation of motion for the system reads</w:t>
      </w:r>
    </w:p>
    <w:p w14:paraId="3F693ED4" w14:textId="69835AB1" w:rsidR="001F0272" w:rsidRPr="001F0272" w:rsidRDefault="001D48BF" w:rsidP="00380BC6">
      <w:pPr>
        <w:spacing w:line="259" w:lineRule="auto"/>
        <w:jc w:val="center"/>
        <w:rPr>
          <w:rFonts w:asciiTheme="minorHAnsi" w:hAnsiTheme="minorHAnsi"/>
        </w:rPr>
      </w:pPr>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2</m:t>
                </m:r>
              </m:sup>
            </m:sSup>
            <m:r>
              <m:rPr>
                <m:sty m:val="bi"/>
              </m:rPr>
              <w:rPr>
                <w:rFonts w:ascii="Cambria Math" w:eastAsiaTheme="minorEastAsia" w:hAnsi="Cambria Math"/>
              </w:rPr>
              <m:t>R</m:t>
            </m:r>
          </m:num>
          <m:den>
            <m:sSup>
              <m:sSupPr>
                <m:ctrlPr>
                  <w:rPr>
                    <w:rFonts w:ascii="Cambria Math" w:eastAsiaTheme="minorEastAsia" w:hAnsi="Cambria Math"/>
                    <w:i/>
                  </w:rPr>
                </m:ctrlPr>
              </m:sSupPr>
              <m:e>
                <m:r>
                  <w:rPr>
                    <w:rFonts w:ascii="Cambria Math" w:eastAsiaTheme="minorEastAsia" w:hAnsi="Cambria Math"/>
                  </w:rPr>
                  <m:t>dt</m:t>
                </m:r>
              </m:e>
              <m:sup>
                <m:r>
                  <w:rPr>
                    <w:rFonts w:ascii="Cambria Math" w:eastAsiaTheme="minorEastAsia" w:hAnsi="Cambria Math"/>
                  </w:rPr>
                  <m:t>2</m:t>
                </m:r>
              </m:sup>
            </m:sSup>
          </m:den>
        </m:f>
        <m:r>
          <w:rPr>
            <w:rFonts w:ascii="Cambria Math" w:eastAsiaTheme="minorEastAsia" w:hAnsi="Cambria Math"/>
          </w:rPr>
          <m:t>=</m:t>
        </m:r>
        <m:sSup>
          <m:sSupPr>
            <m:ctrlPr>
              <w:rPr>
                <w:rFonts w:ascii="Cambria Math" w:eastAsiaTheme="minorEastAsia" w:hAnsi="Cambria Math"/>
                <w:i/>
              </w:rPr>
            </m:ctrlPr>
          </m:sSupPr>
          <m:e>
            <m:r>
              <m:rPr>
                <m:sty m:val="bi"/>
              </m:rPr>
              <w:rPr>
                <w:rFonts w:ascii="Cambria Math" w:eastAsiaTheme="minorEastAsia" w:hAnsi="Cambria Math"/>
              </w:rPr>
              <m:t>F</m:t>
            </m:r>
          </m:e>
          <m:sup>
            <m:r>
              <w:rPr>
                <w:rFonts w:ascii="Cambria Math" w:eastAsiaTheme="minorEastAsia" w:hAnsi="Cambria Math"/>
              </w:rPr>
              <m:t>ext</m:t>
            </m:r>
          </m:sup>
        </m:sSup>
      </m:oMath>
      <w:r w:rsidR="00380BC6">
        <w:rPr>
          <w:rFonts w:asciiTheme="minorHAnsi" w:eastAsiaTheme="minorEastAsia" w:hAnsiTheme="minorHAnsi"/>
        </w:rPr>
        <w:t xml:space="preserve">                                                                                           (4)</w:t>
      </w:r>
    </w:p>
    <w:p w14:paraId="439C2814" w14:textId="39998875" w:rsidR="00083638" w:rsidRPr="00305825" w:rsidRDefault="001F0272" w:rsidP="00305825">
      <w:pPr>
        <w:widowControl w:val="0"/>
        <w:autoSpaceDE w:val="0"/>
        <w:autoSpaceDN w:val="0"/>
        <w:adjustRightInd w:val="0"/>
        <w:spacing w:after="0" w:line="240" w:lineRule="auto"/>
        <w:rPr>
          <w:rFonts w:eastAsiaTheme="minorEastAsia" w:cs="Times New Roman"/>
          <w:sz w:val="24"/>
          <w:szCs w:val="24"/>
        </w:rPr>
      </w:pPr>
      <w:r w:rsidRPr="00305825">
        <w:rPr>
          <w:rFonts w:eastAsiaTheme="minorEastAsia" w:cs="Times New Roman"/>
          <w:sz w:val="24"/>
          <w:szCs w:val="24"/>
        </w:rPr>
        <w:t xml:space="preserve">which is Newton’s equation in its canonical form for a single particle of mass </w:t>
      </w:r>
      <w:r w:rsidRPr="00305825">
        <w:rPr>
          <w:rFonts w:eastAsiaTheme="minorEastAsia" w:cs="Times New Roman"/>
          <w:i/>
          <w:sz w:val="24"/>
          <w:szCs w:val="24"/>
        </w:rPr>
        <w:t>M</w:t>
      </w:r>
      <w:r w:rsidR="00305825" w:rsidRPr="00305825">
        <w:rPr>
          <w:rFonts w:eastAsiaTheme="minorEastAsia" w:cs="Times New Roman"/>
          <w:sz w:val="24"/>
          <w:szCs w:val="24"/>
        </w:rPr>
        <w:t xml:space="preserve">, described by a radius </w:t>
      </w:r>
      <w:r w:rsidRPr="00305825">
        <w:rPr>
          <w:rFonts w:eastAsiaTheme="minorEastAsia" w:cs="Times New Roman"/>
          <w:sz w:val="24"/>
          <w:szCs w:val="24"/>
        </w:rPr>
        <w:t xml:space="preserve">vector which coincides with the center of mass </w:t>
      </w:r>
      <w:r w:rsidRPr="00305825">
        <w:rPr>
          <w:rFonts w:eastAsiaTheme="minorEastAsia" w:cs="Times New Roman"/>
          <w:b/>
          <w:i/>
          <w:sz w:val="24"/>
          <w:szCs w:val="24"/>
        </w:rPr>
        <w:t>R</w:t>
      </w:r>
      <w:r w:rsidRPr="00305825">
        <w:rPr>
          <w:rFonts w:eastAsiaTheme="minorEastAsia" w:cs="Times New Roman"/>
          <w:sz w:val="24"/>
          <w:szCs w:val="24"/>
        </w:rPr>
        <w:t>. Otherwise stated, the center of mass moves as if the net external force were acting on the entire mass of the system concentrated in the center of mass. Internal forces, due to Newton’s third law of motion, have no effect on the center of mass dynamics.</w:t>
      </w:r>
      <w:r w:rsidR="00E02ED6" w:rsidRPr="00305825">
        <w:rPr>
          <w:rFonts w:eastAsiaTheme="minorEastAsia" w:cs="Times New Roman"/>
          <w:sz w:val="24"/>
          <w:szCs w:val="24"/>
        </w:rPr>
        <w:t xml:space="preserve"> For a detaile</w:t>
      </w:r>
      <w:r w:rsidR="00800DD2" w:rsidRPr="00305825">
        <w:rPr>
          <w:rFonts w:eastAsiaTheme="minorEastAsia" w:cs="Times New Roman"/>
          <w:sz w:val="24"/>
          <w:szCs w:val="24"/>
        </w:rPr>
        <w:t>d</w:t>
      </w:r>
      <w:r w:rsidR="00E02ED6" w:rsidRPr="00305825">
        <w:rPr>
          <w:rFonts w:eastAsiaTheme="minorEastAsia" w:cs="Times New Roman"/>
          <w:sz w:val="24"/>
          <w:szCs w:val="24"/>
        </w:rPr>
        <w:t xml:space="preserve"> description of the topic see </w:t>
      </w:r>
      <w:r w:rsidR="00083638" w:rsidRPr="00305825">
        <w:rPr>
          <w:rFonts w:eastAsiaTheme="minorEastAsia" w:cs="Times New Roman"/>
          <w:sz w:val="24"/>
          <w:szCs w:val="24"/>
        </w:rPr>
        <w:fldChar w:fldCharType="begin" w:fldLock="1"/>
      </w:r>
      <w:r w:rsidR="00083638" w:rsidRPr="00305825">
        <w:rPr>
          <w:rFonts w:eastAsiaTheme="minorEastAsia" w:cs="Times New Roman"/>
          <w:sz w:val="24"/>
          <w:szCs w:val="24"/>
        </w:rPr>
        <w:instrText>ADDIN CSL_CITATION { "citationItems" : [ { "id" : "ITEM-1", "itemData" : { "author" : [ { "dropping-particle" : "", "family" : "Goldstein", "given" : "H.", "non-dropping-particle" : "", "parse-names" : false, "suffix" : "" }, { "dropping-particle" : "", "family" : "Poole", "given" : "C.", "non-dropping-particle" : "", "parse-names" : false, "suffix" : "" }, { "dropping-particle" : "", "family" : "Safko", "given" : "J.", "non-dropping-particle" : "", "parse-names" : false, "suffix" : "" } ], "edition" : "3rd", "id" : "ITEM-1", "issued" : { "date-parts" : [ [ "2002" ] ] }, "publisher" : "Pearson Education Ltd.", "title" : "Classical Mechanics", "type" : "book" }, "uris" : [ "http://www.mendeley.com/documents/?uuid=85d3d33d-108c-4c6f-8793-4224ea47bfd7" ] } ], "mendeley" : { "formattedCitation" : "(Goldstein et al., 2002)", "plainTextFormattedCitation" : "(Goldstein et al., 2002)", "previouslyFormattedCitation" : "(Goldstein et al., 2002)" }, "properties" : { "noteIndex" : 0 }, "schema" : "https://github.com/citation-style-language/schema/raw/master/csl-citation.json" }</w:instrText>
      </w:r>
      <w:r w:rsidR="00083638" w:rsidRPr="00305825">
        <w:rPr>
          <w:rFonts w:eastAsiaTheme="minorEastAsia" w:cs="Times New Roman"/>
          <w:sz w:val="24"/>
          <w:szCs w:val="24"/>
        </w:rPr>
        <w:fldChar w:fldCharType="separate"/>
      </w:r>
      <w:r w:rsidR="00083638" w:rsidRPr="00305825">
        <w:rPr>
          <w:rFonts w:eastAsiaTheme="minorEastAsia" w:cs="Times New Roman"/>
          <w:noProof/>
          <w:sz w:val="24"/>
          <w:szCs w:val="24"/>
        </w:rPr>
        <w:t>(Goldstein et al., 2002)</w:t>
      </w:r>
      <w:r w:rsidR="00083638" w:rsidRPr="00305825">
        <w:rPr>
          <w:rFonts w:eastAsiaTheme="minorEastAsia" w:cs="Times New Roman"/>
          <w:sz w:val="24"/>
          <w:szCs w:val="24"/>
        </w:rPr>
        <w:fldChar w:fldCharType="end"/>
      </w:r>
      <w:r w:rsidR="00082DB6">
        <w:rPr>
          <w:rFonts w:eastAsiaTheme="minorEastAsia" w:cs="Times New Roman"/>
          <w:sz w:val="24"/>
          <w:szCs w:val="24"/>
        </w:rPr>
        <w:t>.</w:t>
      </w:r>
    </w:p>
    <w:p w14:paraId="58BA51AB" w14:textId="77777777" w:rsidR="00083638" w:rsidRPr="00305825" w:rsidRDefault="00083638" w:rsidP="00083638">
      <w:pPr>
        <w:widowControl w:val="0"/>
        <w:autoSpaceDE w:val="0"/>
        <w:autoSpaceDN w:val="0"/>
        <w:adjustRightInd w:val="0"/>
        <w:spacing w:after="0" w:line="240" w:lineRule="auto"/>
        <w:ind w:left="480" w:hanging="480"/>
        <w:rPr>
          <w:rFonts w:eastAsiaTheme="minorEastAsia" w:cs="Times New Roman"/>
          <w:sz w:val="24"/>
          <w:szCs w:val="24"/>
        </w:rPr>
      </w:pPr>
    </w:p>
    <w:p w14:paraId="7EDBF51E" w14:textId="77777777" w:rsidR="00083638" w:rsidRPr="00305825" w:rsidRDefault="00083638" w:rsidP="00083638">
      <w:pPr>
        <w:widowControl w:val="0"/>
        <w:autoSpaceDE w:val="0"/>
        <w:autoSpaceDN w:val="0"/>
        <w:adjustRightInd w:val="0"/>
        <w:spacing w:after="0" w:line="240" w:lineRule="auto"/>
        <w:ind w:left="480" w:hanging="480"/>
        <w:rPr>
          <w:rFonts w:eastAsiaTheme="minorEastAsia" w:cs="Times New Roman"/>
          <w:sz w:val="24"/>
          <w:szCs w:val="24"/>
        </w:rPr>
      </w:pPr>
    </w:p>
    <w:p w14:paraId="57578498" w14:textId="77777777" w:rsidR="00083638" w:rsidRPr="00305825" w:rsidRDefault="00083638" w:rsidP="00083638">
      <w:pPr>
        <w:widowControl w:val="0"/>
        <w:autoSpaceDE w:val="0"/>
        <w:autoSpaceDN w:val="0"/>
        <w:adjustRightInd w:val="0"/>
        <w:spacing w:after="0" w:line="240" w:lineRule="auto"/>
        <w:ind w:left="480" w:hanging="480"/>
        <w:rPr>
          <w:rFonts w:cs="Times New Roman"/>
          <w:noProof/>
          <w:sz w:val="24"/>
          <w:szCs w:val="24"/>
        </w:rPr>
      </w:pPr>
      <w:r w:rsidRPr="00305825">
        <w:rPr>
          <w:rFonts w:eastAsiaTheme="minorEastAsia" w:cs="Times New Roman"/>
          <w:sz w:val="24"/>
          <w:szCs w:val="24"/>
        </w:rPr>
        <w:fldChar w:fldCharType="begin" w:fldLock="1"/>
      </w:r>
      <w:r w:rsidRPr="00305825">
        <w:rPr>
          <w:rFonts w:eastAsiaTheme="minorEastAsia" w:cs="Times New Roman"/>
          <w:sz w:val="24"/>
          <w:szCs w:val="24"/>
        </w:rPr>
        <w:instrText xml:space="preserve">ADDIN Mendeley Bibliography CSL_BIBLIOGRAPHY </w:instrText>
      </w:r>
      <w:r w:rsidRPr="00305825">
        <w:rPr>
          <w:rFonts w:eastAsiaTheme="minorEastAsia" w:cs="Times New Roman"/>
          <w:sz w:val="24"/>
          <w:szCs w:val="24"/>
        </w:rPr>
        <w:fldChar w:fldCharType="separate"/>
      </w:r>
      <w:r w:rsidRPr="00305825">
        <w:rPr>
          <w:rFonts w:cs="Times New Roman"/>
          <w:noProof/>
          <w:sz w:val="24"/>
          <w:szCs w:val="24"/>
        </w:rPr>
        <w:t xml:space="preserve">Goldstein, H., Poole, C., and Safko, J. (2002). </w:t>
      </w:r>
      <w:r w:rsidRPr="00305825">
        <w:rPr>
          <w:rFonts w:cs="Times New Roman"/>
          <w:i/>
          <w:iCs/>
          <w:noProof/>
          <w:sz w:val="24"/>
          <w:szCs w:val="24"/>
        </w:rPr>
        <w:t>Classical Mechanics</w:t>
      </w:r>
      <w:r w:rsidRPr="00305825">
        <w:rPr>
          <w:rFonts w:cs="Times New Roman"/>
          <w:noProof/>
          <w:sz w:val="24"/>
          <w:szCs w:val="24"/>
        </w:rPr>
        <w:t>. 3rd ed. Pearson Education Ltd.</w:t>
      </w:r>
    </w:p>
    <w:p w14:paraId="5386AF6F" w14:textId="77777777" w:rsidR="001F0272" w:rsidRDefault="00083638" w:rsidP="001F0272">
      <w:pPr>
        <w:spacing w:after="0" w:line="240" w:lineRule="auto"/>
        <w:rPr>
          <w:rFonts w:asciiTheme="minorHAnsi" w:eastAsiaTheme="minorEastAsia" w:hAnsiTheme="minorHAnsi"/>
        </w:rPr>
      </w:pPr>
      <w:r w:rsidRPr="00305825">
        <w:rPr>
          <w:rFonts w:eastAsiaTheme="minorEastAsia" w:cs="Times New Roman"/>
          <w:sz w:val="24"/>
          <w:szCs w:val="24"/>
        </w:rPr>
        <w:fldChar w:fldCharType="end"/>
      </w:r>
    </w:p>
    <w:sectPr w:rsidR="001F0272" w:rsidSect="001F0272">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3BD18" w14:textId="77777777" w:rsidR="001D48BF" w:rsidRDefault="001D48BF" w:rsidP="001F0272">
      <w:pPr>
        <w:spacing w:after="0" w:line="240" w:lineRule="auto"/>
      </w:pPr>
      <w:r>
        <w:separator/>
      </w:r>
    </w:p>
  </w:endnote>
  <w:endnote w:type="continuationSeparator" w:id="0">
    <w:p w14:paraId="4149670D" w14:textId="77777777" w:rsidR="001D48BF" w:rsidRDefault="001D48BF" w:rsidP="001F0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Yu Mincho">
    <w:altName w:val="游明朝"/>
    <w:panose1 w:val="00000000000000000000"/>
    <w:charset w:val="80"/>
    <w:family w:val="roman"/>
    <w:notTrueType/>
    <w:pitch w:val="default"/>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2F061" w14:textId="77777777" w:rsidR="001D48BF" w:rsidRDefault="001D48BF" w:rsidP="001F0272">
      <w:pPr>
        <w:spacing w:after="0" w:line="240" w:lineRule="auto"/>
      </w:pPr>
      <w:r>
        <w:separator/>
      </w:r>
    </w:p>
  </w:footnote>
  <w:footnote w:type="continuationSeparator" w:id="0">
    <w:p w14:paraId="62020784" w14:textId="77777777" w:rsidR="001D48BF" w:rsidRDefault="001D48BF" w:rsidP="001F02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M2N7U0MjAwNDY1NDBW0lEKTi0uzszPAykwNK4FAJ5oQqstAAAA"/>
  </w:docVars>
  <w:rsids>
    <w:rsidRoot w:val="003E3D2B"/>
    <w:rsid w:val="00082DB6"/>
    <w:rsid w:val="00083638"/>
    <w:rsid w:val="00090399"/>
    <w:rsid w:val="000A1314"/>
    <w:rsid w:val="000B03CB"/>
    <w:rsid w:val="001D48BF"/>
    <w:rsid w:val="001F0272"/>
    <w:rsid w:val="001F42BB"/>
    <w:rsid w:val="0024201F"/>
    <w:rsid w:val="002A3F06"/>
    <w:rsid w:val="00305825"/>
    <w:rsid w:val="003170B5"/>
    <w:rsid w:val="00327798"/>
    <w:rsid w:val="00380BC6"/>
    <w:rsid w:val="003826BA"/>
    <w:rsid w:val="003E3D2B"/>
    <w:rsid w:val="00555770"/>
    <w:rsid w:val="005D7485"/>
    <w:rsid w:val="006472CB"/>
    <w:rsid w:val="00800DD2"/>
    <w:rsid w:val="00804E23"/>
    <w:rsid w:val="00890B85"/>
    <w:rsid w:val="00946566"/>
    <w:rsid w:val="00B32A3D"/>
    <w:rsid w:val="00B62EB3"/>
    <w:rsid w:val="00B764D0"/>
    <w:rsid w:val="00CC0C4C"/>
    <w:rsid w:val="00D51710"/>
    <w:rsid w:val="00D56D34"/>
    <w:rsid w:val="00DF6D50"/>
    <w:rsid w:val="00E02ED6"/>
    <w:rsid w:val="00E104DE"/>
    <w:rsid w:val="00E66DA1"/>
    <w:rsid w:val="00FA0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2320DE"/>
  <w15:docId w15:val="{8A6FF682-B9CD-478A-82AD-6F7CA350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946566"/>
    <w:pPr>
      <w:spacing w:line="360" w:lineRule="auto"/>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next w:val="Normale"/>
    <w:link w:val="SottotitoloCarattere"/>
    <w:uiPriority w:val="11"/>
    <w:qFormat/>
    <w:rsid w:val="00890B85"/>
    <w:pPr>
      <w:keepNext/>
      <w:numPr>
        <w:ilvl w:val="1"/>
      </w:numPr>
      <w:spacing w:line="240" w:lineRule="auto"/>
    </w:pPr>
    <w:rPr>
      <w:rFonts w:ascii="Century Schoolbook" w:eastAsiaTheme="minorEastAsia" w:hAnsi="Century Schoolbook"/>
      <w:color w:val="5A5A5A" w:themeColor="text1" w:themeTint="A5"/>
      <w:spacing w:val="15"/>
    </w:rPr>
  </w:style>
  <w:style w:type="character" w:customStyle="1" w:styleId="SottotitoloCarattere">
    <w:name w:val="Sottotitolo Carattere"/>
    <w:basedOn w:val="Carpredefinitoparagrafo"/>
    <w:link w:val="Sottotitolo"/>
    <w:uiPriority w:val="11"/>
    <w:rsid w:val="00890B85"/>
    <w:rPr>
      <w:rFonts w:ascii="Century Schoolbook" w:eastAsiaTheme="minorEastAsia" w:hAnsi="Century Schoolbook"/>
      <w:color w:val="5A5A5A" w:themeColor="text1" w:themeTint="A5"/>
      <w:spacing w:val="15"/>
    </w:rPr>
  </w:style>
  <w:style w:type="paragraph" w:styleId="Corpotesto">
    <w:name w:val="Body Text"/>
    <w:basedOn w:val="Normale"/>
    <w:link w:val="CorpotestoCarattere"/>
    <w:uiPriority w:val="99"/>
    <w:semiHidden/>
    <w:unhideWhenUsed/>
    <w:rsid w:val="006472CB"/>
    <w:pPr>
      <w:spacing w:after="120"/>
    </w:pPr>
  </w:style>
  <w:style w:type="character" w:customStyle="1" w:styleId="CorpotestoCarattere">
    <w:name w:val="Corpo testo Carattere"/>
    <w:basedOn w:val="Carpredefinitoparagrafo"/>
    <w:link w:val="Corpotesto"/>
    <w:uiPriority w:val="99"/>
    <w:semiHidden/>
    <w:rsid w:val="006472CB"/>
    <w:rPr>
      <w:rFonts w:ascii="Times New Roman" w:hAnsi="Times New Roman"/>
    </w:rPr>
  </w:style>
  <w:style w:type="paragraph" w:styleId="Testonotaapidipagina">
    <w:name w:val="footnote text"/>
    <w:basedOn w:val="Normale"/>
    <w:link w:val="TestonotaapidipaginaCarattere"/>
    <w:uiPriority w:val="99"/>
    <w:semiHidden/>
    <w:unhideWhenUsed/>
    <w:rsid w:val="001F0272"/>
    <w:pPr>
      <w:spacing w:after="0" w:line="240" w:lineRule="auto"/>
    </w:pPr>
    <w:rPr>
      <w:rFonts w:asciiTheme="minorHAnsi" w:hAnsiTheme="minorHAnsi"/>
      <w:sz w:val="20"/>
      <w:szCs w:val="20"/>
      <w:lang w:val="it-IT"/>
    </w:rPr>
  </w:style>
  <w:style w:type="character" w:customStyle="1" w:styleId="TestonotaapidipaginaCarattere">
    <w:name w:val="Testo nota a piè di pagina Carattere"/>
    <w:basedOn w:val="Carpredefinitoparagrafo"/>
    <w:link w:val="Testonotaapidipagina"/>
    <w:uiPriority w:val="99"/>
    <w:semiHidden/>
    <w:rsid w:val="001F0272"/>
    <w:rPr>
      <w:sz w:val="20"/>
      <w:szCs w:val="20"/>
      <w:lang w:val="it-IT"/>
    </w:rPr>
  </w:style>
  <w:style w:type="character" w:styleId="Rimandonotaapidipagina">
    <w:name w:val="footnote reference"/>
    <w:basedOn w:val="Carpredefinitoparagrafo"/>
    <w:uiPriority w:val="99"/>
    <w:semiHidden/>
    <w:unhideWhenUsed/>
    <w:rsid w:val="001F0272"/>
    <w:rPr>
      <w:vertAlign w:val="superscript"/>
    </w:rPr>
  </w:style>
  <w:style w:type="paragraph" w:styleId="Testofumetto">
    <w:name w:val="Balloon Text"/>
    <w:basedOn w:val="Normale"/>
    <w:link w:val="TestofumettoCarattere"/>
    <w:uiPriority w:val="99"/>
    <w:semiHidden/>
    <w:unhideWhenUsed/>
    <w:rsid w:val="00327798"/>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32779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5D623-FEF1-473C-B9BF-4E3D3497A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543</Words>
  <Characters>3098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Tesio</dc:creator>
  <cp:lastModifiedBy>Luigi Tesio</cp:lastModifiedBy>
  <cp:revision>2</cp:revision>
  <dcterms:created xsi:type="dcterms:W3CDTF">2019-09-07T14:25:00Z</dcterms:created>
  <dcterms:modified xsi:type="dcterms:W3CDTF">2019-09-07T14:25:00Z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http://www.zotero.org/styles/brain</vt:lpwstr>
  </property>
  <property fmtid="{D5CDD505-2E9C-101B-9397-08002B2CF9AE}" pid="9" name="Mendeley Recent Style Name 3_1">
    <vt:lpwstr>Brain</vt:lpwstr>
  </property>
  <property fmtid="{D5CDD505-2E9C-101B-9397-08002B2CF9AE}" pid="10" name="Mendeley Recent Style Id 4_1">
    <vt:lpwstr>http://www.zotero.org/styles/brain-stimulation</vt:lpwstr>
  </property>
  <property fmtid="{D5CDD505-2E9C-101B-9397-08002B2CF9AE}" pid="11" name="Mendeley Recent Style Name 4_1">
    <vt:lpwstr>Brain Stimulation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16th edition (author-date)</vt:lpwstr>
  </property>
  <property fmtid="{D5CDD505-2E9C-101B-9397-08002B2CF9AE}" pid="14" name="Mendeley Recent Style Id 6_1">
    <vt:lpwstr>http://www.zotero.org/styles/frontiers-in-aging-neuroscience</vt:lpwstr>
  </property>
  <property fmtid="{D5CDD505-2E9C-101B-9397-08002B2CF9AE}" pid="15" name="Mendeley Recent Style Name 6_1">
    <vt:lpwstr>Frontiers in Aging Neuroscience</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0c172255-a7ea-3676-9bc6-c5c26ccbc847</vt:lpwstr>
  </property>
  <property fmtid="{D5CDD505-2E9C-101B-9397-08002B2CF9AE}" pid="24" name="Mendeley Citation Style_1">
    <vt:lpwstr>http://www.zotero.org/styles/frontiers-in-aging-neuroscience</vt:lpwstr>
  </property>
</Properties>
</file>