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49A7E" w14:textId="77777777" w:rsidR="00B403D5" w:rsidRPr="002556D6" w:rsidRDefault="00B403D5" w:rsidP="009D1C5D">
      <w:pPr>
        <w:pStyle w:val="SupplementaryMaterial"/>
      </w:pPr>
      <w:bookmarkStart w:id="0" w:name="_GoBack"/>
      <w:bookmarkEnd w:id="0"/>
      <w:r w:rsidRPr="002556D6">
        <w:t>Supplemental file</w:t>
      </w:r>
      <w:r w:rsidR="006B7F20">
        <w:t xml:space="preserve"> S3</w:t>
      </w:r>
      <w:r w:rsidRPr="002556D6">
        <w:t>:</w:t>
      </w:r>
      <w:r w:rsidR="00926AA2">
        <w:t xml:space="preserve"> population pharmacokinetic model</w:t>
      </w:r>
      <w:r w:rsidRPr="002556D6">
        <w:t xml:space="preserve"> </w:t>
      </w:r>
    </w:p>
    <w:p w14:paraId="640793E9" w14:textId="77777777" w:rsidR="000C29AC"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 xml:space="preserve">This file summarises the construction of the population pharmacokinetic model used for the simulation part of the present manuscript. The </w:t>
      </w:r>
      <w:r w:rsidR="00145DA5" w:rsidRPr="009D1C5D">
        <w:rPr>
          <w:rFonts w:ascii="Times New Roman" w:hAnsi="Times New Roman"/>
          <w:sz w:val="24"/>
          <w:szCs w:val="24"/>
        </w:rPr>
        <w:t xml:space="preserve">paper reporting the model </w:t>
      </w:r>
      <w:r w:rsidRPr="009D1C5D">
        <w:rPr>
          <w:rFonts w:ascii="Times New Roman" w:hAnsi="Times New Roman"/>
          <w:sz w:val="24"/>
          <w:szCs w:val="24"/>
        </w:rPr>
        <w:t>has been submitted for publication (</w:t>
      </w:r>
      <w:r w:rsidRPr="009D1C5D">
        <w:rPr>
          <w:rFonts w:ascii="Times New Roman" w:hAnsi="Times New Roman"/>
          <w:i/>
          <w:sz w:val="24"/>
          <w:szCs w:val="24"/>
        </w:rPr>
        <w:t>VetCAST method for determination of the pharmacokinetic-pharmacodynamic cut-off v</w:t>
      </w:r>
      <w:r w:rsidR="00145DA5" w:rsidRPr="009D1C5D">
        <w:rPr>
          <w:rFonts w:ascii="Times New Roman" w:hAnsi="Times New Roman"/>
          <w:i/>
          <w:sz w:val="24"/>
          <w:szCs w:val="24"/>
        </w:rPr>
        <w:t>alues of florfenicol to support</w:t>
      </w:r>
      <w:r w:rsidRPr="009D1C5D">
        <w:rPr>
          <w:rFonts w:ascii="Times New Roman" w:hAnsi="Times New Roman"/>
          <w:i/>
          <w:sz w:val="24"/>
          <w:szCs w:val="24"/>
        </w:rPr>
        <w:t xml:space="preserve"> clinical breakpoints for florfenicol Antimicrobial Susceptibility Testing in cattle</w:t>
      </w:r>
      <w:r w:rsidRPr="009D1C5D">
        <w:rPr>
          <w:rFonts w:ascii="Times New Roman" w:hAnsi="Times New Roman"/>
          <w:sz w:val="24"/>
          <w:szCs w:val="24"/>
        </w:rPr>
        <w:t>,  P-L Toutain, P.K. Sidhu, P. Lees 2</w:t>
      </w:r>
      <w:r w:rsidR="000C29AC" w:rsidRPr="009D1C5D">
        <w:rPr>
          <w:rFonts w:ascii="Times New Roman" w:hAnsi="Times New Roman"/>
          <w:sz w:val="24"/>
          <w:szCs w:val="24"/>
        </w:rPr>
        <w:t xml:space="preserve">, A. </w:t>
      </w:r>
      <w:proofErr w:type="spellStart"/>
      <w:r w:rsidR="000C29AC" w:rsidRPr="009D1C5D">
        <w:rPr>
          <w:rFonts w:ascii="Times New Roman" w:hAnsi="Times New Roman"/>
          <w:sz w:val="24"/>
          <w:szCs w:val="24"/>
        </w:rPr>
        <w:t>Rassouli</w:t>
      </w:r>
      <w:proofErr w:type="spellEnd"/>
      <w:r w:rsidR="000C29AC" w:rsidRPr="009D1C5D">
        <w:rPr>
          <w:rFonts w:ascii="Times New Roman" w:hAnsi="Times New Roman"/>
          <w:sz w:val="24"/>
          <w:szCs w:val="24"/>
        </w:rPr>
        <w:t xml:space="preserve"> and L. Pelligand</w:t>
      </w:r>
      <w:r w:rsidR="007E7CB3">
        <w:rPr>
          <w:rFonts w:ascii="Times New Roman" w:hAnsi="Times New Roman"/>
          <w:sz w:val="24"/>
          <w:szCs w:val="24"/>
        </w:rPr>
        <w:t xml:space="preserve">, </w:t>
      </w:r>
      <w:r w:rsidR="007F0B8E">
        <w:rPr>
          <w:rFonts w:ascii="Times New Roman" w:hAnsi="Times New Roman"/>
          <w:sz w:val="24"/>
          <w:szCs w:val="24"/>
        </w:rPr>
        <w:t xml:space="preserve">in press in Frontiers in Microbiology, </w:t>
      </w:r>
      <w:r w:rsidR="007E7CB3" w:rsidRPr="007E7CB3">
        <w:rPr>
          <w:rFonts w:ascii="Times New Roman" w:hAnsi="Times New Roman"/>
          <w:sz w:val="24"/>
          <w:szCs w:val="24"/>
        </w:rPr>
        <w:t>DOI: 10.3389/fmicb.2019.01310</w:t>
      </w:r>
      <w:r w:rsidR="000C29AC" w:rsidRPr="007E7CB3">
        <w:rPr>
          <w:rFonts w:ascii="Times New Roman" w:hAnsi="Times New Roman"/>
          <w:sz w:val="24"/>
          <w:szCs w:val="24"/>
        </w:rPr>
        <w:t>)</w:t>
      </w:r>
    </w:p>
    <w:p w14:paraId="11C23E12" w14:textId="77777777" w:rsidR="009D1C5D" w:rsidRDefault="009D1C5D" w:rsidP="009D1C5D">
      <w:pPr>
        <w:pStyle w:val="Heading1"/>
        <w:numPr>
          <w:ilvl w:val="0"/>
          <w:numId w:val="1"/>
        </w:numPr>
        <w:spacing w:after="0"/>
      </w:pPr>
      <w:r>
        <w:t>Source of the plasma concentration-time curves</w:t>
      </w:r>
    </w:p>
    <w:p w14:paraId="63D3E5A5" w14:textId="225535C6" w:rsidR="002556D6"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 xml:space="preserve">Individual calf PK data from three different sources (A=10, B=32 C=8) were used for the POP PK analysis. Source A consisted of 10 calves from </w:t>
      </w:r>
      <w:proofErr w:type="gramStart"/>
      <w:r w:rsidRPr="009D1C5D">
        <w:rPr>
          <w:rFonts w:ascii="Times New Roman" w:hAnsi="Times New Roman"/>
          <w:sz w:val="24"/>
          <w:szCs w:val="24"/>
        </w:rPr>
        <w:t>a  published</w:t>
      </w:r>
      <w:proofErr w:type="gramEnd"/>
      <w:r w:rsidRPr="009D1C5D">
        <w:rPr>
          <w:rFonts w:ascii="Times New Roman" w:hAnsi="Times New Roman"/>
          <w:sz w:val="24"/>
          <w:szCs w:val="24"/>
        </w:rPr>
        <w:t xml:space="preserve"> study </w:t>
      </w:r>
      <w:r w:rsidRPr="009D1C5D">
        <w:rPr>
          <w:rFonts w:ascii="Times New Roman" w:hAnsi="Times New Roman" w:cs="Times New Roman"/>
          <w:sz w:val="24"/>
          <w:szCs w:val="24"/>
        </w:rPr>
        <w:t>(Sidhu et al., 2014)</w:t>
      </w:r>
      <w:r w:rsidRPr="009D1C5D">
        <w:rPr>
          <w:rFonts w:ascii="Times New Roman" w:hAnsi="Times New Roman"/>
          <w:sz w:val="24"/>
          <w:szCs w:val="24"/>
        </w:rPr>
        <w:t>. Source B was a drug company (Nor</w:t>
      </w:r>
      <w:r w:rsidR="000C29AC" w:rsidRPr="009D1C5D">
        <w:rPr>
          <w:rFonts w:ascii="Times New Roman" w:hAnsi="Times New Roman"/>
          <w:sz w:val="24"/>
          <w:szCs w:val="24"/>
        </w:rPr>
        <w:t>brook Laboratories Limited); it</w:t>
      </w:r>
      <w:r w:rsidRPr="009D1C5D">
        <w:rPr>
          <w:rFonts w:ascii="Times New Roman" w:hAnsi="Times New Roman"/>
          <w:sz w:val="24"/>
          <w:szCs w:val="24"/>
        </w:rPr>
        <w:t xml:space="preserve"> comprised  16 calves enrolled in a cross-over  bioequivalence study (</w:t>
      </w:r>
      <w:bookmarkStart w:id="1" w:name="_Hlk523733974"/>
      <w:r w:rsidRPr="009D1C5D">
        <w:rPr>
          <w:rFonts w:ascii="Times New Roman" w:hAnsi="Times New Roman"/>
          <w:sz w:val="24"/>
          <w:szCs w:val="24"/>
        </w:rPr>
        <w:t xml:space="preserve">MSD </w:t>
      </w:r>
      <w:proofErr w:type="spellStart"/>
      <w:r w:rsidRPr="009D1C5D">
        <w:rPr>
          <w:rFonts w:ascii="Times New Roman" w:hAnsi="Times New Roman"/>
          <w:sz w:val="24"/>
          <w:szCs w:val="24"/>
        </w:rPr>
        <w:t>Nuflor</w:t>
      </w:r>
      <w:proofErr w:type="spellEnd"/>
      <w:r w:rsidRPr="009D1C5D">
        <w:rPr>
          <w:rFonts w:ascii="Times New Roman" w:hAnsi="Times New Roman"/>
          <w:sz w:val="24"/>
          <w:szCs w:val="24"/>
        </w:rPr>
        <w:t>®</w:t>
      </w:r>
      <w:bookmarkEnd w:id="1"/>
      <w:r w:rsidRPr="009D1C5D">
        <w:rPr>
          <w:rFonts w:ascii="Times New Roman" w:hAnsi="Times New Roman"/>
          <w:sz w:val="24"/>
          <w:szCs w:val="24"/>
        </w:rPr>
        <w:t xml:space="preserve"> and </w:t>
      </w:r>
      <w:bookmarkStart w:id="2" w:name="_Hlk523668071"/>
      <w:proofErr w:type="spellStart"/>
      <w:r w:rsidRPr="009D1C5D">
        <w:rPr>
          <w:rFonts w:ascii="Times New Roman" w:hAnsi="Times New Roman"/>
          <w:sz w:val="24"/>
          <w:szCs w:val="24"/>
        </w:rPr>
        <w:t>Norbrook</w:t>
      </w:r>
      <w:proofErr w:type="spellEnd"/>
      <w:r w:rsidRPr="009D1C5D">
        <w:rPr>
          <w:rFonts w:ascii="Times New Roman" w:hAnsi="Times New Roman"/>
          <w:sz w:val="24"/>
          <w:szCs w:val="24"/>
        </w:rPr>
        <w:t xml:space="preserve"> </w:t>
      </w:r>
      <w:proofErr w:type="spellStart"/>
      <w:r w:rsidRPr="009D1C5D">
        <w:rPr>
          <w:rFonts w:ascii="Times New Roman" w:hAnsi="Times New Roman"/>
          <w:sz w:val="24"/>
          <w:szCs w:val="24"/>
        </w:rPr>
        <w:t>Norfenicol</w:t>
      </w:r>
      <w:proofErr w:type="spellEnd"/>
      <w:r w:rsidRPr="009D1C5D">
        <w:rPr>
          <w:rFonts w:ascii="Times New Roman" w:hAnsi="Times New Roman"/>
          <w:sz w:val="24"/>
          <w:szCs w:val="24"/>
        </w:rPr>
        <w:t>®</w:t>
      </w:r>
      <w:bookmarkEnd w:id="2"/>
      <w:r w:rsidRPr="009D1C5D">
        <w:rPr>
          <w:rFonts w:ascii="Times New Roman" w:hAnsi="Times New Roman"/>
          <w:sz w:val="24"/>
          <w:szCs w:val="24"/>
        </w:rPr>
        <w:t xml:space="preserve"> formulations)</w:t>
      </w:r>
      <w:r w:rsidR="000C29AC" w:rsidRPr="009D1C5D">
        <w:rPr>
          <w:rFonts w:ascii="Times New Roman" w:hAnsi="Times New Roman"/>
          <w:sz w:val="24"/>
          <w:szCs w:val="24"/>
        </w:rPr>
        <w:t>;</w:t>
      </w:r>
      <w:r w:rsidRPr="009D1C5D">
        <w:rPr>
          <w:rFonts w:ascii="Times New Roman" w:hAnsi="Times New Roman"/>
          <w:sz w:val="24"/>
          <w:szCs w:val="24"/>
        </w:rPr>
        <w:t xml:space="preserve"> </w:t>
      </w:r>
      <w:proofErr w:type="spellStart"/>
      <w:r w:rsidRPr="009D1C5D">
        <w:rPr>
          <w:rFonts w:ascii="Times New Roman" w:hAnsi="Times New Roman"/>
          <w:sz w:val="24"/>
          <w:szCs w:val="24"/>
        </w:rPr>
        <w:t>Norfenicol</w:t>
      </w:r>
      <w:proofErr w:type="spellEnd"/>
      <w:r w:rsidR="000C29AC" w:rsidRPr="009D1C5D">
        <w:rPr>
          <w:rFonts w:ascii="Times New Roman" w:hAnsi="Times New Roman"/>
          <w:sz w:val="24"/>
          <w:szCs w:val="24"/>
        </w:rPr>
        <w:t xml:space="preserve">® being a FDA and EMA approved </w:t>
      </w:r>
      <w:r w:rsidRPr="009D1C5D">
        <w:rPr>
          <w:rFonts w:ascii="Times New Roman" w:hAnsi="Times New Roman"/>
          <w:sz w:val="24"/>
          <w:szCs w:val="24"/>
        </w:rPr>
        <w:t xml:space="preserve"> generic product </w:t>
      </w:r>
      <w:r w:rsidRPr="009D1C5D">
        <w:rPr>
          <w:rFonts w:ascii="Times New Roman" w:hAnsi="Times New Roman" w:cs="Times New Roman"/>
          <w:sz w:val="24"/>
          <w:szCs w:val="24"/>
        </w:rPr>
        <w:t>(Anonymous, 2018a)</w:t>
      </w:r>
      <w:r w:rsidRPr="009D1C5D">
        <w:rPr>
          <w:rFonts w:ascii="Times New Roman" w:hAnsi="Times New Roman"/>
          <w:sz w:val="24"/>
          <w:szCs w:val="24"/>
        </w:rPr>
        <w:t xml:space="preserve">.  The 32 data sets were provided by 16 sets for each product, so that for this analysis each of these calves provided two data sets. The third source comprised data from 8 calves in an unpublished study (Lees et al). All calves were in good health and all received a subcutaneous florfenicol dose of 40 mg/kg. </w:t>
      </w:r>
    </w:p>
    <w:p w14:paraId="531DD21E" w14:textId="77777777" w:rsidR="009D1C5D" w:rsidRPr="009D1C5D" w:rsidRDefault="009D1C5D" w:rsidP="009D1C5D">
      <w:pPr>
        <w:pStyle w:val="Heading1"/>
        <w:numPr>
          <w:ilvl w:val="0"/>
          <w:numId w:val="1"/>
        </w:numPr>
        <w:spacing w:after="0"/>
      </w:pPr>
      <w:r>
        <w:t>Population pharmacokinetic model</w:t>
      </w:r>
    </w:p>
    <w:p w14:paraId="3A12A74F"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 xml:space="preserve">Pharmacokinetic data analyses were carried out using Phoenix® </w:t>
      </w:r>
      <w:proofErr w:type="spellStart"/>
      <w:r w:rsidRPr="009D1C5D">
        <w:rPr>
          <w:rFonts w:ascii="Times New Roman" w:hAnsi="Times New Roman"/>
          <w:sz w:val="24"/>
          <w:szCs w:val="24"/>
        </w:rPr>
        <w:t>WinNonlin</w:t>
      </w:r>
      <w:proofErr w:type="spellEnd"/>
      <w:r w:rsidRPr="009D1C5D">
        <w:rPr>
          <w:rFonts w:ascii="Times New Roman" w:hAnsi="Times New Roman"/>
          <w:sz w:val="24"/>
          <w:szCs w:val="24"/>
        </w:rPr>
        <w:t xml:space="preserve">® 8.0 (Pharsight Corporation St Louis, MO, USA). Data sets obtained from the three sources were </w:t>
      </w:r>
      <w:proofErr w:type="spellStart"/>
      <w:r w:rsidRPr="009D1C5D">
        <w:rPr>
          <w:rFonts w:ascii="Times New Roman" w:hAnsi="Times New Roman"/>
          <w:sz w:val="24"/>
          <w:szCs w:val="24"/>
        </w:rPr>
        <w:t>analyzed</w:t>
      </w:r>
      <w:proofErr w:type="spellEnd"/>
      <w:r w:rsidRPr="009D1C5D">
        <w:rPr>
          <w:rFonts w:ascii="Times New Roman" w:hAnsi="Times New Roman"/>
          <w:sz w:val="24"/>
          <w:szCs w:val="24"/>
        </w:rPr>
        <w:t xml:space="preserve"> using a Non-Linear Mixed Effect model (NLME). A two-compartmental model </w:t>
      </w:r>
      <w:r w:rsidR="00145DA5" w:rsidRPr="009D1C5D">
        <w:rPr>
          <w:rFonts w:ascii="Times New Roman" w:hAnsi="Times New Roman"/>
          <w:sz w:val="24"/>
          <w:szCs w:val="24"/>
        </w:rPr>
        <w:t xml:space="preserve">(macro constant parametrization) </w:t>
      </w:r>
      <w:r w:rsidR="000C29AC" w:rsidRPr="009D1C5D">
        <w:rPr>
          <w:rFonts w:ascii="Times New Roman" w:hAnsi="Times New Roman"/>
          <w:sz w:val="24"/>
          <w:szCs w:val="24"/>
        </w:rPr>
        <w:t xml:space="preserve">was selected </w:t>
      </w:r>
      <w:r w:rsidRPr="009D1C5D">
        <w:rPr>
          <w:rFonts w:ascii="Times New Roman" w:hAnsi="Times New Roman"/>
          <w:sz w:val="24"/>
          <w:szCs w:val="24"/>
        </w:rPr>
        <w:t>based on the Likelihood Ratio Test (LRT), the Akaike Information Criterion (AIC) and inspection of different</w:t>
      </w:r>
      <w:r w:rsidR="000C29AC" w:rsidRPr="009D1C5D">
        <w:rPr>
          <w:rFonts w:ascii="Times New Roman" w:hAnsi="Times New Roman"/>
          <w:sz w:val="24"/>
          <w:szCs w:val="24"/>
        </w:rPr>
        <w:t xml:space="preserve"> diagnostic plots.</w:t>
      </w:r>
    </w:p>
    <w:p w14:paraId="78A95671"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The parametrization of the structural two-compartmental model was of the closed form (Equation 1):</w:t>
      </w:r>
    </w:p>
    <w:p w14:paraId="1366179A" w14:textId="77777777" w:rsidR="002556D6" w:rsidRPr="009D1C5D" w:rsidRDefault="002556D6" w:rsidP="009D1C5D">
      <w:pPr>
        <w:pStyle w:val="Caption"/>
        <w:spacing w:after="0"/>
        <w:jc w:val="center"/>
        <w:rPr>
          <w:rFonts w:cstheme="minorBidi"/>
        </w:rPr>
      </w:pPr>
      <m:oMath>
        <m:r>
          <m:rPr>
            <m:sty m:val="bi"/>
          </m:rPr>
          <w:rPr>
            <w:rFonts w:ascii="Cambria Math" w:hAnsi="Cambria Math" w:cstheme="minorBidi"/>
          </w:rPr>
          <m:t>C</m:t>
        </m:r>
        <m:d>
          <m:dPr>
            <m:ctrlPr>
              <w:rPr>
                <w:rFonts w:ascii="Cambria Math" w:hAnsi="Cambria Math"/>
              </w:rPr>
            </m:ctrlPr>
          </m:dPr>
          <m:e>
            <m:r>
              <m:rPr>
                <m:sty m:val="bi"/>
              </m:rPr>
              <w:rPr>
                <w:rFonts w:ascii="Cambria Math" w:hAnsi="Cambria Math"/>
              </w:rPr>
              <m:t>t</m:t>
            </m:r>
          </m:e>
        </m:d>
        <m:r>
          <m:rPr>
            <m:sty m:val="b"/>
          </m:rPr>
          <w:rPr>
            <w:rFonts w:ascii="Cambria Math" w:hAnsi="Cambria Math"/>
          </w:rPr>
          <m:t>=</m:t>
        </m:r>
        <m:r>
          <m:rPr>
            <m:sty m:val="bi"/>
          </m:rPr>
          <w:rPr>
            <w:rFonts w:ascii="Cambria Math" w:hAnsi="Cambria Math"/>
          </w:rPr>
          <m:t>A</m:t>
        </m:r>
        <m:r>
          <m:rPr>
            <m:sty m:val="b"/>
          </m:rPr>
          <w:rPr>
            <w:rFonts w:ascii="Cambria Math" w:hAnsi="Cambria Math"/>
          </w:rPr>
          <m:t>×</m:t>
        </m:r>
        <m:r>
          <m:rPr>
            <m:sty m:val="bi"/>
          </m:rPr>
          <w:rPr>
            <w:rFonts w:ascii="Cambria Math" w:hAnsi="Cambria Math"/>
          </w:rPr>
          <m:t>EXP</m:t>
        </m:r>
        <m:d>
          <m:dPr>
            <m:ctrlPr>
              <w:rPr>
                <w:rFonts w:ascii="Cambria Math" w:hAnsi="Cambria Math"/>
              </w:rPr>
            </m:ctrlPr>
          </m:dPr>
          <m:e>
            <m:r>
              <m:rPr>
                <m:sty m:val="b"/>
              </m:rPr>
              <w:rPr>
                <w:rFonts w:ascii="Cambria Math" w:hAnsi="Cambria Math"/>
              </w:rPr>
              <m:t>-</m:t>
            </m:r>
            <m:r>
              <m:rPr>
                <m:sty m:val="bi"/>
              </m:rPr>
              <w:rPr>
                <w:rFonts w:ascii="Cambria Math" w:hAnsi="Cambria Math"/>
              </w:rPr>
              <m:t>Alpha</m:t>
            </m:r>
            <m:r>
              <m:rPr>
                <m:sty m:val="b"/>
              </m:rPr>
              <w:rPr>
                <w:rFonts w:ascii="Cambria Math" w:hAnsi="Cambria Math"/>
              </w:rPr>
              <m:t>×</m:t>
            </m:r>
            <m:r>
              <m:rPr>
                <m:sty m:val="bi"/>
              </m:rPr>
              <w:rPr>
                <w:rFonts w:ascii="Cambria Math" w:hAnsi="Cambria Math"/>
              </w:rPr>
              <m:t>t</m:t>
            </m:r>
          </m:e>
        </m:d>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EXP</m:t>
        </m:r>
        <m:d>
          <m:dPr>
            <m:ctrlPr>
              <w:rPr>
                <w:rFonts w:ascii="Cambria Math" w:hAnsi="Cambria Math"/>
              </w:rPr>
            </m:ctrlPr>
          </m:dPr>
          <m:e>
            <m:r>
              <m:rPr>
                <m:sty m:val="b"/>
              </m:rPr>
              <w:rPr>
                <w:rFonts w:ascii="Cambria Math" w:hAnsi="Cambria Math"/>
              </w:rPr>
              <m:t>-</m:t>
            </m:r>
            <m:r>
              <m:rPr>
                <m:sty m:val="bi"/>
              </m:rPr>
              <w:rPr>
                <w:rFonts w:ascii="Cambria Math" w:hAnsi="Cambria Math"/>
              </w:rPr>
              <m:t>Beta</m:t>
            </m:r>
            <m:r>
              <m:rPr>
                <m:sty m:val="b"/>
              </m:rPr>
              <w:rPr>
                <w:rFonts w:ascii="Cambria Math" w:hAnsi="Cambria Math"/>
              </w:rPr>
              <m:t>×</m:t>
            </m:r>
            <m:r>
              <m:rPr>
                <m:sty m:val="bi"/>
              </m:rPr>
              <w:rPr>
                <w:rFonts w:ascii="Cambria Math" w:hAnsi="Cambria Math"/>
              </w:rPr>
              <m:t>t</m:t>
            </m:r>
          </m:e>
        </m:d>
        <m:r>
          <m:rPr>
            <m:sty m:val="b"/>
          </m:rPr>
          <w:rPr>
            <w:rFonts w:ascii="Cambria Math" w:hAnsi="Cambria Math"/>
          </w:rPr>
          <m:t>-(</m:t>
        </m:r>
        <m:r>
          <m:rPr>
            <m:sty m:val="bi"/>
          </m:rPr>
          <w:rPr>
            <w:rFonts w:ascii="Cambria Math" w:hAnsi="Cambria Math"/>
          </w:rPr>
          <m:t>A</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EXP</m:t>
        </m:r>
        <m:r>
          <m:rPr>
            <m:sty m:val="b"/>
          </m:rPr>
          <w:rPr>
            <w:rFonts w:ascii="Cambria Math" w:hAnsi="Cambria Math"/>
          </w:rPr>
          <m:t>(-</m:t>
        </m:r>
        <m:r>
          <m:rPr>
            <m:sty m:val="bi"/>
          </m:rPr>
          <w:rPr>
            <w:rFonts w:ascii="Cambria Math" w:hAnsi="Cambria Math"/>
          </w:rPr>
          <m:t>Ka</m:t>
        </m:r>
        <m:r>
          <m:rPr>
            <m:sty m:val="b"/>
          </m:rPr>
          <w:rPr>
            <w:rFonts w:ascii="Cambria Math" w:hAnsi="Cambria Math"/>
          </w:rPr>
          <m:t>×</m:t>
        </m:r>
        <m:r>
          <m:rPr>
            <m:sty m:val="bi"/>
          </m:rPr>
          <w:rPr>
            <w:rFonts w:ascii="Cambria Math" w:hAnsi="Cambria Math"/>
          </w:rPr>
          <m:t>t</m:t>
        </m:r>
        <m:r>
          <m:rPr>
            <m:sty m:val="b"/>
          </m:rPr>
          <w:rPr>
            <w:rFonts w:ascii="Cambria Math" w:hAnsi="Cambria Math"/>
          </w:rPr>
          <m:t>)</m:t>
        </m:r>
      </m:oMath>
      <w:r w:rsidRPr="009D1C5D">
        <w:rPr>
          <w:rFonts w:cstheme="minorBidi"/>
        </w:rPr>
        <w:tab/>
      </w:r>
      <w:r w:rsidRPr="009D1C5D">
        <w:rPr>
          <w:rFonts w:cstheme="minorBidi"/>
        </w:rPr>
        <w:tab/>
      </w:r>
      <w:r w:rsidRPr="009D1C5D">
        <w:rPr>
          <w:rFonts w:cstheme="minorBidi"/>
          <w:b w:val="0"/>
          <w:bCs w:val="0"/>
        </w:rPr>
        <w:t>Eq:1</w:t>
      </w:r>
    </w:p>
    <w:p w14:paraId="4EA42DCF"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 xml:space="preserve">where </w:t>
      </w:r>
      <w:proofErr w:type="spellStart"/>
      <w:r w:rsidRPr="009D1C5D">
        <w:rPr>
          <w:rFonts w:ascii="Times New Roman" w:hAnsi="Times New Roman"/>
          <w:sz w:val="24"/>
          <w:szCs w:val="24"/>
        </w:rPr>
        <w:t>macroconstants</w:t>
      </w:r>
      <w:proofErr w:type="spellEnd"/>
      <w:r w:rsidRPr="009D1C5D">
        <w:rPr>
          <w:rFonts w:ascii="Times New Roman" w:hAnsi="Times New Roman"/>
          <w:sz w:val="24"/>
          <w:szCs w:val="24"/>
        </w:rPr>
        <w:t xml:space="preserve"> </w:t>
      </w:r>
      <w:r w:rsidRPr="009D1C5D">
        <w:rPr>
          <w:rFonts w:ascii="Times New Roman" w:hAnsi="Times New Roman"/>
          <w:i/>
          <w:sz w:val="24"/>
          <w:szCs w:val="24"/>
        </w:rPr>
        <w:t>t</w:t>
      </w:r>
      <w:r w:rsidR="000C29AC" w:rsidRPr="009D1C5D">
        <w:rPr>
          <w:rFonts w:ascii="Times New Roman" w:hAnsi="Times New Roman"/>
          <w:sz w:val="24"/>
          <w:szCs w:val="24"/>
        </w:rPr>
        <w:t xml:space="preserve"> is the time (h)</w:t>
      </w:r>
      <w:r w:rsidRPr="009D1C5D">
        <w:rPr>
          <w:rFonts w:ascii="Times New Roman" w:hAnsi="Times New Roman"/>
          <w:sz w:val="24"/>
          <w:szCs w:val="24"/>
        </w:rPr>
        <w:t xml:space="preserve">,  </w:t>
      </w:r>
      <w:r w:rsidRPr="009D1C5D">
        <w:rPr>
          <w:rFonts w:ascii="Times New Roman" w:hAnsi="Times New Roman"/>
          <w:i/>
          <w:sz w:val="24"/>
          <w:szCs w:val="24"/>
        </w:rPr>
        <w:t>A</w:t>
      </w:r>
      <w:r w:rsidRPr="009D1C5D">
        <w:rPr>
          <w:rFonts w:ascii="Times New Roman" w:hAnsi="Times New Roman"/>
          <w:sz w:val="24"/>
          <w:szCs w:val="24"/>
        </w:rPr>
        <w:t xml:space="preserve"> and </w:t>
      </w:r>
      <w:r w:rsidRPr="009D1C5D">
        <w:rPr>
          <w:rFonts w:ascii="Times New Roman" w:hAnsi="Times New Roman"/>
          <w:i/>
          <w:sz w:val="24"/>
          <w:szCs w:val="24"/>
        </w:rPr>
        <w:t>B</w:t>
      </w:r>
      <w:r w:rsidRPr="009D1C5D">
        <w:rPr>
          <w:rFonts w:ascii="Times New Roman" w:hAnsi="Times New Roman"/>
          <w:sz w:val="24"/>
          <w:szCs w:val="24"/>
        </w:rPr>
        <w:t xml:space="preserve"> (µg/ml) are intercepts and </w:t>
      </w:r>
      <w:r w:rsidRPr="009D1C5D">
        <w:rPr>
          <w:rFonts w:ascii="Times New Roman" w:hAnsi="Times New Roman"/>
          <w:i/>
          <w:sz w:val="24"/>
          <w:szCs w:val="24"/>
        </w:rPr>
        <w:t>Alpha</w:t>
      </w:r>
      <w:r w:rsidRPr="009D1C5D">
        <w:rPr>
          <w:rFonts w:ascii="Times New Roman" w:hAnsi="Times New Roman"/>
          <w:sz w:val="24"/>
          <w:szCs w:val="24"/>
        </w:rPr>
        <w:t xml:space="preserve">, </w:t>
      </w:r>
      <w:r w:rsidRPr="009D1C5D">
        <w:rPr>
          <w:rFonts w:ascii="Times New Roman" w:hAnsi="Times New Roman"/>
          <w:i/>
          <w:sz w:val="24"/>
          <w:szCs w:val="24"/>
        </w:rPr>
        <w:t>Beta</w:t>
      </w:r>
      <w:r w:rsidRPr="009D1C5D">
        <w:rPr>
          <w:rFonts w:ascii="Times New Roman" w:hAnsi="Times New Roman"/>
          <w:sz w:val="24"/>
          <w:szCs w:val="24"/>
        </w:rPr>
        <w:t xml:space="preserve"> and </w:t>
      </w:r>
      <w:r w:rsidRPr="009D1C5D">
        <w:rPr>
          <w:rFonts w:ascii="Times New Roman" w:hAnsi="Times New Roman"/>
          <w:i/>
          <w:sz w:val="24"/>
          <w:szCs w:val="24"/>
        </w:rPr>
        <w:t>Ka</w:t>
      </w:r>
      <w:r w:rsidRPr="009D1C5D">
        <w:rPr>
          <w:rFonts w:ascii="Times New Roman" w:hAnsi="Times New Roman"/>
          <w:sz w:val="24"/>
          <w:szCs w:val="24"/>
        </w:rPr>
        <w:t xml:space="preserve">  are rate constants (1/h) associated with the phases of plasma concentration-time profile. Parametrization was in terms of </w:t>
      </w:r>
      <w:proofErr w:type="spellStart"/>
      <w:r w:rsidRPr="009D1C5D">
        <w:rPr>
          <w:rFonts w:ascii="Times New Roman" w:hAnsi="Times New Roman"/>
          <w:sz w:val="24"/>
          <w:szCs w:val="24"/>
        </w:rPr>
        <w:t>macroconstants</w:t>
      </w:r>
      <w:proofErr w:type="spellEnd"/>
      <w:r w:rsidRPr="009D1C5D">
        <w:rPr>
          <w:rFonts w:ascii="Times New Roman" w:hAnsi="Times New Roman"/>
          <w:sz w:val="24"/>
          <w:szCs w:val="24"/>
        </w:rPr>
        <w:t xml:space="preserve"> and rate constants rather than in terms of clearance and volume of distribution for reasons explained in the Discussion. The five fixed parameters (described as vector Thetas) were estimated and reported as typical values (tv) with coefficient of variation as a measure of precision of the estimate</w:t>
      </w:r>
      <w:r w:rsidR="009D1C5D">
        <w:rPr>
          <w:rFonts w:ascii="Times New Roman" w:hAnsi="Times New Roman"/>
          <w:sz w:val="24"/>
          <w:szCs w:val="24"/>
        </w:rPr>
        <w:t xml:space="preserve"> (</w:t>
      </w:r>
      <w:r w:rsidR="009D1C5D" w:rsidRPr="009D1C5D">
        <w:rPr>
          <w:rFonts w:ascii="Times New Roman" w:hAnsi="Times New Roman"/>
          <w:sz w:val="24"/>
          <w:szCs w:val="24"/>
        </w:rPr>
        <w:t>Supplementary Table 1</w:t>
      </w:r>
      <w:r w:rsidR="009D1C5D">
        <w:rPr>
          <w:rFonts w:ascii="Times New Roman" w:hAnsi="Times New Roman"/>
          <w:sz w:val="24"/>
          <w:szCs w:val="24"/>
        </w:rPr>
        <w:t>)</w:t>
      </w:r>
      <w:r w:rsidRPr="009D1C5D">
        <w:rPr>
          <w:rFonts w:ascii="Times New Roman" w:hAnsi="Times New Roman"/>
          <w:sz w:val="24"/>
          <w:szCs w:val="24"/>
        </w:rPr>
        <w:t>. The random component that describes biological variability around the structural fixed parameters i.e. the Between-Subject Variability (BSV) across individuals was described by an exponential model of the form (Equation 2):</w:t>
      </w:r>
    </w:p>
    <w:p w14:paraId="0B7E4741" w14:textId="77777777" w:rsidR="002556D6" w:rsidRPr="009D1C5D" w:rsidRDefault="00B83AE2" w:rsidP="009D1C5D">
      <w:pPr>
        <w:spacing w:after="0" w:line="240" w:lineRule="auto"/>
        <w:jc w:val="center"/>
        <w:rPr>
          <w:rFonts w:ascii="Times New Roman" w:hAnsi="Times New Roman"/>
          <w:sz w:val="24"/>
          <w:szCs w:val="24"/>
        </w:rPr>
      </w:pPr>
      <m:oMath>
        <m:sSub>
          <m:sSubPr>
            <m:ctrlPr>
              <w:rPr>
                <w:rFonts w:ascii="Cambria Math" w:hAnsi="Cambria Math"/>
                <w:b/>
                <w:sz w:val="24"/>
                <w:szCs w:val="24"/>
                <w:lang w:val="en-US"/>
              </w:rPr>
            </m:ctrlPr>
          </m:sSubPr>
          <m:e>
            <m:r>
              <m:rPr>
                <m:sty m:val="bi"/>
              </m:rPr>
              <w:rPr>
                <w:rFonts w:ascii="Cambria Math" w:hAnsi="Cambria Math"/>
                <w:sz w:val="24"/>
                <w:szCs w:val="24"/>
              </w:rPr>
              <m:t>θ</m:t>
            </m:r>
          </m:e>
          <m:sub>
            <m:r>
              <m:rPr>
                <m:sty m:val="b"/>
              </m:rPr>
              <w:rPr>
                <w:rFonts w:ascii="Cambria Math" w:hAnsi="Cambria Math"/>
                <w:sz w:val="24"/>
                <w:szCs w:val="24"/>
              </w:rPr>
              <m:t>1</m:t>
            </m:r>
            <m:r>
              <m:rPr>
                <m:sty m:val="bi"/>
              </m:rPr>
              <w:rPr>
                <w:rFonts w:ascii="Cambria Math" w:hAnsi="Cambria Math"/>
                <w:sz w:val="24"/>
                <w:szCs w:val="24"/>
              </w:rPr>
              <m:t>i</m:t>
            </m:r>
          </m:sub>
        </m:sSub>
        <m:r>
          <m:rPr>
            <m:sty m:val="b"/>
          </m:rPr>
          <w:rPr>
            <w:rFonts w:ascii="Cambria Math" w:hAnsi="Cambria Math"/>
            <w:sz w:val="24"/>
            <w:szCs w:val="24"/>
          </w:rPr>
          <m:t>=</m:t>
        </m:r>
        <m:sSub>
          <m:sSubPr>
            <m:ctrlPr>
              <w:rPr>
                <w:rFonts w:ascii="Cambria Math" w:hAnsi="Cambria Math"/>
                <w:b/>
                <w:sz w:val="24"/>
                <w:szCs w:val="24"/>
                <w:lang w:val="en-US"/>
              </w:rPr>
            </m:ctrlPr>
          </m:sSubPr>
          <m:e>
            <m:r>
              <m:rPr>
                <m:sty m:val="bi"/>
              </m:rPr>
              <w:rPr>
                <w:rFonts w:ascii="Cambria Math" w:hAnsi="Cambria Math"/>
                <w:sz w:val="24"/>
                <w:szCs w:val="24"/>
              </w:rPr>
              <m:t>θ</m:t>
            </m:r>
          </m:e>
          <m:sub>
            <m:r>
              <m:rPr>
                <m:sty m:val="b"/>
              </m:rPr>
              <w:rPr>
                <w:rFonts w:ascii="Cambria Math" w:hAnsi="Cambria Math"/>
                <w:sz w:val="24"/>
                <w:szCs w:val="24"/>
              </w:rPr>
              <m:t>1</m:t>
            </m:r>
          </m:sub>
        </m:sSub>
        <m:r>
          <m:rPr>
            <m:sty m:val="b"/>
          </m:rPr>
          <w:rPr>
            <w:rFonts w:ascii="Cambria Math" w:hAnsi="Cambria Math"/>
            <w:sz w:val="24"/>
            <w:szCs w:val="24"/>
          </w:rPr>
          <m:t>×</m:t>
        </m:r>
        <m:r>
          <m:rPr>
            <m:sty m:val="bi"/>
          </m:rPr>
          <w:rPr>
            <w:rFonts w:ascii="Cambria Math" w:hAnsi="Cambria Math"/>
            <w:sz w:val="24"/>
            <w:szCs w:val="24"/>
          </w:rPr>
          <m:t>Exp</m:t>
        </m:r>
        <m:r>
          <m:rPr>
            <m:sty m:val="b"/>
          </m:rPr>
          <w:rPr>
            <w:rFonts w:ascii="Cambria Math" w:hAnsi="Cambria Math"/>
            <w:sz w:val="24"/>
            <w:szCs w:val="24"/>
          </w:rPr>
          <m:t>(</m:t>
        </m:r>
        <m:sSub>
          <m:sSubPr>
            <m:ctrlPr>
              <w:rPr>
                <w:rFonts w:ascii="Cambria Math" w:hAnsi="Cambria Math"/>
                <w:b/>
                <w:sz w:val="24"/>
                <w:szCs w:val="24"/>
                <w:lang w:val="en-US"/>
              </w:rPr>
            </m:ctrlPr>
          </m:sSubPr>
          <m:e>
            <m:r>
              <m:rPr>
                <m:sty m:val="bi"/>
              </m:rPr>
              <w:rPr>
                <w:rFonts w:ascii="Cambria Math" w:hAnsi="Cambria Math"/>
                <w:sz w:val="24"/>
                <w:szCs w:val="24"/>
              </w:rPr>
              <m:t>η</m:t>
            </m:r>
          </m:e>
          <m:sub>
            <m:r>
              <m:rPr>
                <m:sty m:val="b"/>
              </m:rPr>
              <w:rPr>
                <w:rFonts w:ascii="Cambria Math" w:hAnsi="Cambria Math"/>
                <w:sz w:val="24"/>
                <w:szCs w:val="24"/>
              </w:rPr>
              <m:t>1</m:t>
            </m:r>
            <m:r>
              <m:rPr>
                <m:sty m:val="bi"/>
              </m:rPr>
              <w:rPr>
                <w:rFonts w:ascii="Cambria Math" w:hAnsi="Cambria Math"/>
                <w:sz w:val="24"/>
                <w:szCs w:val="24"/>
              </w:rPr>
              <m:t>i</m:t>
            </m:r>
          </m:sub>
        </m:sSub>
        <m:r>
          <m:rPr>
            <m:sty m:val="b"/>
          </m:rPr>
          <w:rPr>
            <w:rFonts w:ascii="Cambria Math" w:hAnsi="Cambria Math"/>
            <w:sz w:val="24"/>
            <w:szCs w:val="24"/>
          </w:rPr>
          <m:t>)</m:t>
        </m:r>
      </m:oMath>
      <w:r w:rsidR="002556D6" w:rsidRPr="009D1C5D">
        <w:rPr>
          <w:rFonts w:ascii="Times New Roman" w:hAnsi="Times New Roman"/>
          <w:sz w:val="24"/>
          <w:szCs w:val="24"/>
        </w:rPr>
        <w:tab/>
        <w:t>Eq: 2</w:t>
      </w:r>
    </w:p>
    <w:p w14:paraId="06802F0E"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 xml:space="preserve">where </w:t>
      </w:r>
      <m:oMath>
        <m:sSub>
          <m:sSubPr>
            <m:ctrlPr>
              <w:rPr>
                <w:rFonts w:ascii="Cambria Math" w:hAnsi="Cambria Math"/>
                <w:sz w:val="24"/>
                <w:szCs w:val="24"/>
                <w:lang w:val="en-US"/>
              </w:rPr>
            </m:ctrlPr>
          </m:sSubPr>
          <m:e>
            <m:r>
              <m:rPr>
                <m:sty m:val="p"/>
              </m:rPr>
              <w:rPr>
                <w:rFonts w:ascii="Cambria Math" w:hAnsi="Cambria Math"/>
                <w:sz w:val="24"/>
                <w:szCs w:val="24"/>
              </w:rPr>
              <m:t>θ</m:t>
            </m:r>
          </m:e>
          <m:sub>
            <m:r>
              <m:rPr>
                <m:sty m:val="p"/>
              </m:rPr>
              <w:rPr>
                <w:rFonts w:ascii="Cambria Math" w:hAnsi="Cambria Math"/>
                <w:sz w:val="24"/>
                <w:szCs w:val="24"/>
              </w:rPr>
              <m:t>1</m:t>
            </m:r>
          </m:sub>
        </m:sSub>
      </m:oMath>
      <w:r w:rsidRPr="009D1C5D">
        <w:rPr>
          <w:rFonts w:ascii="Times New Roman" w:hAnsi="Times New Roman"/>
          <w:sz w:val="24"/>
          <w:szCs w:val="24"/>
        </w:rPr>
        <w:t xml:space="preserve"> is the typical population value of theta (</w:t>
      </w:r>
      <w:r w:rsidRPr="009D1C5D">
        <w:rPr>
          <w:rFonts w:ascii="Times New Roman" w:hAnsi="Times New Roman"/>
          <w:i/>
          <w:sz w:val="24"/>
          <w:szCs w:val="24"/>
        </w:rPr>
        <w:t>A</w:t>
      </w:r>
      <w:r w:rsidRPr="009D1C5D">
        <w:rPr>
          <w:rFonts w:ascii="Times New Roman" w:hAnsi="Times New Roman"/>
          <w:sz w:val="24"/>
          <w:szCs w:val="24"/>
        </w:rPr>
        <w:t xml:space="preserve">, </w:t>
      </w:r>
      <w:r w:rsidRPr="009D1C5D">
        <w:rPr>
          <w:rFonts w:ascii="Times New Roman" w:hAnsi="Times New Roman"/>
          <w:i/>
          <w:sz w:val="24"/>
          <w:szCs w:val="24"/>
        </w:rPr>
        <w:t>B</w:t>
      </w:r>
      <w:r w:rsidRPr="009D1C5D">
        <w:rPr>
          <w:rFonts w:ascii="Times New Roman" w:hAnsi="Times New Roman"/>
          <w:sz w:val="24"/>
          <w:szCs w:val="24"/>
        </w:rPr>
        <w:t xml:space="preserve">, </w:t>
      </w:r>
      <w:r w:rsidRPr="009D1C5D">
        <w:rPr>
          <w:rFonts w:ascii="Times New Roman" w:hAnsi="Times New Roman"/>
          <w:i/>
          <w:sz w:val="24"/>
          <w:szCs w:val="24"/>
        </w:rPr>
        <w:t>Alpha</w:t>
      </w:r>
      <w:r w:rsidRPr="009D1C5D">
        <w:rPr>
          <w:rFonts w:ascii="Times New Roman" w:hAnsi="Times New Roman"/>
          <w:sz w:val="24"/>
          <w:szCs w:val="24"/>
        </w:rPr>
        <w:t xml:space="preserve">, </w:t>
      </w:r>
      <w:r w:rsidRPr="009D1C5D">
        <w:rPr>
          <w:rFonts w:ascii="Times New Roman" w:hAnsi="Times New Roman"/>
          <w:i/>
          <w:sz w:val="24"/>
          <w:szCs w:val="24"/>
        </w:rPr>
        <w:t>Beta</w:t>
      </w:r>
      <w:r w:rsidRPr="009D1C5D">
        <w:rPr>
          <w:rFonts w:ascii="Times New Roman" w:hAnsi="Times New Roman"/>
          <w:sz w:val="24"/>
          <w:szCs w:val="24"/>
        </w:rPr>
        <w:t xml:space="preserve">  or </w:t>
      </w:r>
      <w:r w:rsidRPr="009D1C5D">
        <w:rPr>
          <w:rFonts w:ascii="Times New Roman" w:hAnsi="Times New Roman"/>
          <w:i/>
          <w:sz w:val="24"/>
          <w:szCs w:val="24"/>
        </w:rPr>
        <w:t>Ka</w:t>
      </w:r>
      <w:r w:rsidRPr="009D1C5D">
        <w:rPr>
          <w:rFonts w:ascii="Times New Roman" w:hAnsi="Times New Roman"/>
          <w:sz w:val="24"/>
          <w:szCs w:val="24"/>
        </w:rPr>
        <w:t xml:space="preserve">) , </w:t>
      </w:r>
      <m:oMath>
        <m:sSub>
          <m:sSubPr>
            <m:ctrlPr>
              <w:rPr>
                <w:rFonts w:ascii="Cambria Math" w:hAnsi="Cambria Math"/>
                <w:sz w:val="24"/>
                <w:szCs w:val="24"/>
                <w:lang w:val="en-US"/>
              </w:rPr>
            </m:ctrlPr>
          </m:sSubPr>
          <m:e>
            <m:r>
              <w:rPr>
                <w:rFonts w:ascii="Cambria Math" w:hAnsi="Cambria Math"/>
                <w:sz w:val="24"/>
                <w:szCs w:val="24"/>
              </w:rPr>
              <m:t>θ</m:t>
            </m:r>
          </m:e>
          <m:sub>
            <m:r>
              <m:rPr>
                <m:sty m:val="p"/>
              </m:rPr>
              <w:rPr>
                <w:rFonts w:ascii="Cambria Math" w:hAnsi="Cambria Math"/>
                <w:sz w:val="24"/>
                <w:szCs w:val="24"/>
              </w:rPr>
              <m:t>1</m:t>
            </m:r>
            <m:r>
              <w:rPr>
                <w:rFonts w:ascii="Cambria Math" w:hAnsi="Cambria Math"/>
                <w:sz w:val="24"/>
                <w:szCs w:val="24"/>
              </w:rPr>
              <m:t>i</m:t>
            </m:r>
          </m:sub>
        </m:sSub>
      </m:oMath>
      <w:r w:rsidRPr="009D1C5D">
        <w:rPr>
          <w:rFonts w:ascii="Times New Roman" w:hAnsi="Times New Roman"/>
          <w:sz w:val="24"/>
          <w:szCs w:val="24"/>
        </w:rPr>
        <w:t xml:space="preserve"> the value of theta in the </w:t>
      </w:r>
      <w:proofErr w:type="spellStart"/>
      <w:r w:rsidRPr="009D1C5D">
        <w:rPr>
          <w:rFonts w:ascii="Times New Roman" w:hAnsi="Times New Roman"/>
          <w:sz w:val="24"/>
          <w:szCs w:val="24"/>
        </w:rPr>
        <w:t>i</w:t>
      </w:r>
      <w:r w:rsidRPr="009D1C5D">
        <w:rPr>
          <w:rFonts w:ascii="Times New Roman" w:hAnsi="Times New Roman"/>
          <w:sz w:val="24"/>
          <w:szCs w:val="24"/>
          <w:vertAlign w:val="superscript"/>
        </w:rPr>
        <w:t>th</w:t>
      </w:r>
      <w:proofErr w:type="spellEnd"/>
      <w:r w:rsidRPr="009D1C5D">
        <w:rPr>
          <w:rFonts w:ascii="Times New Roman" w:hAnsi="Times New Roman"/>
          <w:sz w:val="24"/>
          <w:szCs w:val="24"/>
          <w:vertAlign w:val="superscript"/>
        </w:rPr>
        <w:t xml:space="preserve"> </w:t>
      </w:r>
      <w:r w:rsidRPr="009D1C5D">
        <w:rPr>
          <w:rFonts w:ascii="Times New Roman" w:hAnsi="Times New Roman"/>
          <w:sz w:val="24"/>
          <w:szCs w:val="24"/>
        </w:rPr>
        <w:t xml:space="preserve">animal, and </w:t>
      </w:r>
      <m:oMath>
        <m:sSub>
          <m:sSubPr>
            <m:ctrlPr>
              <w:rPr>
                <w:rFonts w:ascii="Cambria Math" w:hAnsi="Cambria Math"/>
                <w:sz w:val="24"/>
                <w:szCs w:val="24"/>
                <w:lang w:val="en-US"/>
              </w:rPr>
            </m:ctrlPr>
          </m:sSubPr>
          <m:e>
            <m:r>
              <w:rPr>
                <w:rFonts w:ascii="Cambria Math" w:hAnsi="Cambria Math"/>
                <w:sz w:val="24"/>
                <w:szCs w:val="24"/>
              </w:rPr>
              <m:t>η</m:t>
            </m:r>
          </m:e>
          <m:sub>
            <m:r>
              <m:rPr>
                <m:sty m:val="p"/>
              </m:rPr>
              <w:rPr>
                <w:rFonts w:ascii="Cambria Math" w:hAnsi="Cambria Math"/>
                <w:sz w:val="24"/>
                <w:szCs w:val="24"/>
              </w:rPr>
              <m:t>1</m:t>
            </m:r>
            <m:r>
              <w:rPr>
                <w:rFonts w:ascii="Cambria Math" w:hAnsi="Cambria Math"/>
                <w:sz w:val="24"/>
                <w:szCs w:val="24"/>
              </w:rPr>
              <m:t>i</m:t>
            </m:r>
          </m:sub>
        </m:sSub>
      </m:oMath>
      <w:r w:rsidRPr="009D1C5D">
        <w:rPr>
          <w:rFonts w:ascii="Times New Roman" w:hAnsi="Times New Roman"/>
          <w:sz w:val="24"/>
          <w:szCs w:val="24"/>
        </w:rPr>
        <w:t xml:space="preserve">  (eta) the deviation  associated with the </w:t>
      </w:r>
      <w:proofErr w:type="spellStart"/>
      <w:r w:rsidRPr="009D1C5D">
        <w:rPr>
          <w:rFonts w:ascii="Times New Roman" w:hAnsi="Times New Roman"/>
          <w:sz w:val="24"/>
          <w:szCs w:val="24"/>
        </w:rPr>
        <w:t>i</w:t>
      </w:r>
      <w:r w:rsidRPr="009D1C5D">
        <w:rPr>
          <w:rFonts w:ascii="Times New Roman" w:hAnsi="Times New Roman"/>
          <w:sz w:val="24"/>
          <w:szCs w:val="24"/>
          <w:vertAlign w:val="superscript"/>
        </w:rPr>
        <w:t>th</w:t>
      </w:r>
      <w:proofErr w:type="spellEnd"/>
      <w:r w:rsidRPr="009D1C5D">
        <w:rPr>
          <w:rFonts w:ascii="Times New Roman" w:hAnsi="Times New Roman"/>
          <w:sz w:val="24"/>
          <w:szCs w:val="24"/>
        </w:rPr>
        <w:t xml:space="preserve"> animal from the corresponding theta population value. This exponential model assumes a log-normal distribution of parameters, i.e. that the distribution of the etas is normal in the log-domain, with a mean of 0 and a variance ω</w:t>
      </w:r>
      <w:r w:rsidRPr="009D1C5D">
        <w:rPr>
          <w:rFonts w:ascii="Times New Roman" w:hAnsi="Times New Roman"/>
          <w:sz w:val="24"/>
          <w:szCs w:val="24"/>
          <w:vertAlign w:val="superscript"/>
        </w:rPr>
        <w:t>2</w:t>
      </w:r>
      <w:r w:rsidRPr="009D1C5D">
        <w:rPr>
          <w:rFonts w:ascii="Times New Roman" w:hAnsi="Times New Roman"/>
          <w:sz w:val="24"/>
          <w:szCs w:val="24"/>
        </w:rPr>
        <w:t xml:space="preserve"> where: </w:t>
      </w:r>
    </w:p>
    <w:p w14:paraId="7E99E687" w14:textId="77777777" w:rsidR="002556D6" w:rsidRPr="009D1C5D" w:rsidRDefault="002556D6" w:rsidP="009D1C5D">
      <w:pPr>
        <w:spacing w:after="0" w:line="240" w:lineRule="auto"/>
        <w:rPr>
          <w:rFonts w:ascii="Times New Roman" w:hAnsi="Times New Roman"/>
          <w:b/>
          <w:sz w:val="24"/>
          <w:szCs w:val="24"/>
        </w:rPr>
      </w:pPr>
      <m:oMathPara>
        <m:oMathParaPr>
          <m:jc m:val="center"/>
        </m:oMathParaPr>
        <m:oMath>
          <m:r>
            <m:rPr>
              <m:sty m:val="bi"/>
            </m:rPr>
            <w:rPr>
              <w:rFonts w:ascii="Cambria Math" w:hAnsi="Cambria Math"/>
              <w:sz w:val="24"/>
              <w:szCs w:val="24"/>
            </w:rPr>
            <m:t>η</m:t>
          </m:r>
          <m:r>
            <m:rPr>
              <m:sty m:val="b"/>
            </m:rPr>
            <w:rPr>
              <w:rFonts w:ascii="Cambria Math" w:hAnsi="Cambria Math"/>
              <w:sz w:val="24"/>
              <w:szCs w:val="24"/>
            </w:rPr>
            <m:t>≈</m:t>
          </m:r>
          <m:r>
            <m:rPr>
              <m:sty m:val="bi"/>
            </m:rPr>
            <w:rPr>
              <w:rFonts w:ascii="Cambria Math" w:hAnsi="Cambria Math"/>
              <w:sz w:val="24"/>
              <w:szCs w:val="24"/>
            </w:rPr>
            <m:t>N</m:t>
          </m:r>
          <m:r>
            <m:rPr>
              <m:sty m:val="b"/>
            </m:rPr>
            <w:rPr>
              <w:rFonts w:ascii="Cambria Math" w:hAnsi="Cambria Math"/>
              <w:sz w:val="24"/>
              <w:szCs w:val="24"/>
            </w:rPr>
            <m:t>(0,</m:t>
          </m:r>
          <m:sSup>
            <m:sSupPr>
              <m:ctrlPr>
                <w:rPr>
                  <w:rFonts w:ascii="Cambria Math" w:hAnsi="Cambria Math"/>
                  <w:b/>
                  <w:sz w:val="24"/>
                  <w:szCs w:val="24"/>
                  <w:lang w:val="en-US"/>
                </w:rPr>
              </m:ctrlPr>
            </m:sSupPr>
            <m:e>
              <m:r>
                <m:rPr>
                  <m:sty m:val="bi"/>
                </m:rPr>
                <w:rPr>
                  <w:rFonts w:ascii="Cambria Math" w:hAnsi="Cambria Math"/>
                  <w:sz w:val="24"/>
                  <w:szCs w:val="24"/>
                </w:rPr>
                <m:t>ω</m:t>
              </m:r>
            </m:e>
            <m:sup>
              <m:r>
                <m:rPr>
                  <m:sty m:val="b"/>
                </m:rPr>
                <w:rPr>
                  <w:rFonts w:ascii="Cambria Math" w:hAnsi="Cambria Math"/>
                  <w:sz w:val="24"/>
                  <w:szCs w:val="24"/>
                </w:rPr>
                <m:t>2</m:t>
              </m:r>
            </m:sup>
          </m:sSup>
          <m:r>
            <m:rPr>
              <m:sty m:val="b"/>
            </m:rPr>
            <w:rPr>
              <w:rFonts w:ascii="Cambria Math" w:hAnsi="Cambria Math"/>
              <w:sz w:val="24"/>
              <w:szCs w:val="24"/>
            </w:rPr>
            <m:t>)</m:t>
          </m:r>
        </m:oMath>
      </m:oMathPara>
    </w:p>
    <w:p w14:paraId="712DBCF4"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lastRenderedPageBreak/>
        <w:t xml:space="preserve">Each eta distribution associated to each theta  with its own variance </w:t>
      </w:r>
      <m:oMath>
        <m:sSubSup>
          <m:sSubSupPr>
            <m:ctrlPr>
              <w:rPr>
                <w:rFonts w:ascii="Cambria Math" w:hAnsi="Cambria Math"/>
                <w:sz w:val="24"/>
                <w:szCs w:val="24"/>
                <w:lang w:val="en-US"/>
              </w:rPr>
            </m:ctrlPr>
          </m:sSubSupPr>
          <m:e>
            <m:r>
              <m:rPr>
                <m:sty m:val="p"/>
              </m:rPr>
              <w:rPr>
                <w:rFonts w:ascii="Cambria Math" w:hAnsi="Cambria Math"/>
                <w:sz w:val="24"/>
                <w:szCs w:val="24"/>
              </w:rPr>
              <m:t xml:space="preserve">  </m:t>
            </m:r>
            <m:r>
              <w:rPr>
                <w:rFonts w:ascii="Cambria Math" w:hAnsi="Cambria Math"/>
                <w:sz w:val="24"/>
                <w:szCs w:val="24"/>
              </w:rPr>
              <m:t>ω</m:t>
            </m:r>
          </m:e>
          <m:sub>
            <m:r>
              <w:rPr>
                <w:rFonts w:ascii="Cambria Math" w:hAnsi="Cambria Math"/>
                <w:sz w:val="24"/>
                <w:szCs w:val="24"/>
              </w:rPr>
              <m:t>A</m:t>
            </m:r>
          </m:sub>
          <m:sup>
            <m:r>
              <m:rPr>
                <m:sty m:val="p"/>
              </m:rPr>
              <w:rPr>
                <w:rFonts w:ascii="Cambria Math" w:hAnsi="Cambria Math"/>
                <w:sz w:val="24"/>
                <w:szCs w:val="24"/>
              </w:rPr>
              <m:t>2</m:t>
            </m:r>
          </m:sup>
        </m:sSubSup>
      </m:oMath>
      <w:r w:rsidRPr="009D1C5D">
        <w:rPr>
          <w:rFonts w:ascii="Times New Roman" w:hAnsi="Times New Roman"/>
          <w:sz w:val="24"/>
          <w:szCs w:val="24"/>
        </w:rPr>
        <w:t xml:space="preserve"> ,  </w:t>
      </w:r>
      <m:oMath>
        <m:sSubSup>
          <m:sSubSupPr>
            <m:ctrlPr>
              <w:rPr>
                <w:rFonts w:ascii="Cambria Math" w:hAnsi="Cambria Math"/>
                <w:sz w:val="24"/>
                <w:szCs w:val="24"/>
                <w:lang w:val="en-US"/>
              </w:rPr>
            </m:ctrlPr>
          </m:sSubSupPr>
          <m:e>
            <m:r>
              <w:rPr>
                <w:rFonts w:ascii="Cambria Math" w:hAnsi="Cambria Math"/>
                <w:sz w:val="24"/>
                <w:szCs w:val="24"/>
              </w:rPr>
              <m:t>ω</m:t>
            </m:r>
          </m:e>
          <m:sub>
            <m:r>
              <w:rPr>
                <w:rFonts w:ascii="Cambria Math" w:hAnsi="Cambria Math"/>
                <w:sz w:val="24"/>
                <w:szCs w:val="24"/>
              </w:rPr>
              <m:t>Alpha</m:t>
            </m:r>
          </m:sub>
          <m:sup>
            <m:r>
              <m:rPr>
                <m:sty m:val="p"/>
              </m:rPr>
              <w:rPr>
                <w:rFonts w:ascii="Cambria Math" w:hAnsi="Cambria Math"/>
                <w:sz w:val="24"/>
                <w:szCs w:val="24"/>
              </w:rPr>
              <m:t>2</m:t>
            </m:r>
          </m:sup>
        </m:sSubSup>
        <m:r>
          <m:rPr>
            <m:sty m:val="p"/>
          </m:rPr>
          <w:rPr>
            <w:rFonts w:ascii="Cambria Math" w:hAnsi="Cambria Math"/>
            <w:sz w:val="24"/>
            <w:szCs w:val="24"/>
          </w:rPr>
          <m:t xml:space="preserve"> </m:t>
        </m:r>
        <m:sSubSup>
          <m:sSubSupPr>
            <m:ctrlPr>
              <w:rPr>
                <w:rFonts w:ascii="Cambria Math" w:hAnsi="Cambria Math"/>
                <w:sz w:val="24"/>
                <w:szCs w:val="24"/>
                <w:lang w:val="en-US"/>
              </w:rPr>
            </m:ctrlPr>
          </m:sSubSupPr>
          <m:e>
            <m:r>
              <w:rPr>
                <w:rFonts w:ascii="Cambria Math" w:hAnsi="Cambria Math"/>
                <w:sz w:val="24"/>
                <w:szCs w:val="24"/>
              </w:rPr>
              <m:t>ω</m:t>
            </m:r>
          </m:e>
          <m:sub>
            <m:r>
              <w:rPr>
                <w:rFonts w:ascii="Cambria Math" w:hAnsi="Cambria Math"/>
                <w:sz w:val="24"/>
                <w:szCs w:val="24"/>
              </w:rPr>
              <m:t>B</m:t>
            </m:r>
            <m:r>
              <m:rPr>
                <m:sty m:val="p"/>
              </m:rPr>
              <w:rPr>
                <w:rFonts w:ascii="Cambria Math" w:hAnsi="Cambria Math"/>
                <w:sz w:val="24"/>
                <w:szCs w:val="24"/>
              </w:rPr>
              <m:t xml:space="preserve"> </m:t>
            </m:r>
          </m:sub>
          <m:sup>
            <m:r>
              <m:rPr>
                <m:sty m:val="p"/>
              </m:rPr>
              <w:rPr>
                <w:rFonts w:ascii="Cambria Math" w:hAnsi="Cambria Math"/>
                <w:sz w:val="24"/>
                <w:szCs w:val="24"/>
              </w:rPr>
              <m:t>2</m:t>
            </m:r>
          </m:sup>
        </m:sSubSup>
      </m:oMath>
      <w:r w:rsidRPr="009D1C5D">
        <w:rPr>
          <w:rFonts w:ascii="Times New Roman" w:hAnsi="Times New Roman"/>
          <w:sz w:val="24"/>
          <w:szCs w:val="24"/>
        </w:rPr>
        <w:t xml:space="preserve">,  </w:t>
      </w:r>
      <m:oMath>
        <m:sSubSup>
          <m:sSubSupPr>
            <m:ctrlPr>
              <w:rPr>
                <w:rFonts w:ascii="Cambria Math" w:hAnsi="Cambria Math"/>
                <w:sz w:val="24"/>
                <w:szCs w:val="24"/>
                <w:lang w:val="en-US"/>
              </w:rPr>
            </m:ctrlPr>
          </m:sSubSupPr>
          <m:e>
            <m:r>
              <w:rPr>
                <w:rFonts w:ascii="Cambria Math" w:hAnsi="Cambria Math"/>
                <w:sz w:val="24"/>
                <w:szCs w:val="24"/>
              </w:rPr>
              <m:t>ω</m:t>
            </m:r>
          </m:e>
          <m:sub>
            <m:r>
              <w:rPr>
                <w:rFonts w:ascii="Cambria Math" w:hAnsi="Cambria Math"/>
                <w:sz w:val="24"/>
                <w:szCs w:val="24"/>
              </w:rPr>
              <m:t>Beta</m:t>
            </m:r>
          </m:sub>
          <m:sup>
            <m:r>
              <m:rPr>
                <m:sty m:val="p"/>
              </m:rPr>
              <w:rPr>
                <w:rFonts w:ascii="Cambria Math" w:hAnsi="Cambria Math"/>
                <w:sz w:val="24"/>
                <w:szCs w:val="24"/>
              </w:rPr>
              <m:t>2</m:t>
            </m:r>
          </m:sup>
        </m:sSubSup>
      </m:oMath>
      <w:r w:rsidRPr="009D1C5D">
        <w:rPr>
          <w:rFonts w:ascii="Times New Roman" w:hAnsi="Times New Roman"/>
          <w:sz w:val="24"/>
          <w:szCs w:val="24"/>
        </w:rPr>
        <w:t xml:space="preserve">or </w:t>
      </w:r>
      <m:oMath>
        <m:sSubSup>
          <m:sSubSupPr>
            <m:ctrlPr>
              <w:rPr>
                <w:rFonts w:ascii="Cambria Math" w:hAnsi="Cambria Math"/>
                <w:sz w:val="24"/>
                <w:szCs w:val="24"/>
                <w:lang w:val="en-US"/>
              </w:rPr>
            </m:ctrlPr>
          </m:sSubSupPr>
          <m:e>
            <m:r>
              <w:rPr>
                <w:rFonts w:ascii="Cambria Math" w:hAnsi="Cambria Math"/>
                <w:sz w:val="24"/>
                <w:szCs w:val="24"/>
              </w:rPr>
              <m:t>ω</m:t>
            </m:r>
          </m:e>
          <m:sub>
            <m:r>
              <w:rPr>
                <w:rFonts w:ascii="Cambria Math" w:hAnsi="Cambria Math"/>
                <w:sz w:val="24"/>
                <w:szCs w:val="24"/>
              </w:rPr>
              <m:t>Ka</m:t>
            </m:r>
          </m:sub>
          <m:sup>
            <m:r>
              <m:rPr>
                <m:sty m:val="p"/>
              </m:rPr>
              <w:rPr>
                <w:rFonts w:ascii="Cambria Math" w:hAnsi="Cambria Math"/>
                <w:sz w:val="24"/>
                <w:szCs w:val="24"/>
              </w:rPr>
              <m:t>2</m:t>
            </m:r>
          </m:sup>
        </m:sSubSup>
      </m:oMath>
      <w:r w:rsidRPr="009D1C5D">
        <w:rPr>
          <w:rFonts w:ascii="Times New Roman" w:hAnsi="Times New Roman"/>
          <w:sz w:val="24"/>
          <w:szCs w:val="24"/>
        </w:rPr>
        <w:t>was computed, but covariance terms between etas have been ignored (diagonal matrix).</w:t>
      </w:r>
    </w:p>
    <w:p w14:paraId="02B6DCD9"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The BSV was reported as coefficient of variation in the original scale with the following equation that converts the variance terms (</w:t>
      </w:r>
      <m:oMath>
        <m:sSup>
          <m:sSupPr>
            <m:ctrlPr>
              <w:rPr>
                <w:rFonts w:ascii="Cambria Math" w:hAnsi="Cambria Math"/>
                <w:sz w:val="24"/>
                <w:szCs w:val="24"/>
                <w:lang w:val="en-US"/>
              </w:rPr>
            </m:ctrlPr>
          </m:sSupPr>
          <m:e>
            <m:r>
              <w:rPr>
                <w:rFonts w:ascii="Cambria Math" w:hAnsi="Cambria Math"/>
                <w:sz w:val="24"/>
                <w:szCs w:val="24"/>
              </w:rPr>
              <m:t>ω</m:t>
            </m:r>
          </m:e>
          <m:sup>
            <m:r>
              <m:rPr>
                <m:sty m:val="p"/>
              </m:rPr>
              <w:rPr>
                <w:rFonts w:ascii="Cambria Math" w:hAnsi="Cambria Math"/>
                <w:sz w:val="24"/>
                <w:szCs w:val="24"/>
              </w:rPr>
              <m:t>2</m:t>
            </m:r>
          </m:sup>
        </m:sSup>
      </m:oMath>
      <w:r w:rsidRPr="009D1C5D">
        <w:rPr>
          <w:rFonts w:ascii="Times New Roman" w:hAnsi="Times New Roman"/>
          <w:sz w:val="24"/>
          <w:szCs w:val="24"/>
        </w:rPr>
        <w:t xml:space="preserve">) to a coefficient of variation (CV%). </w:t>
      </w:r>
    </w:p>
    <w:p w14:paraId="3C431C37" w14:textId="77777777" w:rsidR="002556D6" w:rsidRPr="009D1C5D" w:rsidRDefault="002556D6" w:rsidP="009D1C5D">
      <w:pPr>
        <w:spacing w:after="0" w:line="240" w:lineRule="auto"/>
        <w:jc w:val="center"/>
        <w:rPr>
          <w:rFonts w:ascii="Times New Roman" w:hAnsi="Times New Roman"/>
          <w:sz w:val="24"/>
          <w:szCs w:val="24"/>
        </w:rPr>
      </w:pPr>
      <m:oMath>
        <m:r>
          <m:rPr>
            <m:sty m:val="b"/>
          </m:rPr>
          <w:rPr>
            <w:rFonts w:ascii="Cambria Math" w:hAnsi="Cambria Math"/>
            <w:sz w:val="24"/>
            <w:szCs w:val="24"/>
          </w:rPr>
          <m:t>CV</m:t>
        </m:r>
        <m:d>
          <m:dPr>
            <m:ctrlPr>
              <w:rPr>
                <w:rFonts w:ascii="Cambria Math" w:hAnsi="Cambria Math"/>
                <w:b/>
                <w:sz w:val="24"/>
                <w:szCs w:val="24"/>
                <w:lang w:val="en-US"/>
              </w:rPr>
            </m:ctrlPr>
          </m:dPr>
          <m:e>
            <m:r>
              <m:rPr>
                <m:sty m:val="b"/>
              </m:rPr>
              <w:rPr>
                <w:rFonts w:ascii="Cambria Math" w:hAnsi="Cambria Math"/>
                <w:sz w:val="24"/>
                <w:szCs w:val="24"/>
              </w:rPr>
              <m:t>%</m:t>
            </m:r>
          </m:e>
        </m:d>
        <m:r>
          <m:rPr>
            <m:sty m:val="b"/>
          </m:rPr>
          <w:rPr>
            <w:rFonts w:ascii="Cambria Math" w:hAnsi="Cambria Math"/>
            <w:sz w:val="24"/>
            <w:szCs w:val="24"/>
          </w:rPr>
          <m:t>=100×</m:t>
        </m:r>
        <m:rad>
          <m:radPr>
            <m:degHide m:val="1"/>
            <m:ctrlPr>
              <w:rPr>
                <w:rFonts w:ascii="Cambria Math" w:hAnsi="Cambria Math"/>
                <w:b/>
                <w:sz w:val="24"/>
                <w:szCs w:val="24"/>
                <w:lang w:val="en-US"/>
              </w:rPr>
            </m:ctrlPr>
          </m:radPr>
          <m:deg/>
          <m:e>
            <m:func>
              <m:funcPr>
                <m:ctrlPr>
                  <w:rPr>
                    <w:rFonts w:ascii="Cambria Math" w:hAnsi="Cambria Math"/>
                    <w:b/>
                    <w:sz w:val="24"/>
                    <w:szCs w:val="24"/>
                    <w:lang w:val="en-US"/>
                  </w:rPr>
                </m:ctrlPr>
              </m:funcPr>
              <m:fName>
                <m:r>
                  <m:rPr>
                    <m:sty m:val="b"/>
                  </m:rPr>
                  <w:rPr>
                    <w:rFonts w:ascii="Cambria Math" w:hAnsi="Cambria Math"/>
                    <w:sz w:val="24"/>
                    <w:szCs w:val="24"/>
                  </w:rPr>
                  <m:t>exp</m:t>
                </m:r>
              </m:fName>
              <m:e>
                <m:d>
                  <m:dPr>
                    <m:ctrlPr>
                      <w:rPr>
                        <w:rFonts w:ascii="Cambria Math" w:hAnsi="Cambria Math"/>
                        <w:b/>
                        <w:sz w:val="24"/>
                        <w:szCs w:val="24"/>
                        <w:lang w:val="en-US"/>
                      </w:rPr>
                    </m:ctrlPr>
                  </m:dPr>
                  <m:e>
                    <m:sSup>
                      <m:sSupPr>
                        <m:ctrlPr>
                          <w:rPr>
                            <w:rFonts w:ascii="Cambria Math" w:hAnsi="Cambria Math"/>
                            <w:b/>
                            <w:sz w:val="24"/>
                            <w:szCs w:val="24"/>
                            <w:lang w:val="en-US"/>
                          </w:rPr>
                        </m:ctrlPr>
                      </m:sSupPr>
                      <m:e>
                        <m:r>
                          <m:rPr>
                            <m:sty m:val="b"/>
                          </m:rPr>
                          <w:rPr>
                            <w:rFonts w:ascii="Cambria Math" w:hAnsi="Cambria Math"/>
                            <w:sz w:val="24"/>
                            <w:szCs w:val="24"/>
                          </w:rPr>
                          <m:t>ω</m:t>
                        </m:r>
                      </m:e>
                      <m:sup>
                        <m:r>
                          <m:rPr>
                            <m:sty m:val="b"/>
                          </m:rPr>
                          <w:rPr>
                            <w:rFonts w:ascii="Cambria Math" w:hAnsi="Cambria Math"/>
                            <w:sz w:val="24"/>
                            <w:szCs w:val="24"/>
                          </w:rPr>
                          <m:t>2</m:t>
                        </m:r>
                      </m:sup>
                    </m:sSup>
                  </m:e>
                </m:d>
              </m:e>
            </m:func>
            <m:r>
              <m:rPr>
                <m:sty m:val="b"/>
              </m:rPr>
              <w:rPr>
                <w:rFonts w:ascii="Cambria Math" w:hAnsi="Cambria Math"/>
                <w:sz w:val="24"/>
                <w:szCs w:val="24"/>
              </w:rPr>
              <m:t>-1</m:t>
            </m:r>
          </m:e>
        </m:rad>
      </m:oMath>
      <w:r w:rsidRPr="009D1C5D">
        <w:rPr>
          <w:rFonts w:ascii="Times New Roman" w:hAnsi="Times New Roman"/>
          <w:sz w:val="24"/>
          <w:szCs w:val="24"/>
        </w:rPr>
        <w:tab/>
        <w:t>Eq:3</w:t>
      </w:r>
    </w:p>
    <w:p w14:paraId="759E4A56"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The residual variability was modeled with an additive and a multiplicative component. Like other random-effects, the residual error can be dependent on subject-specific covariate of the analytical technique used to generate plasma concentration (</w:t>
      </w:r>
      <w:proofErr w:type="spellStart"/>
      <w:r w:rsidRPr="009D1C5D">
        <w:rPr>
          <w:rFonts w:ascii="Times New Roman" w:hAnsi="Times New Roman"/>
          <w:sz w:val="24"/>
          <w:szCs w:val="24"/>
        </w:rPr>
        <w:t>Bonate</w:t>
      </w:r>
      <w:proofErr w:type="spellEnd"/>
      <w:r w:rsidRPr="009D1C5D">
        <w:rPr>
          <w:rFonts w:ascii="Times New Roman" w:hAnsi="Times New Roman"/>
          <w:sz w:val="24"/>
          <w:szCs w:val="24"/>
        </w:rPr>
        <w:t xml:space="preserve">, 2011). In the error model a covariate was included to take account of the fact that three differing analytical techniques were used to generate the data set.  </w:t>
      </w:r>
    </w:p>
    <w:p w14:paraId="5496CCB6"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The residual error model without covariate was of the form (equation 4):</w:t>
      </w:r>
    </w:p>
    <w:p w14:paraId="38384B8B" w14:textId="77777777" w:rsidR="002556D6" w:rsidRPr="009D1C5D" w:rsidRDefault="002556D6" w:rsidP="009D1C5D">
      <w:pPr>
        <w:spacing w:after="0" w:line="240" w:lineRule="auto"/>
        <w:jc w:val="center"/>
        <w:rPr>
          <w:rFonts w:ascii="Times New Roman" w:hAnsi="Times New Roman"/>
          <w:sz w:val="24"/>
          <w:szCs w:val="24"/>
        </w:rPr>
      </w:pPr>
      <m:oMath>
        <m:r>
          <m:rPr>
            <m:sty m:val="b"/>
          </m:rPr>
          <w:rPr>
            <w:rFonts w:ascii="Cambria Math" w:hAnsi="Cambria Math"/>
            <w:sz w:val="24"/>
            <w:szCs w:val="24"/>
          </w:rPr>
          <m:t>Y=</m:t>
        </m:r>
        <m:r>
          <m:rPr>
            <m:sty m:val="bi"/>
          </m:rPr>
          <w:rPr>
            <w:rFonts w:ascii="Cambria Math" w:hAnsi="Cambria Math"/>
            <w:sz w:val="24"/>
            <w:szCs w:val="24"/>
          </w:rPr>
          <m:t>f</m:t>
        </m:r>
        <m:d>
          <m:dPr>
            <m:ctrlPr>
              <w:rPr>
                <w:rFonts w:ascii="Cambria Math" w:hAnsi="Cambria Math"/>
                <w:b/>
                <w:sz w:val="24"/>
                <w:szCs w:val="24"/>
                <w:lang w:val="en-US"/>
              </w:rPr>
            </m:ctrlPr>
          </m:dPr>
          <m:e>
            <m:r>
              <m:rPr>
                <m:sty m:val="bi"/>
              </m:rPr>
              <w:rPr>
                <w:rFonts w:ascii="Cambria Math" w:hAnsi="Cambria Math"/>
                <w:sz w:val="24"/>
                <w:szCs w:val="24"/>
              </w:rPr>
              <m:t>θ</m:t>
            </m:r>
            <m:r>
              <m:rPr>
                <m:sty m:val="b"/>
              </m:rPr>
              <w:rPr>
                <w:rFonts w:ascii="Cambria Math" w:hAnsi="Cambria Math"/>
                <w:sz w:val="24"/>
                <w:szCs w:val="24"/>
              </w:rPr>
              <m:t>,</m:t>
            </m:r>
            <m:r>
              <m:rPr>
                <m:sty m:val="bi"/>
              </m:rPr>
              <w:rPr>
                <w:rFonts w:ascii="Cambria Math" w:hAnsi="Cambria Math"/>
                <w:sz w:val="24"/>
                <w:szCs w:val="24"/>
              </w:rPr>
              <m:t>Time</m:t>
            </m:r>
          </m:e>
        </m:d>
        <m:r>
          <m:rPr>
            <m:sty m:val="b"/>
          </m:rPr>
          <w:rPr>
            <w:rFonts w:ascii="Cambria Math" w:hAnsi="Cambria Math"/>
            <w:sz w:val="24"/>
            <w:szCs w:val="24"/>
          </w:rPr>
          <m:t>×</m:t>
        </m:r>
        <m:d>
          <m:dPr>
            <m:ctrlPr>
              <w:rPr>
                <w:rFonts w:ascii="Cambria Math" w:hAnsi="Cambria Math"/>
                <w:b/>
                <w:sz w:val="24"/>
                <w:szCs w:val="24"/>
                <w:lang w:val="en-US"/>
              </w:rPr>
            </m:ctrlPr>
          </m:dPr>
          <m:e>
            <m:r>
              <m:rPr>
                <m:sty m:val="b"/>
              </m:rPr>
              <w:rPr>
                <w:rFonts w:ascii="Cambria Math" w:hAnsi="Cambria Math"/>
                <w:sz w:val="24"/>
                <w:szCs w:val="24"/>
              </w:rPr>
              <m:t>1+</m:t>
            </m:r>
            <m:sSub>
              <m:sSubPr>
                <m:ctrlPr>
                  <w:rPr>
                    <w:rFonts w:ascii="Cambria Math" w:hAnsi="Cambria Math"/>
                    <w:b/>
                    <w:sz w:val="24"/>
                    <w:szCs w:val="24"/>
                    <w:lang w:val="en-US"/>
                  </w:rPr>
                </m:ctrlPr>
              </m:sSubPr>
              <m:e>
                <m:r>
                  <m:rPr>
                    <m:sty m:val="bi"/>
                  </m:rPr>
                  <w:rPr>
                    <w:rFonts w:ascii="Cambria Math" w:hAnsi="Cambria Math"/>
                    <w:sz w:val="24"/>
                    <w:szCs w:val="24"/>
                  </w:rPr>
                  <m:t>ε</m:t>
                </m:r>
              </m:e>
              <m:sub>
                <m:r>
                  <m:rPr>
                    <m:sty m:val="b"/>
                  </m:rPr>
                  <w:rPr>
                    <w:rFonts w:ascii="Cambria Math" w:hAnsi="Cambria Math"/>
                    <w:sz w:val="24"/>
                    <w:szCs w:val="24"/>
                  </w:rPr>
                  <m:t>1</m:t>
                </m:r>
              </m:sub>
            </m:sSub>
          </m:e>
        </m:d>
        <m:r>
          <m:rPr>
            <m:sty m:val="b"/>
          </m:rPr>
          <w:rPr>
            <w:rFonts w:ascii="Cambria Math" w:hAnsi="Cambria Math"/>
            <w:sz w:val="24"/>
            <w:szCs w:val="24"/>
          </w:rPr>
          <m:t>+</m:t>
        </m:r>
        <m:sSub>
          <m:sSubPr>
            <m:ctrlPr>
              <w:rPr>
                <w:rFonts w:ascii="Cambria Math" w:hAnsi="Cambria Math"/>
                <w:b/>
                <w:sz w:val="24"/>
                <w:szCs w:val="24"/>
                <w:lang w:val="en-US"/>
              </w:rPr>
            </m:ctrlPr>
          </m:sSubPr>
          <m:e>
            <m:r>
              <m:rPr>
                <m:sty m:val="bi"/>
              </m:rPr>
              <w:rPr>
                <w:rFonts w:ascii="Cambria Math" w:hAnsi="Cambria Math"/>
                <w:sz w:val="24"/>
                <w:szCs w:val="24"/>
              </w:rPr>
              <m:t>ε</m:t>
            </m:r>
          </m:e>
          <m:sub>
            <m:r>
              <m:rPr>
                <m:sty m:val="b"/>
              </m:rPr>
              <w:rPr>
                <w:rFonts w:ascii="Cambria Math" w:hAnsi="Cambria Math"/>
                <w:sz w:val="24"/>
                <w:szCs w:val="24"/>
              </w:rPr>
              <m:t>2</m:t>
            </m:r>
          </m:sub>
        </m:sSub>
      </m:oMath>
      <w:r w:rsidRPr="009D1C5D">
        <w:rPr>
          <w:rFonts w:ascii="Times New Roman" w:hAnsi="Times New Roman"/>
          <w:sz w:val="24"/>
          <w:szCs w:val="24"/>
        </w:rPr>
        <w:tab/>
        <w:t>Eq.4</w:t>
      </w:r>
    </w:p>
    <w:p w14:paraId="62B6DCC6"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 xml:space="preserve">with ε1 the multiplicative error term having a mean of 0 and a variance of σ1 </w:t>
      </w:r>
    </w:p>
    <w:p w14:paraId="1C408A7F" w14:textId="77777777" w:rsidR="002556D6" w:rsidRPr="009D1C5D" w:rsidRDefault="002556D6" w:rsidP="009D1C5D">
      <w:pPr>
        <w:spacing w:after="0" w:line="240" w:lineRule="auto"/>
        <w:rPr>
          <w:rFonts w:ascii="Times New Roman" w:hAnsi="Times New Roman"/>
          <w:b/>
          <w:sz w:val="24"/>
          <w:szCs w:val="24"/>
        </w:rPr>
      </w:pPr>
      <m:oMathPara>
        <m:oMathParaPr>
          <m:jc m:val="center"/>
        </m:oMathParaPr>
        <m:oMath>
          <m:r>
            <m:rPr>
              <m:sty m:val="bi"/>
            </m:rPr>
            <w:rPr>
              <w:rFonts w:ascii="Cambria Math" w:hAnsi="Cambria Math"/>
              <w:sz w:val="24"/>
              <w:szCs w:val="24"/>
            </w:rPr>
            <m:t>ε</m:t>
          </m:r>
          <m:r>
            <m:rPr>
              <m:sty m:val="b"/>
            </m:rPr>
            <w:rPr>
              <w:rFonts w:ascii="Cambria Math" w:hAnsi="Cambria Math"/>
              <w:sz w:val="24"/>
              <w:szCs w:val="24"/>
            </w:rPr>
            <m:t>1≈</m:t>
          </m:r>
          <m:r>
            <m:rPr>
              <m:sty m:val="bi"/>
            </m:rPr>
            <w:rPr>
              <w:rFonts w:ascii="Cambria Math" w:hAnsi="Cambria Math"/>
              <w:sz w:val="24"/>
              <w:szCs w:val="24"/>
            </w:rPr>
            <m:t>N</m:t>
          </m:r>
          <m:r>
            <m:rPr>
              <m:sty m:val="b"/>
            </m:rPr>
            <w:rPr>
              <w:rFonts w:ascii="Cambria Math" w:hAnsi="Cambria Math"/>
              <w:sz w:val="24"/>
              <w:szCs w:val="24"/>
            </w:rPr>
            <m:t>(0,</m:t>
          </m:r>
          <m:sSup>
            <m:sSupPr>
              <m:ctrlPr>
                <w:rPr>
                  <w:rFonts w:ascii="Cambria Math" w:hAnsi="Cambria Math"/>
                  <w:b/>
                  <w:sz w:val="24"/>
                  <w:szCs w:val="24"/>
                  <w:lang w:val="en-US"/>
                </w:rPr>
              </m:ctrlPr>
            </m:sSupPr>
            <m:e>
              <m:r>
                <m:rPr>
                  <m:sty m:val="bi"/>
                </m:rPr>
                <w:rPr>
                  <w:rFonts w:ascii="Cambria Math" w:hAnsi="Cambria Math"/>
                  <w:sz w:val="24"/>
                  <w:szCs w:val="24"/>
                </w:rPr>
                <m:t>σ</m:t>
              </m:r>
              <m:r>
                <m:rPr>
                  <m:sty m:val="b"/>
                </m:rPr>
                <w:rPr>
                  <w:rFonts w:ascii="Cambria Math" w:hAnsi="Cambria Math"/>
                  <w:sz w:val="24"/>
                  <w:szCs w:val="24"/>
                </w:rPr>
                <m:t>1</m:t>
              </m:r>
            </m:e>
            <m:sup>
              <m:r>
                <m:rPr>
                  <m:sty m:val="b"/>
                </m:rPr>
                <w:rPr>
                  <w:rFonts w:ascii="Cambria Math" w:hAnsi="Cambria Math"/>
                  <w:sz w:val="24"/>
                  <w:szCs w:val="24"/>
                </w:rPr>
                <m:t>2</m:t>
              </m:r>
            </m:sup>
          </m:sSup>
          <m:r>
            <m:rPr>
              <m:sty m:val="b"/>
            </m:rPr>
            <w:rPr>
              <w:rFonts w:ascii="Cambria Math" w:hAnsi="Cambria Math"/>
              <w:sz w:val="24"/>
              <w:szCs w:val="24"/>
            </w:rPr>
            <m:t>)</m:t>
          </m:r>
        </m:oMath>
      </m:oMathPara>
    </w:p>
    <w:p w14:paraId="730DF98F" w14:textId="77777777" w:rsidR="002556D6" w:rsidRPr="009D1C5D" w:rsidRDefault="002556D6" w:rsidP="009D1C5D">
      <w:pPr>
        <w:spacing w:before="240" w:after="0" w:line="240" w:lineRule="auto"/>
        <w:rPr>
          <w:rFonts w:ascii="Times New Roman" w:hAnsi="Times New Roman"/>
          <w:sz w:val="24"/>
          <w:szCs w:val="24"/>
        </w:rPr>
      </w:pPr>
      <w:r w:rsidRPr="009D1C5D">
        <w:rPr>
          <w:rFonts w:ascii="Times New Roman" w:hAnsi="Times New Roman"/>
          <w:sz w:val="24"/>
          <w:szCs w:val="24"/>
        </w:rPr>
        <w:t xml:space="preserve">and ε2 the common additive error term having a mean of 0 and a variance noted σ2 </w:t>
      </w:r>
    </w:p>
    <w:p w14:paraId="7A2BD177" w14:textId="77777777" w:rsidR="002556D6" w:rsidRPr="009D1C5D" w:rsidRDefault="002556D6" w:rsidP="009D1C5D">
      <w:pPr>
        <w:spacing w:after="0" w:line="240" w:lineRule="auto"/>
        <w:rPr>
          <w:rFonts w:ascii="Times New Roman" w:hAnsi="Times New Roman"/>
          <w:b/>
          <w:sz w:val="24"/>
          <w:szCs w:val="24"/>
        </w:rPr>
      </w:pPr>
      <m:oMathPara>
        <m:oMathParaPr>
          <m:jc m:val="center"/>
        </m:oMathParaPr>
        <m:oMath>
          <m:r>
            <m:rPr>
              <m:sty m:val="bi"/>
            </m:rPr>
            <w:rPr>
              <w:rFonts w:ascii="Cambria Math" w:hAnsi="Cambria Math"/>
              <w:sz w:val="24"/>
              <w:szCs w:val="24"/>
            </w:rPr>
            <m:t>ε</m:t>
          </m:r>
          <m:r>
            <m:rPr>
              <m:sty m:val="b"/>
            </m:rPr>
            <w:rPr>
              <w:rFonts w:ascii="Cambria Math" w:hAnsi="Cambria Math"/>
              <w:sz w:val="24"/>
              <w:szCs w:val="24"/>
            </w:rPr>
            <m:t>2≈</m:t>
          </m:r>
          <m:r>
            <m:rPr>
              <m:sty m:val="bi"/>
            </m:rPr>
            <w:rPr>
              <w:rFonts w:ascii="Cambria Math" w:hAnsi="Cambria Math"/>
              <w:sz w:val="24"/>
              <w:szCs w:val="24"/>
            </w:rPr>
            <m:t>N</m:t>
          </m:r>
          <m:r>
            <m:rPr>
              <m:sty m:val="b"/>
            </m:rPr>
            <w:rPr>
              <w:rFonts w:ascii="Cambria Math" w:hAnsi="Cambria Math"/>
              <w:sz w:val="24"/>
              <w:szCs w:val="24"/>
            </w:rPr>
            <m:t>(0,</m:t>
          </m:r>
          <m:sSup>
            <m:sSupPr>
              <m:ctrlPr>
                <w:rPr>
                  <w:rFonts w:ascii="Cambria Math" w:hAnsi="Cambria Math"/>
                  <w:b/>
                  <w:sz w:val="24"/>
                  <w:szCs w:val="24"/>
                  <w:lang w:val="en-US"/>
                </w:rPr>
              </m:ctrlPr>
            </m:sSupPr>
            <m:e>
              <m:r>
                <m:rPr>
                  <m:sty m:val="bi"/>
                </m:rPr>
                <w:rPr>
                  <w:rFonts w:ascii="Cambria Math" w:hAnsi="Cambria Math"/>
                  <w:sz w:val="24"/>
                  <w:szCs w:val="24"/>
                </w:rPr>
                <m:t>σ</m:t>
              </m:r>
              <m:r>
                <m:rPr>
                  <m:sty m:val="b"/>
                </m:rPr>
                <w:rPr>
                  <w:rFonts w:ascii="Cambria Math" w:hAnsi="Cambria Math"/>
                  <w:sz w:val="24"/>
                  <w:szCs w:val="24"/>
                </w:rPr>
                <m:t>2</m:t>
              </m:r>
            </m:e>
            <m:sup>
              <m:r>
                <m:rPr>
                  <m:sty m:val="b"/>
                </m:rPr>
                <w:rPr>
                  <w:rFonts w:ascii="Cambria Math" w:hAnsi="Cambria Math"/>
                  <w:sz w:val="24"/>
                  <w:szCs w:val="24"/>
                </w:rPr>
                <m:t>2</m:t>
              </m:r>
            </m:sup>
          </m:sSup>
          <m:r>
            <m:rPr>
              <m:sty m:val="b"/>
            </m:rPr>
            <w:rPr>
              <w:rFonts w:ascii="Cambria Math" w:hAnsi="Cambria Math"/>
              <w:sz w:val="24"/>
              <w:szCs w:val="24"/>
            </w:rPr>
            <m:t>)</m:t>
          </m:r>
        </m:oMath>
      </m:oMathPara>
    </w:p>
    <w:p w14:paraId="7E0FBF6F" w14:textId="77777777" w:rsidR="002556D6" w:rsidRPr="009D1C5D" w:rsidRDefault="002556D6" w:rsidP="009D1C5D">
      <w:pPr>
        <w:spacing w:after="0" w:line="240" w:lineRule="auto"/>
        <w:rPr>
          <w:rFonts w:ascii="Times New Roman" w:hAnsi="Times New Roman"/>
          <w:sz w:val="24"/>
          <w:szCs w:val="24"/>
        </w:rPr>
      </w:pPr>
      <w:r w:rsidRPr="009D1C5D">
        <w:rPr>
          <w:rFonts w:ascii="Times New Roman" w:hAnsi="Times New Roman"/>
          <w:sz w:val="24"/>
          <w:szCs w:val="24"/>
        </w:rPr>
        <w:t>Sigma1 and Sigma2 were estimated by Phoenix and reported as a CV% for sigma1 and as a STDV for sigma2.</w:t>
      </w:r>
    </w:p>
    <w:p w14:paraId="3D2FF33F" w14:textId="77777777" w:rsidR="009D1C5D" w:rsidRDefault="002556D6" w:rsidP="009D1C5D">
      <w:pPr>
        <w:spacing w:before="240" w:after="0" w:line="240" w:lineRule="auto"/>
        <w:rPr>
          <w:rFonts w:ascii="Times New Roman" w:hAnsi="Times New Roman"/>
          <w:sz w:val="24"/>
          <w:szCs w:val="24"/>
        </w:rPr>
      </w:pPr>
      <w:r w:rsidRPr="009D1C5D">
        <w:rPr>
          <w:rFonts w:ascii="Times New Roman" w:hAnsi="Times New Roman"/>
          <w:sz w:val="24"/>
          <w:szCs w:val="24"/>
        </w:rPr>
        <w:t>Secondary parameters were also computed (terminal half-lives for the first and second phase of drug disposition and contribution of the first and second phases to drug absorption)</w:t>
      </w:r>
      <w:r w:rsidR="009D1C5D">
        <w:rPr>
          <w:rFonts w:ascii="Times New Roman" w:hAnsi="Times New Roman"/>
          <w:sz w:val="24"/>
          <w:szCs w:val="24"/>
        </w:rPr>
        <w:t xml:space="preserve"> and reported in </w:t>
      </w:r>
      <w:r w:rsidR="009D1C5D" w:rsidRPr="009D1C5D">
        <w:rPr>
          <w:rFonts w:ascii="Times New Roman" w:hAnsi="Times New Roman"/>
          <w:sz w:val="24"/>
          <w:szCs w:val="24"/>
        </w:rPr>
        <w:t>Supplementary Table 1</w:t>
      </w:r>
      <w:r w:rsidRPr="009D1C5D">
        <w:rPr>
          <w:rFonts w:ascii="Times New Roman" w:hAnsi="Times New Roman"/>
          <w:sz w:val="24"/>
          <w:szCs w:val="24"/>
        </w:rPr>
        <w:t>.</w:t>
      </w:r>
    </w:p>
    <w:p w14:paraId="73937D58" w14:textId="77777777" w:rsidR="009D1C5D" w:rsidRPr="009D1C5D" w:rsidRDefault="009D1C5D" w:rsidP="009D1C5D">
      <w:pPr>
        <w:spacing w:before="240" w:after="0" w:line="240" w:lineRule="auto"/>
        <w:rPr>
          <w:rFonts w:ascii="Times New Roman" w:hAnsi="Times New Roman"/>
          <w:sz w:val="24"/>
          <w:szCs w:val="24"/>
        </w:rPr>
      </w:pPr>
    </w:p>
    <w:p w14:paraId="7C3C816A" w14:textId="77777777" w:rsidR="00B403D5" w:rsidRPr="009D1C5D" w:rsidRDefault="009D1C5D" w:rsidP="000C29AC">
      <w:pPr>
        <w:spacing w:line="276" w:lineRule="auto"/>
        <w:rPr>
          <w:sz w:val="24"/>
          <w:szCs w:val="24"/>
        </w:rPr>
      </w:pPr>
      <w:r>
        <w:rPr>
          <w:rFonts w:ascii="Times New Roman" w:hAnsi="Times New Roman" w:cs="Times New Roman"/>
          <w:b/>
          <w:sz w:val="24"/>
          <w:szCs w:val="24"/>
        </w:rPr>
        <w:t>Supplementary Table 1</w:t>
      </w:r>
      <w:r w:rsidR="006B7F20">
        <w:rPr>
          <w:rFonts w:ascii="Times New Roman" w:hAnsi="Times New Roman" w:cs="Times New Roman"/>
          <w:b/>
          <w:sz w:val="24"/>
          <w:szCs w:val="24"/>
        </w:rPr>
        <w:t>-S3</w:t>
      </w:r>
      <w:r w:rsidR="00B403D5" w:rsidRPr="009D1C5D">
        <w:rPr>
          <w:sz w:val="24"/>
          <w:szCs w:val="24"/>
        </w:rPr>
        <w:t xml:space="preserve">: </w:t>
      </w:r>
      <w:r w:rsidR="00B403D5" w:rsidRPr="009D1C5D">
        <w:rPr>
          <w:rFonts w:ascii="Times New Roman" w:hAnsi="Times New Roman" w:cs="Times New Roman"/>
          <w:sz w:val="24"/>
          <w:szCs w:val="24"/>
        </w:rPr>
        <w:t>Population primary (Thetas) and secondary parameters and random effects (Omega) for florfenicol in 50 calves obtained with a 2-compartment model</w:t>
      </w:r>
      <w:r w:rsidR="0036675F">
        <w:rPr>
          <w:rFonts w:ascii="Times New Roman" w:hAnsi="Times New Roman" w:cs="Times New Roman"/>
          <w:sz w:val="24"/>
          <w:szCs w:val="24"/>
        </w:rPr>
        <w:t>. Florfenicol was administered at a 40mg/kg dose</w:t>
      </w:r>
      <w:r w:rsidR="00D51686">
        <w:rPr>
          <w:rFonts w:ascii="Times New Roman" w:hAnsi="Times New Roman" w:cs="Times New Roman"/>
          <w:sz w:val="24"/>
          <w:szCs w:val="24"/>
        </w:rPr>
        <w:t>,</w:t>
      </w:r>
      <w:r w:rsidR="0036675F">
        <w:rPr>
          <w:rFonts w:ascii="Times New Roman" w:hAnsi="Times New Roman" w:cs="Times New Roman"/>
          <w:sz w:val="24"/>
          <w:szCs w:val="24"/>
        </w:rPr>
        <w:t xml:space="preserve"> subcutaneously. </w:t>
      </w:r>
      <w:r w:rsidR="00B403D5" w:rsidRPr="009D1C5D">
        <w:rPr>
          <w:sz w:val="24"/>
          <w:szCs w:val="24"/>
        </w:rPr>
        <w:t xml:space="preserve">  </w:t>
      </w:r>
    </w:p>
    <w:tbl>
      <w:tblPr>
        <w:tblStyle w:val="PlainTable2"/>
        <w:tblW w:w="5000" w:type="pct"/>
        <w:tblInd w:w="0" w:type="dxa"/>
        <w:tblLook w:val="0680" w:firstRow="0" w:lastRow="0" w:firstColumn="1" w:lastColumn="0" w:noHBand="1" w:noVBand="1"/>
      </w:tblPr>
      <w:tblGrid>
        <w:gridCol w:w="2621"/>
        <w:gridCol w:w="1072"/>
        <w:gridCol w:w="967"/>
        <w:gridCol w:w="1384"/>
        <w:gridCol w:w="800"/>
        <w:gridCol w:w="50"/>
        <w:gridCol w:w="939"/>
        <w:gridCol w:w="72"/>
        <w:gridCol w:w="1121"/>
      </w:tblGrid>
      <w:tr w:rsidR="00B403D5" w:rsidRPr="009D1C5D" w14:paraId="2BDBC530"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single" w:sz="4" w:space="0" w:color="7F7F7F" w:themeColor="text1" w:themeTint="80"/>
              <w:left w:val="nil"/>
              <w:bottom w:val="nil"/>
              <w:right w:val="nil"/>
            </w:tcBorders>
            <w:noWrap/>
            <w:hideMark/>
          </w:tcPr>
          <w:p w14:paraId="383DC7CE" w14:textId="77777777" w:rsidR="00B403D5" w:rsidRPr="009D1C5D" w:rsidRDefault="00B403D5" w:rsidP="000C29AC">
            <w:pPr>
              <w:spacing w:line="276" w:lineRule="auto"/>
              <w:rPr>
                <w:rFonts w:ascii="Times New Roman" w:hAnsi="Times New Roman"/>
                <w:b w:val="0"/>
                <w:bCs w:val="0"/>
                <w:sz w:val="22"/>
                <w:szCs w:val="22"/>
              </w:rPr>
            </w:pPr>
            <w:r w:rsidRPr="009D1C5D">
              <w:rPr>
                <w:rFonts w:ascii="Times New Roman" w:hAnsi="Times New Roman"/>
                <w:sz w:val="22"/>
                <w:szCs w:val="22"/>
              </w:rPr>
              <w:t>THETAS</w:t>
            </w:r>
          </w:p>
        </w:tc>
        <w:tc>
          <w:tcPr>
            <w:tcW w:w="545" w:type="pct"/>
            <w:tcBorders>
              <w:top w:val="single" w:sz="4" w:space="0" w:color="7F7F7F" w:themeColor="text1" w:themeTint="80"/>
              <w:left w:val="nil"/>
              <w:bottom w:val="nil"/>
              <w:right w:val="nil"/>
            </w:tcBorders>
            <w:noWrap/>
            <w:hideMark/>
          </w:tcPr>
          <w:p w14:paraId="3526ECE6"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proofErr w:type="spellStart"/>
            <w:r w:rsidRPr="009D1C5D">
              <w:rPr>
                <w:rFonts w:ascii="Times New Roman" w:hAnsi="Times New Roman"/>
                <w:b/>
                <w:sz w:val="22"/>
                <w:szCs w:val="22"/>
              </w:rPr>
              <w:t>Estimate</w:t>
            </w:r>
            <w:proofErr w:type="spellEnd"/>
          </w:p>
        </w:tc>
        <w:tc>
          <w:tcPr>
            <w:tcW w:w="545" w:type="pct"/>
            <w:tcBorders>
              <w:top w:val="single" w:sz="4" w:space="0" w:color="7F7F7F" w:themeColor="text1" w:themeTint="80"/>
              <w:left w:val="nil"/>
              <w:bottom w:val="nil"/>
              <w:right w:val="nil"/>
            </w:tcBorders>
            <w:noWrap/>
            <w:hideMark/>
          </w:tcPr>
          <w:p w14:paraId="315AFCD6"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proofErr w:type="spellStart"/>
            <w:r w:rsidRPr="009D1C5D">
              <w:rPr>
                <w:rFonts w:ascii="Times New Roman" w:hAnsi="Times New Roman"/>
                <w:b/>
                <w:sz w:val="22"/>
                <w:szCs w:val="22"/>
              </w:rPr>
              <w:t>Units</w:t>
            </w:r>
            <w:proofErr w:type="spellEnd"/>
          </w:p>
        </w:tc>
        <w:tc>
          <w:tcPr>
            <w:tcW w:w="714" w:type="pct"/>
            <w:tcBorders>
              <w:top w:val="single" w:sz="4" w:space="0" w:color="7F7F7F" w:themeColor="text1" w:themeTint="80"/>
              <w:left w:val="nil"/>
              <w:bottom w:val="nil"/>
              <w:right w:val="nil"/>
            </w:tcBorders>
            <w:noWrap/>
            <w:hideMark/>
          </w:tcPr>
          <w:p w14:paraId="0AA269F3"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SE</w:t>
            </w:r>
          </w:p>
        </w:tc>
        <w:tc>
          <w:tcPr>
            <w:tcW w:w="585" w:type="pct"/>
            <w:gridSpan w:val="2"/>
            <w:tcBorders>
              <w:top w:val="single" w:sz="4" w:space="0" w:color="7F7F7F" w:themeColor="text1" w:themeTint="80"/>
              <w:left w:val="nil"/>
              <w:bottom w:val="nil"/>
              <w:right w:val="nil"/>
            </w:tcBorders>
            <w:hideMark/>
          </w:tcPr>
          <w:p w14:paraId="13C73857"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 xml:space="preserve">CV% </w:t>
            </w:r>
          </w:p>
        </w:tc>
        <w:tc>
          <w:tcPr>
            <w:tcW w:w="546" w:type="pct"/>
            <w:gridSpan w:val="2"/>
            <w:tcBorders>
              <w:top w:val="single" w:sz="4" w:space="0" w:color="7F7F7F" w:themeColor="text1" w:themeTint="80"/>
              <w:left w:val="nil"/>
              <w:bottom w:val="nil"/>
              <w:right w:val="nil"/>
            </w:tcBorders>
            <w:noWrap/>
            <w:hideMark/>
          </w:tcPr>
          <w:p w14:paraId="5CC929C3"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2.5% CI</w:t>
            </w:r>
          </w:p>
        </w:tc>
        <w:tc>
          <w:tcPr>
            <w:tcW w:w="546" w:type="pct"/>
            <w:tcBorders>
              <w:top w:val="single" w:sz="4" w:space="0" w:color="7F7F7F" w:themeColor="text1" w:themeTint="80"/>
              <w:left w:val="nil"/>
              <w:bottom w:val="nil"/>
              <w:right w:val="nil"/>
            </w:tcBorders>
            <w:noWrap/>
            <w:hideMark/>
          </w:tcPr>
          <w:p w14:paraId="2C53F49C"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97.5% CI</w:t>
            </w:r>
          </w:p>
        </w:tc>
      </w:tr>
      <w:tr w:rsidR="00B403D5" w:rsidRPr="009D1C5D" w14:paraId="14F3D526"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292884FA" w14:textId="77777777" w:rsidR="00B403D5" w:rsidRPr="009D1C5D" w:rsidRDefault="00B403D5" w:rsidP="000C29AC">
            <w:pPr>
              <w:spacing w:line="276" w:lineRule="auto"/>
              <w:rPr>
                <w:rFonts w:ascii="Times New Roman" w:hAnsi="Times New Roman"/>
                <w:b w:val="0"/>
                <w:sz w:val="22"/>
                <w:szCs w:val="22"/>
              </w:rPr>
            </w:pPr>
            <w:proofErr w:type="spellStart"/>
            <w:r w:rsidRPr="009D1C5D">
              <w:rPr>
                <w:rFonts w:ascii="Times New Roman" w:hAnsi="Times New Roman"/>
                <w:b w:val="0"/>
                <w:sz w:val="22"/>
                <w:szCs w:val="22"/>
              </w:rPr>
              <w:t>tvKa</w:t>
            </w:r>
            <w:proofErr w:type="spellEnd"/>
          </w:p>
        </w:tc>
        <w:tc>
          <w:tcPr>
            <w:tcW w:w="545" w:type="pct"/>
            <w:tcBorders>
              <w:top w:val="nil"/>
              <w:left w:val="nil"/>
              <w:bottom w:val="nil"/>
              <w:right w:val="nil"/>
            </w:tcBorders>
            <w:noWrap/>
            <w:hideMark/>
          </w:tcPr>
          <w:p w14:paraId="128229B0"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0.975</w:t>
            </w:r>
          </w:p>
        </w:tc>
        <w:tc>
          <w:tcPr>
            <w:tcW w:w="545" w:type="pct"/>
            <w:tcBorders>
              <w:top w:val="nil"/>
              <w:left w:val="nil"/>
              <w:bottom w:val="nil"/>
              <w:right w:val="nil"/>
            </w:tcBorders>
            <w:noWrap/>
            <w:hideMark/>
          </w:tcPr>
          <w:p w14:paraId="268607A0"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1/h</w:t>
            </w:r>
          </w:p>
        </w:tc>
        <w:tc>
          <w:tcPr>
            <w:tcW w:w="714" w:type="pct"/>
            <w:tcBorders>
              <w:top w:val="nil"/>
              <w:left w:val="nil"/>
              <w:bottom w:val="nil"/>
              <w:right w:val="nil"/>
            </w:tcBorders>
            <w:noWrap/>
            <w:hideMark/>
          </w:tcPr>
          <w:p w14:paraId="7EDF51EC"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0.123</w:t>
            </w:r>
          </w:p>
        </w:tc>
        <w:tc>
          <w:tcPr>
            <w:tcW w:w="585" w:type="pct"/>
            <w:gridSpan w:val="2"/>
            <w:tcBorders>
              <w:top w:val="nil"/>
              <w:left w:val="nil"/>
              <w:bottom w:val="nil"/>
              <w:right w:val="nil"/>
            </w:tcBorders>
            <w:hideMark/>
          </w:tcPr>
          <w:p w14:paraId="5856D1E7"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12.66</w:t>
            </w:r>
          </w:p>
        </w:tc>
        <w:tc>
          <w:tcPr>
            <w:tcW w:w="546" w:type="pct"/>
            <w:gridSpan w:val="2"/>
            <w:tcBorders>
              <w:top w:val="nil"/>
              <w:left w:val="nil"/>
              <w:bottom w:val="nil"/>
              <w:right w:val="nil"/>
            </w:tcBorders>
            <w:noWrap/>
            <w:hideMark/>
          </w:tcPr>
          <w:p w14:paraId="15BF7ED6"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0.733</w:t>
            </w:r>
          </w:p>
        </w:tc>
        <w:tc>
          <w:tcPr>
            <w:tcW w:w="546" w:type="pct"/>
            <w:tcBorders>
              <w:top w:val="nil"/>
              <w:left w:val="nil"/>
              <w:bottom w:val="nil"/>
              <w:right w:val="nil"/>
            </w:tcBorders>
            <w:noWrap/>
            <w:hideMark/>
          </w:tcPr>
          <w:p w14:paraId="6E718B24"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1.218</w:t>
            </w:r>
          </w:p>
        </w:tc>
      </w:tr>
      <w:tr w:rsidR="00B403D5" w:rsidRPr="009D1C5D" w14:paraId="0AD46F79"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6944CA06" w14:textId="77777777" w:rsidR="00B403D5" w:rsidRPr="009D1C5D" w:rsidRDefault="00B403D5" w:rsidP="000C29AC">
            <w:pPr>
              <w:spacing w:line="276" w:lineRule="auto"/>
              <w:rPr>
                <w:rFonts w:ascii="Times New Roman" w:hAnsi="Times New Roman"/>
                <w:b w:val="0"/>
                <w:sz w:val="22"/>
                <w:szCs w:val="22"/>
              </w:rPr>
            </w:pPr>
            <w:proofErr w:type="spellStart"/>
            <w:r w:rsidRPr="009D1C5D">
              <w:rPr>
                <w:rFonts w:ascii="Times New Roman" w:hAnsi="Times New Roman"/>
                <w:b w:val="0"/>
                <w:sz w:val="22"/>
                <w:szCs w:val="22"/>
              </w:rPr>
              <w:t>tvA</w:t>
            </w:r>
            <w:proofErr w:type="spellEnd"/>
          </w:p>
        </w:tc>
        <w:tc>
          <w:tcPr>
            <w:tcW w:w="545" w:type="pct"/>
            <w:tcBorders>
              <w:top w:val="nil"/>
              <w:left w:val="nil"/>
              <w:bottom w:val="nil"/>
              <w:right w:val="nil"/>
            </w:tcBorders>
            <w:noWrap/>
            <w:hideMark/>
          </w:tcPr>
          <w:p w14:paraId="0F07435D"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5.05</w:t>
            </w:r>
          </w:p>
        </w:tc>
        <w:tc>
          <w:tcPr>
            <w:tcW w:w="545" w:type="pct"/>
            <w:tcBorders>
              <w:top w:val="nil"/>
              <w:left w:val="nil"/>
              <w:bottom w:val="nil"/>
              <w:right w:val="nil"/>
            </w:tcBorders>
            <w:noWrap/>
            <w:hideMark/>
          </w:tcPr>
          <w:p w14:paraId="24B011F1"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µg/ml</w:t>
            </w:r>
          </w:p>
        </w:tc>
        <w:tc>
          <w:tcPr>
            <w:tcW w:w="714" w:type="pct"/>
            <w:tcBorders>
              <w:top w:val="nil"/>
              <w:left w:val="nil"/>
              <w:bottom w:val="nil"/>
              <w:right w:val="nil"/>
            </w:tcBorders>
            <w:noWrap/>
            <w:hideMark/>
          </w:tcPr>
          <w:p w14:paraId="11AD0526"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0.2368</w:t>
            </w:r>
          </w:p>
        </w:tc>
        <w:tc>
          <w:tcPr>
            <w:tcW w:w="585" w:type="pct"/>
            <w:gridSpan w:val="2"/>
            <w:tcBorders>
              <w:top w:val="nil"/>
              <w:left w:val="nil"/>
              <w:bottom w:val="nil"/>
              <w:right w:val="nil"/>
            </w:tcBorders>
            <w:noWrap/>
            <w:hideMark/>
          </w:tcPr>
          <w:p w14:paraId="35AB37EE"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4.69</w:t>
            </w:r>
          </w:p>
        </w:tc>
        <w:tc>
          <w:tcPr>
            <w:tcW w:w="546" w:type="pct"/>
            <w:gridSpan w:val="2"/>
            <w:tcBorders>
              <w:top w:val="nil"/>
              <w:left w:val="nil"/>
              <w:bottom w:val="nil"/>
              <w:right w:val="nil"/>
            </w:tcBorders>
            <w:noWrap/>
            <w:hideMark/>
          </w:tcPr>
          <w:p w14:paraId="048D76FD"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4.59</w:t>
            </w:r>
          </w:p>
        </w:tc>
        <w:tc>
          <w:tcPr>
            <w:tcW w:w="546" w:type="pct"/>
            <w:tcBorders>
              <w:top w:val="nil"/>
              <w:left w:val="nil"/>
              <w:bottom w:val="nil"/>
              <w:right w:val="nil"/>
            </w:tcBorders>
            <w:noWrap/>
            <w:hideMark/>
          </w:tcPr>
          <w:p w14:paraId="421A6D00"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5.52</w:t>
            </w:r>
          </w:p>
        </w:tc>
      </w:tr>
      <w:tr w:rsidR="00B403D5" w:rsidRPr="009D1C5D" w14:paraId="2BF700BD"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12C5199A" w14:textId="77777777" w:rsidR="00B403D5" w:rsidRPr="009D1C5D" w:rsidRDefault="00B403D5" w:rsidP="000C29AC">
            <w:pPr>
              <w:spacing w:line="276" w:lineRule="auto"/>
              <w:rPr>
                <w:rFonts w:ascii="Times New Roman" w:hAnsi="Times New Roman"/>
                <w:b w:val="0"/>
                <w:sz w:val="22"/>
                <w:szCs w:val="22"/>
              </w:rPr>
            </w:pPr>
            <w:proofErr w:type="spellStart"/>
            <w:r w:rsidRPr="009D1C5D">
              <w:rPr>
                <w:rFonts w:ascii="Times New Roman" w:hAnsi="Times New Roman"/>
                <w:b w:val="0"/>
                <w:sz w:val="22"/>
                <w:szCs w:val="22"/>
              </w:rPr>
              <w:t>tvAlpha</w:t>
            </w:r>
            <w:proofErr w:type="spellEnd"/>
          </w:p>
        </w:tc>
        <w:tc>
          <w:tcPr>
            <w:tcW w:w="545" w:type="pct"/>
            <w:tcBorders>
              <w:top w:val="nil"/>
              <w:left w:val="nil"/>
              <w:bottom w:val="nil"/>
              <w:right w:val="nil"/>
            </w:tcBorders>
            <w:noWrap/>
            <w:hideMark/>
          </w:tcPr>
          <w:p w14:paraId="2E73D59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0.0442</w:t>
            </w:r>
          </w:p>
        </w:tc>
        <w:tc>
          <w:tcPr>
            <w:tcW w:w="545" w:type="pct"/>
            <w:tcBorders>
              <w:top w:val="nil"/>
              <w:left w:val="nil"/>
              <w:bottom w:val="nil"/>
              <w:right w:val="nil"/>
            </w:tcBorders>
            <w:noWrap/>
            <w:hideMark/>
          </w:tcPr>
          <w:p w14:paraId="2CD658AD"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1/h</w:t>
            </w:r>
          </w:p>
        </w:tc>
        <w:tc>
          <w:tcPr>
            <w:tcW w:w="714" w:type="pct"/>
            <w:tcBorders>
              <w:top w:val="nil"/>
              <w:left w:val="nil"/>
              <w:bottom w:val="nil"/>
              <w:right w:val="nil"/>
            </w:tcBorders>
            <w:noWrap/>
            <w:hideMark/>
          </w:tcPr>
          <w:p w14:paraId="3614B59F"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0.0041</w:t>
            </w:r>
          </w:p>
        </w:tc>
        <w:tc>
          <w:tcPr>
            <w:tcW w:w="585" w:type="pct"/>
            <w:gridSpan w:val="2"/>
            <w:tcBorders>
              <w:top w:val="nil"/>
              <w:left w:val="nil"/>
              <w:bottom w:val="nil"/>
              <w:right w:val="nil"/>
            </w:tcBorders>
            <w:noWrap/>
            <w:hideMark/>
          </w:tcPr>
          <w:p w14:paraId="53886742"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9.35</w:t>
            </w:r>
          </w:p>
        </w:tc>
        <w:tc>
          <w:tcPr>
            <w:tcW w:w="546" w:type="pct"/>
            <w:gridSpan w:val="2"/>
            <w:tcBorders>
              <w:top w:val="nil"/>
              <w:left w:val="nil"/>
              <w:bottom w:val="nil"/>
              <w:right w:val="nil"/>
            </w:tcBorders>
            <w:noWrap/>
            <w:hideMark/>
          </w:tcPr>
          <w:p w14:paraId="32EE284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0.0361</w:t>
            </w:r>
          </w:p>
        </w:tc>
        <w:tc>
          <w:tcPr>
            <w:tcW w:w="546" w:type="pct"/>
            <w:tcBorders>
              <w:top w:val="nil"/>
              <w:left w:val="nil"/>
              <w:bottom w:val="nil"/>
              <w:right w:val="nil"/>
            </w:tcBorders>
            <w:noWrap/>
            <w:hideMark/>
          </w:tcPr>
          <w:p w14:paraId="758C8C80"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0.0523</w:t>
            </w:r>
          </w:p>
        </w:tc>
      </w:tr>
      <w:tr w:rsidR="00B403D5" w:rsidRPr="009D1C5D" w14:paraId="7E812DBA"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3DE41E6A" w14:textId="77777777" w:rsidR="00B403D5" w:rsidRPr="009D1C5D" w:rsidRDefault="00B403D5" w:rsidP="000C29AC">
            <w:pPr>
              <w:spacing w:line="276" w:lineRule="auto"/>
              <w:rPr>
                <w:rFonts w:ascii="Times New Roman" w:hAnsi="Times New Roman"/>
                <w:b w:val="0"/>
                <w:sz w:val="22"/>
                <w:szCs w:val="22"/>
              </w:rPr>
            </w:pPr>
            <w:proofErr w:type="spellStart"/>
            <w:r w:rsidRPr="009D1C5D">
              <w:rPr>
                <w:rFonts w:ascii="Times New Roman" w:hAnsi="Times New Roman"/>
                <w:b w:val="0"/>
                <w:sz w:val="22"/>
                <w:szCs w:val="22"/>
              </w:rPr>
              <w:t>tvB</w:t>
            </w:r>
            <w:proofErr w:type="spellEnd"/>
          </w:p>
        </w:tc>
        <w:tc>
          <w:tcPr>
            <w:tcW w:w="545" w:type="pct"/>
            <w:tcBorders>
              <w:top w:val="nil"/>
              <w:left w:val="nil"/>
              <w:bottom w:val="nil"/>
              <w:right w:val="nil"/>
            </w:tcBorders>
            <w:noWrap/>
            <w:hideMark/>
          </w:tcPr>
          <w:p w14:paraId="736F947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0.781</w:t>
            </w:r>
          </w:p>
        </w:tc>
        <w:tc>
          <w:tcPr>
            <w:tcW w:w="545" w:type="pct"/>
            <w:tcBorders>
              <w:top w:val="nil"/>
              <w:left w:val="nil"/>
              <w:bottom w:val="nil"/>
              <w:right w:val="nil"/>
            </w:tcBorders>
            <w:noWrap/>
            <w:hideMark/>
          </w:tcPr>
          <w:p w14:paraId="1AA039EF"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µg/ml</w:t>
            </w:r>
          </w:p>
        </w:tc>
        <w:tc>
          <w:tcPr>
            <w:tcW w:w="714" w:type="pct"/>
            <w:tcBorders>
              <w:top w:val="nil"/>
              <w:left w:val="nil"/>
              <w:bottom w:val="nil"/>
              <w:right w:val="nil"/>
            </w:tcBorders>
            <w:noWrap/>
            <w:hideMark/>
          </w:tcPr>
          <w:p w14:paraId="0FDB340F"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0.243</w:t>
            </w:r>
          </w:p>
        </w:tc>
        <w:tc>
          <w:tcPr>
            <w:tcW w:w="585" w:type="pct"/>
            <w:gridSpan w:val="2"/>
            <w:tcBorders>
              <w:top w:val="nil"/>
              <w:left w:val="nil"/>
              <w:bottom w:val="nil"/>
              <w:right w:val="nil"/>
            </w:tcBorders>
            <w:noWrap/>
            <w:hideMark/>
          </w:tcPr>
          <w:p w14:paraId="6768D9B2"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31.13</w:t>
            </w:r>
          </w:p>
        </w:tc>
        <w:tc>
          <w:tcPr>
            <w:tcW w:w="546" w:type="pct"/>
            <w:gridSpan w:val="2"/>
            <w:tcBorders>
              <w:top w:val="nil"/>
              <w:left w:val="nil"/>
              <w:bottom w:val="nil"/>
              <w:right w:val="nil"/>
            </w:tcBorders>
            <w:noWrap/>
            <w:hideMark/>
          </w:tcPr>
          <w:p w14:paraId="3C746EFC"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0.304</w:t>
            </w:r>
          </w:p>
        </w:tc>
        <w:tc>
          <w:tcPr>
            <w:tcW w:w="546" w:type="pct"/>
            <w:tcBorders>
              <w:top w:val="nil"/>
              <w:left w:val="nil"/>
              <w:bottom w:val="nil"/>
              <w:right w:val="nil"/>
            </w:tcBorders>
            <w:noWrap/>
            <w:hideMark/>
          </w:tcPr>
          <w:p w14:paraId="59D293E9"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1.258</w:t>
            </w:r>
          </w:p>
        </w:tc>
      </w:tr>
      <w:tr w:rsidR="00B403D5" w:rsidRPr="009D1C5D" w14:paraId="76F6AB57"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3CC441D7" w14:textId="77777777" w:rsidR="00B403D5" w:rsidRPr="009D1C5D" w:rsidRDefault="00B403D5" w:rsidP="000C29AC">
            <w:pPr>
              <w:spacing w:line="276" w:lineRule="auto"/>
              <w:rPr>
                <w:rFonts w:ascii="Times New Roman" w:hAnsi="Times New Roman"/>
                <w:b w:val="0"/>
                <w:sz w:val="22"/>
                <w:szCs w:val="22"/>
              </w:rPr>
            </w:pPr>
            <w:proofErr w:type="spellStart"/>
            <w:r w:rsidRPr="009D1C5D">
              <w:rPr>
                <w:rFonts w:ascii="Times New Roman" w:hAnsi="Times New Roman"/>
                <w:b w:val="0"/>
                <w:sz w:val="22"/>
                <w:szCs w:val="22"/>
              </w:rPr>
              <w:t>tvBeta</w:t>
            </w:r>
            <w:proofErr w:type="spellEnd"/>
          </w:p>
        </w:tc>
        <w:tc>
          <w:tcPr>
            <w:tcW w:w="545" w:type="pct"/>
            <w:tcBorders>
              <w:top w:val="nil"/>
              <w:left w:val="nil"/>
              <w:bottom w:val="nil"/>
              <w:right w:val="nil"/>
            </w:tcBorders>
            <w:noWrap/>
            <w:hideMark/>
          </w:tcPr>
          <w:p w14:paraId="501EA5F4"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0.0104</w:t>
            </w:r>
          </w:p>
        </w:tc>
        <w:tc>
          <w:tcPr>
            <w:tcW w:w="545" w:type="pct"/>
            <w:tcBorders>
              <w:top w:val="nil"/>
              <w:left w:val="nil"/>
              <w:bottom w:val="nil"/>
              <w:right w:val="nil"/>
            </w:tcBorders>
            <w:noWrap/>
            <w:hideMark/>
          </w:tcPr>
          <w:p w14:paraId="42D15B1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1/h</w:t>
            </w:r>
          </w:p>
        </w:tc>
        <w:tc>
          <w:tcPr>
            <w:tcW w:w="714" w:type="pct"/>
            <w:tcBorders>
              <w:top w:val="nil"/>
              <w:left w:val="nil"/>
              <w:bottom w:val="nil"/>
              <w:right w:val="nil"/>
            </w:tcBorders>
            <w:noWrap/>
            <w:hideMark/>
          </w:tcPr>
          <w:p w14:paraId="74A0F000"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0.0019</w:t>
            </w:r>
          </w:p>
        </w:tc>
        <w:tc>
          <w:tcPr>
            <w:tcW w:w="585" w:type="pct"/>
            <w:gridSpan w:val="2"/>
            <w:tcBorders>
              <w:top w:val="nil"/>
              <w:left w:val="nil"/>
              <w:bottom w:val="nil"/>
              <w:right w:val="nil"/>
            </w:tcBorders>
            <w:noWrap/>
            <w:hideMark/>
          </w:tcPr>
          <w:p w14:paraId="5D241DFE"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18.31</w:t>
            </w:r>
          </w:p>
        </w:tc>
        <w:tc>
          <w:tcPr>
            <w:tcW w:w="546" w:type="pct"/>
            <w:gridSpan w:val="2"/>
            <w:tcBorders>
              <w:top w:val="nil"/>
              <w:left w:val="nil"/>
              <w:bottom w:val="nil"/>
              <w:right w:val="nil"/>
            </w:tcBorders>
            <w:noWrap/>
            <w:hideMark/>
          </w:tcPr>
          <w:p w14:paraId="4D9F8BFD"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0.0067</w:t>
            </w:r>
          </w:p>
        </w:tc>
        <w:tc>
          <w:tcPr>
            <w:tcW w:w="546" w:type="pct"/>
            <w:tcBorders>
              <w:top w:val="nil"/>
              <w:left w:val="nil"/>
              <w:bottom w:val="nil"/>
              <w:right w:val="nil"/>
            </w:tcBorders>
            <w:noWrap/>
            <w:hideMark/>
          </w:tcPr>
          <w:p w14:paraId="7CCA4644"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0.0141</w:t>
            </w:r>
          </w:p>
        </w:tc>
      </w:tr>
      <w:tr w:rsidR="00B403D5" w:rsidRPr="009D1C5D" w14:paraId="06ADE680"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7018268F"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t xml:space="preserve">tvC1MultStdev </w:t>
            </w:r>
          </w:p>
        </w:tc>
        <w:tc>
          <w:tcPr>
            <w:tcW w:w="545" w:type="pct"/>
            <w:tcBorders>
              <w:top w:val="nil"/>
              <w:left w:val="nil"/>
              <w:bottom w:val="nil"/>
              <w:right w:val="nil"/>
            </w:tcBorders>
            <w:noWrap/>
            <w:hideMark/>
          </w:tcPr>
          <w:p w14:paraId="698C22D3"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0.1397</w:t>
            </w:r>
          </w:p>
        </w:tc>
        <w:tc>
          <w:tcPr>
            <w:tcW w:w="545" w:type="pct"/>
            <w:tcBorders>
              <w:top w:val="nil"/>
              <w:left w:val="nil"/>
              <w:bottom w:val="nil"/>
              <w:right w:val="nil"/>
            </w:tcBorders>
            <w:noWrap/>
            <w:hideMark/>
          </w:tcPr>
          <w:p w14:paraId="4020E1A1"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714" w:type="pct"/>
            <w:tcBorders>
              <w:top w:val="nil"/>
              <w:left w:val="nil"/>
              <w:bottom w:val="nil"/>
              <w:right w:val="nil"/>
            </w:tcBorders>
            <w:noWrap/>
            <w:hideMark/>
          </w:tcPr>
          <w:p w14:paraId="487CA352"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US"/>
              </w:rPr>
            </w:pPr>
            <w:r w:rsidRPr="009D1C5D">
              <w:rPr>
                <w:rFonts w:ascii="Times New Roman" w:hAnsi="Times New Roman"/>
                <w:sz w:val="22"/>
                <w:szCs w:val="22"/>
              </w:rPr>
              <w:t>0.014</w:t>
            </w:r>
          </w:p>
        </w:tc>
        <w:tc>
          <w:tcPr>
            <w:tcW w:w="585" w:type="pct"/>
            <w:gridSpan w:val="2"/>
            <w:tcBorders>
              <w:top w:val="nil"/>
              <w:left w:val="nil"/>
              <w:bottom w:val="nil"/>
              <w:right w:val="nil"/>
            </w:tcBorders>
            <w:noWrap/>
            <w:hideMark/>
          </w:tcPr>
          <w:p w14:paraId="709265B7"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10.37</w:t>
            </w:r>
          </w:p>
        </w:tc>
        <w:tc>
          <w:tcPr>
            <w:tcW w:w="546" w:type="pct"/>
            <w:gridSpan w:val="2"/>
            <w:tcBorders>
              <w:top w:val="nil"/>
              <w:left w:val="nil"/>
              <w:bottom w:val="nil"/>
              <w:right w:val="nil"/>
            </w:tcBorders>
            <w:noWrap/>
            <w:hideMark/>
          </w:tcPr>
          <w:p w14:paraId="3B551105"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0.111</w:t>
            </w:r>
          </w:p>
        </w:tc>
        <w:tc>
          <w:tcPr>
            <w:tcW w:w="546" w:type="pct"/>
            <w:tcBorders>
              <w:top w:val="nil"/>
              <w:left w:val="nil"/>
              <w:bottom w:val="nil"/>
              <w:right w:val="nil"/>
            </w:tcBorders>
            <w:noWrap/>
            <w:hideMark/>
          </w:tcPr>
          <w:p w14:paraId="497ACA40"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0.168</w:t>
            </w:r>
          </w:p>
        </w:tc>
      </w:tr>
      <w:tr w:rsidR="00B403D5" w:rsidRPr="009D1C5D" w14:paraId="241442E6"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58706988"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t>tvC1MultStdev</w:t>
            </w:r>
          </w:p>
        </w:tc>
        <w:tc>
          <w:tcPr>
            <w:tcW w:w="545" w:type="pct"/>
            <w:tcBorders>
              <w:top w:val="nil"/>
              <w:left w:val="nil"/>
              <w:bottom w:val="nil"/>
              <w:right w:val="nil"/>
            </w:tcBorders>
            <w:noWrap/>
            <w:hideMark/>
          </w:tcPr>
          <w:p w14:paraId="6B8D669D"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13.970</w:t>
            </w:r>
          </w:p>
        </w:tc>
        <w:tc>
          <w:tcPr>
            <w:tcW w:w="545" w:type="pct"/>
            <w:tcBorders>
              <w:top w:val="nil"/>
              <w:left w:val="nil"/>
              <w:bottom w:val="nil"/>
              <w:right w:val="nil"/>
            </w:tcBorders>
            <w:noWrap/>
            <w:hideMark/>
          </w:tcPr>
          <w:p w14:paraId="2AA67791"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w:t>
            </w:r>
          </w:p>
        </w:tc>
        <w:tc>
          <w:tcPr>
            <w:tcW w:w="714" w:type="pct"/>
            <w:tcBorders>
              <w:top w:val="nil"/>
              <w:left w:val="nil"/>
              <w:bottom w:val="nil"/>
              <w:right w:val="nil"/>
            </w:tcBorders>
            <w:noWrap/>
            <w:hideMark/>
          </w:tcPr>
          <w:p w14:paraId="4F45CA1F"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85" w:type="pct"/>
            <w:gridSpan w:val="2"/>
            <w:tcBorders>
              <w:top w:val="nil"/>
              <w:left w:val="nil"/>
              <w:bottom w:val="nil"/>
              <w:right w:val="nil"/>
            </w:tcBorders>
            <w:noWrap/>
            <w:hideMark/>
          </w:tcPr>
          <w:p w14:paraId="4367D5F0"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c>
          <w:tcPr>
            <w:tcW w:w="546" w:type="pct"/>
            <w:gridSpan w:val="2"/>
            <w:tcBorders>
              <w:top w:val="nil"/>
              <w:left w:val="nil"/>
              <w:bottom w:val="nil"/>
              <w:right w:val="nil"/>
            </w:tcBorders>
            <w:noWrap/>
            <w:hideMark/>
          </w:tcPr>
          <w:p w14:paraId="01872764"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c>
          <w:tcPr>
            <w:tcW w:w="546" w:type="pct"/>
            <w:tcBorders>
              <w:top w:val="nil"/>
              <w:left w:val="nil"/>
              <w:bottom w:val="nil"/>
              <w:right w:val="nil"/>
            </w:tcBorders>
            <w:noWrap/>
            <w:hideMark/>
          </w:tcPr>
          <w:p w14:paraId="38FEDA94"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r>
      <w:tr w:rsidR="00B403D5" w:rsidRPr="009D1C5D" w14:paraId="12E4D91D"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38573C69"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t>stdev0</w:t>
            </w:r>
          </w:p>
        </w:tc>
        <w:tc>
          <w:tcPr>
            <w:tcW w:w="545" w:type="pct"/>
            <w:tcBorders>
              <w:top w:val="nil"/>
              <w:left w:val="nil"/>
              <w:bottom w:val="nil"/>
              <w:right w:val="nil"/>
            </w:tcBorders>
            <w:noWrap/>
            <w:hideMark/>
          </w:tcPr>
          <w:p w14:paraId="05B54D3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0.0152</w:t>
            </w:r>
          </w:p>
        </w:tc>
        <w:tc>
          <w:tcPr>
            <w:tcW w:w="545" w:type="pct"/>
            <w:tcBorders>
              <w:top w:val="nil"/>
              <w:left w:val="nil"/>
              <w:bottom w:val="nil"/>
              <w:right w:val="nil"/>
            </w:tcBorders>
            <w:noWrap/>
            <w:hideMark/>
          </w:tcPr>
          <w:p w14:paraId="1760960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µg/ml</w:t>
            </w:r>
          </w:p>
        </w:tc>
        <w:tc>
          <w:tcPr>
            <w:tcW w:w="714" w:type="pct"/>
            <w:tcBorders>
              <w:top w:val="nil"/>
              <w:left w:val="nil"/>
              <w:bottom w:val="nil"/>
              <w:right w:val="nil"/>
            </w:tcBorders>
            <w:noWrap/>
            <w:hideMark/>
          </w:tcPr>
          <w:p w14:paraId="6F68F404"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0.0112</w:t>
            </w:r>
          </w:p>
        </w:tc>
        <w:tc>
          <w:tcPr>
            <w:tcW w:w="585" w:type="pct"/>
            <w:gridSpan w:val="2"/>
            <w:tcBorders>
              <w:top w:val="nil"/>
              <w:left w:val="nil"/>
              <w:bottom w:val="nil"/>
              <w:right w:val="nil"/>
            </w:tcBorders>
            <w:noWrap/>
            <w:hideMark/>
          </w:tcPr>
          <w:p w14:paraId="28663D5C"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73.64</w:t>
            </w:r>
          </w:p>
        </w:tc>
        <w:tc>
          <w:tcPr>
            <w:tcW w:w="546" w:type="pct"/>
            <w:gridSpan w:val="2"/>
            <w:tcBorders>
              <w:top w:val="nil"/>
              <w:left w:val="nil"/>
              <w:bottom w:val="nil"/>
              <w:right w:val="nil"/>
            </w:tcBorders>
            <w:noWrap/>
            <w:hideMark/>
          </w:tcPr>
          <w:p w14:paraId="754CA84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-0.0068</w:t>
            </w:r>
          </w:p>
        </w:tc>
        <w:tc>
          <w:tcPr>
            <w:tcW w:w="546" w:type="pct"/>
            <w:tcBorders>
              <w:top w:val="nil"/>
              <w:left w:val="nil"/>
              <w:bottom w:val="nil"/>
              <w:right w:val="nil"/>
            </w:tcBorders>
            <w:noWrap/>
            <w:hideMark/>
          </w:tcPr>
          <w:p w14:paraId="18E13617"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0.0371</w:t>
            </w:r>
          </w:p>
        </w:tc>
      </w:tr>
      <w:tr w:rsidR="000C29AC" w:rsidRPr="009D1C5D" w14:paraId="52A7A668" w14:textId="77777777" w:rsidTr="002556D6">
        <w:trPr>
          <w:gridAfter w:val="2"/>
          <w:wAfter w:w="585" w:type="pct"/>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7069EF52" w14:textId="77777777" w:rsidR="000C29AC" w:rsidRPr="009D1C5D" w:rsidRDefault="000C29AC" w:rsidP="000C29AC">
            <w:pPr>
              <w:spacing w:line="276" w:lineRule="auto"/>
              <w:rPr>
                <w:rFonts w:ascii="Times New Roman" w:hAnsi="Times New Roman"/>
                <w:b w:val="0"/>
                <w:bCs w:val="0"/>
                <w:sz w:val="22"/>
                <w:szCs w:val="22"/>
              </w:rPr>
            </w:pPr>
            <w:r w:rsidRPr="009D1C5D">
              <w:rPr>
                <w:rFonts w:ascii="Times New Roman" w:hAnsi="Times New Roman"/>
                <w:sz w:val="22"/>
                <w:szCs w:val="22"/>
              </w:rPr>
              <w:t>OMEGA</w:t>
            </w:r>
          </w:p>
        </w:tc>
        <w:tc>
          <w:tcPr>
            <w:tcW w:w="545" w:type="pct"/>
            <w:tcBorders>
              <w:top w:val="nil"/>
              <w:left w:val="nil"/>
              <w:bottom w:val="nil"/>
              <w:right w:val="nil"/>
            </w:tcBorders>
            <w:noWrap/>
            <w:hideMark/>
          </w:tcPr>
          <w:p w14:paraId="2B0F0910"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Variance</w:t>
            </w:r>
          </w:p>
        </w:tc>
        <w:tc>
          <w:tcPr>
            <w:tcW w:w="545" w:type="pct"/>
            <w:tcBorders>
              <w:top w:val="nil"/>
              <w:left w:val="nil"/>
              <w:bottom w:val="nil"/>
              <w:right w:val="nil"/>
            </w:tcBorders>
            <w:noWrap/>
            <w:hideMark/>
          </w:tcPr>
          <w:p w14:paraId="7ADB706B"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SE</w:t>
            </w:r>
          </w:p>
        </w:tc>
        <w:tc>
          <w:tcPr>
            <w:tcW w:w="714" w:type="pct"/>
            <w:tcBorders>
              <w:top w:val="nil"/>
              <w:left w:val="nil"/>
              <w:bottom w:val="nil"/>
              <w:right w:val="nil"/>
            </w:tcBorders>
            <w:noWrap/>
            <w:hideMark/>
          </w:tcPr>
          <w:p w14:paraId="4F74AF42"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BSV (CV%)</w:t>
            </w:r>
          </w:p>
        </w:tc>
        <w:tc>
          <w:tcPr>
            <w:tcW w:w="546" w:type="pct"/>
            <w:tcBorders>
              <w:top w:val="nil"/>
              <w:left w:val="nil"/>
              <w:bottom w:val="nil"/>
              <w:right w:val="nil"/>
            </w:tcBorders>
            <w:noWrap/>
            <w:hideMark/>
          </w:tcPr>
          <w:p w14:paraId="4A745084"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p>
        </w:tc>
        <w:tc>
          <w:tcPr>
            <w:tcW w:w="546" w:type="pct"/>
            <w:gridSpan w:val="2"/>
            <w:tcBorders>
              <w:top w:val="nil"/>
              <w:left w:val="nil"/>
              <w:bottom w:val="nil"/>
              <w:right w:val="nil"/>
            </w:tcBorders>
            <w:noWrap/>
            <w:hideMark/>
          </w:tcPr>
          <w:p w14:paraId="6B41B41D"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r>
      <w:tr w:rsidR="000C29AC" w:rsidRPr="009D1C5D" w14:paraId="26B8E947" w14:textId="77777777" w:rsidTr="002556D6">
        <w:trPr>
          <w:gridAfter w:val="2"/>
          <w:wAfter w:w="585" w:type="pct"/>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04A7D6F3" w14:textId="77777777" w:rsidR="000C29AC" w:rsidRPr="009D1C5D" w:rsidRDefault="000C29AC" w:rsidP="000C29AC">
            <w:pPr>
              <w:spacing w:line="276" w:lineRule="auto"/>
              <w:rPr>
                <w:rFonts w:ascii="Times New Roman" w:hAnsi="Times New Roman"/>
                <w:b w:val="0"/>
                <w:sz w:val="22"/>
                <w:szCs w:val="22"/>
                <w:lang w:val="en-US"/>
              </w:rPr>
            </w:pPr>
            <w:proofErr w:type="spellStart"/>
            <w:r w:rsidRPr="009D1C5D">
              <w:rPr>
                <w:rFonts w:ascii="Times New Roman" w:hAnsi="Times New Roman"/>
                <w:b w:val="0"/>
                <w:sz w:val="22"/>
                <w:szCs w:val="22"/>
              </w:rPr>
              <w:t>nKa</w:t>
            </w:r>
            <w:proofErr w:type="spellEnd"/>
          </w:p>
        </w:tc>
        <w:tc>
          <w:tcPr>
            <w:tcW w:w="545" w:type="pct"/>
            <w:tcBorders>
              <w:top w:val="nil"/>
              <w:left w:val="nil"/>
              <w:bottom w:val="nil"/>
              <w:right w:val="nil"/>
            </w:tcBorders>
            <w:noWrap/>
            <w:hideMark/>
          </w:tcPr>
          <w:p w14:paraId="35EDE2B9"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0.279</w:t>
            </w:r>
          </w:p>
        </w:tc>
        <w:tc>
          <w:tcPr>
            <w:tcW w:w="545" w:type="pct"/>
            <w:tcBorders>
              <w:top w:val="nil"/>
              <w:left w:val="nil"/>
              <w:bottom w:val="nil"/>
              <w:right w:val="nil"/>
            </w:tcBorders>
            <w:noWrap/>
            <w:hideMark/>
          </w:tcPr>
          <w:p w14:paraId="021FA0C3"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0.076</w:t>
            </w:r>
          </w:p>
        </w:tc>
        <w:tc>
          <w:tcPr>
            <w:tcW w:w="714" w:type="pct"/>
            <w:tcBorders>
              <w:top w:val="nil"/>
              <w:left w:val="nil"/>
              <w:bottom w:val="nil"/>
              <w:right w:val="nil"/>
            </w:tcBorders>
            <w:noWrap/>
            <w:hideMark/>
          </w:tcPr>
          <w:p w14:paraId="12670C3E"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56.69</w:t>
            </w:r>
          </w:p>
        </w:tc>
        <w:tc>
          <w:tcPr>
            <w:tcW w:w="546" w:type="pct"/>
            <w:tcBorders>
              <w:top w:val="nil"/>
              <w:left w:val="nil"/>
              <w:bottom w:val="nil"/>
              <w:right w:val="nil"/>
            </w:tcBorders>
            <w:noWrap/>
            <w:hideMark/>
          </w:tcPr>
          <w:p w14:paraId="164D713B"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 w:type="pct"/>
            <w:gridSpan w:val="2"/>
            <w:tcBorders>
              <w:top w:val="nil"/>
              <w:left w:val="nil"/>
              <w:bottom w:val="nil"/>
              <w:right w:val="nil"/>
            </w:tcBorders>
            <w:noWrap/>
            <w:hideMark/>
          </w:tcPr>
          <w:p w14:paraId="33FDB296"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r>
      <w:tr w:rsidR="000C29AC" w:rsidRPr="009D1C5D" w14:paraId="00E475FE" w14:textId="77777777" w:rsidTr="002556D6">
        <w:trPr>
          <w:gridAfter w:val="2"/>
          <w:wAfter w:w="585" w:type="pct"/>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1EDA18E5" w14:textId="77777777" w:rsidR="000C29AC" w:rsidRPr="009D1C5D" w:rsidRDefault="000C29AC" w:rsidP="000C29AC">
            <w:pPr>
              <w:spacing w:line="276" w:lineRule="auto"/>
              <w:rPr>
                <w:rFonts w:ascii="Times New Roman" w:hAnsi="Times New Roman"/>
                <w:b w:val="0"/>
                <w:sz w:val="22"/>
                <w:szCs w:val="22"/>
                <w:lang w:val="en-US"/>
              </w:rPr>
            </w:pPr>
            <w:proofErr w:type="spellStart"/>
            <w:r w:rsidRPr="009D1C5D">
              <w:rPr>
                <w:rFonts w:ascii="Times New Roman" w:hAnsi="Times New Roman"/>
                <w:b w:val="0"/>
                <w:sz w:val="22"/>
                <w:szCs w:val="22"/>
              </w:rPr>
              <w:t>nAlpha</w:t>
            </w:r>
            <w:proofErr w:type="spellEnd"/>
          </w:p>
        </w:tc>
        <w:tc>
          <w:tcPr>
            <w:tcW w:w="545" w:type="pct"/>
            <w:tcBorders>
              <w:top w:val="nil"/>
              <w:left w:val="nil"/>
              <w:bottom w:val="nil"/>
              <w:right w:val="nil"/>
            </w:tcBorders>
            <w:noWrap/>
            <w:hideMark/>
          </w:tcPr>
          <w:p w14:paraId="2FF9C356"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0.033</w:t>
            </w:r>
          </w:p>
        </w:tc>
        <w:tc>
          <w:tcPr>
            <w:tcW w:w="545" w:type="pct"/>
            <w:tcBorders>
              <w:top w:val="nil"/>
              <w:left w:val="nil"/>
              <w:bottom w:val="nil"/>
              <w:right w:val="nil"/>
            </w:tcBorders>
            <w:noWrap/>
            <w:hideMark/>
          </w:tcPr>
          <w:p w14:paraId="1BC79249"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0.012</w:t>
            </w:r>
          </w:p>
        </w:tc>
        <w:tc>
          <w:tcPr>
            <w:tcW w:w="714" w:type="pct"/>
            <w:tcBorders>
              <w:top w:val="nil"/>
              <w:left w:val="nil"/>
              <w:bottom w:val="nil"/>
              <w:right w:val="nil"/>
            </w:tcBorders>
            <w:noWrap/>
            <w:hideMark/>
          </w:tcPr>
          <w:p w14:paraId="5243BE67"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18.23</w:t>
            </w:r>
          </w:p>
        </w:tc>
        <w:tc>
          <w:tcPr>
            <w:tcW w:w="546" w:type="pct"/>
            <w:tcBorders>
              <w:top w:val="nil"/>
              <w:left w:val="nil"/>
              <w:bottom w:val="nil"/>
              <w:right w:val="nil"/>
            </w:tcBorders>
            <w:noWrap/>
            <w:hideMark/>
          </w:tcPr>
          <w:p w14:paraId="0BEC64FD"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 w:type="pct"/>
            <w:gridSpan w:val="2"/>
            <w:tcBorders>
              <w:top w:val="nil"/>
              <w:left w:val="nil"/>
              <w:bottom w:val="nil"/>
              <w:right w:val="nil"/>
            </w:tcBorders>
            <w:noWrap/>
            <w:hideMark/>
          </w:tcPr>
          <w:p w14:paraId="06EB0326"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r>
      <w:tr w:rsidR="000C29AC" w:rsidRPr="009D1C5D" w14:paraId="7004913A" w14:textId="77777777" w:rsidTr="002556D6">
        <w:trPr>
          <w:gridAfter w:val="2"/>
          <w:wAfter w:w="585" w:type="pct"/>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578F32B1" w14:textId="77777777" w:rsidR="000C29AC" w:rsidRPr="009D1C5D" w:rsidRDefault="000C29AC" w:rsidP="000C29AC">
            <w:pPr>
              <w:spacing w:line="276" w:lineRule="auto"/>
              <w:rPr>
                <w:rFonts w:ascii="Times New Roman" w:hAnsi="Times New Roman"/>
                <w:b w:val="0"/>
                <w:sz w:val="22"/>
                <w:szCs w:val="22"/>
                <w:lang w:val="en-US"/>
              </w:rPr>
            </w:pPr>
            <w:proofErr w:type="spellStart"/>
            <w:r w:rsidRPr="009D1C5D">
              <w:rPr>
                <w:rFonts w:ascii="Times New Roman" w:hAnsi="Times New Roman"/>
                <w:b w:val="0"/>
                <w:sz w:val="22"/>
                <w:szCs w:val="22"/>
              </w:rPr>
              <w:t>nB</w:t>
            </w:r>
            <w:proofErr w:type="spellEnd"/>
          </w:p>
        </w:tc>
        <w:tc>
          <w:tcPr>
            <w:tcW w:w="545" w:type="pct"/>
            <w:tcBorders>
              <w:top w:val="nil"/>
              <w:left w:val="nil"/>
              <w:bottom w:val="nil"/>
              <w:right w:val="nil"/>
            </w:tcBorders>
            <w:noWrap/>
            <w:hideMark/>
          </w:tcPr>
          <w:p w14:paraId="2B988A98"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0.036</w:t>
            </w:r>
          </w:p>
        </w:tc>
        <w:tc>
          <w:tcPr>
            <w:tcW w:w="545" w:type="pct"/>
            <w:tcBorders>
              <w:top w:val="nil"/>
              <w:left w:val="nil"/>
              <w:bottom w:val="nil"/>
              <w:right w:val="nil"/>
            </w:tcBorders>
            <w:noWrap/>
            <w:hideMark/>
          </w:tcPr>
          <w:p w14:paraId="1609A371"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0.051</w:t>
            </w:r>
          </w:p>
        </w:tc>
        <w:tc>
          <w:tcPr>
            <w:tcW w:w="714" w:type="pct"/>
            <w:tcBorders>
              <w:top w:val="nil"/>
              <w:left w:val="nil"/>
              <w:bottom w:val="nil"/>
              <w:right w:val="nil"/>
            </w:tcBorders>
            <w:noWrap/>
            <w:hideMark/>
          </w:tcPr>
          <w:p w14:paraId="0ACFDEB3"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19.11</w:t>
            </w:r>
          </w:p>
        </w:tc>
        <w:tc>
          <w:tcPr>
            <w:tcW w:w="546" w:type="pct"/>
            <w:tcBorders>
              <w:top w:val="nil"/>
              <w:left w:val="nil"/>
              <w:bottom w:val="nil"/>
              <w:right w:val="nil"/>
            </w:tcBorders>
            <w:noWrap/>
            <w:hideMark/>
          </w:tcPr>
          <w:p w14:paraId="639F38CA"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 w:type="pct"/>
            <w:gridSpan w:val="2"/>
            <w:tcBorders>
              <w:top w:val="nil"/>
              <w:left w:val="nil"/>
              <w:bottom w:val="nil"/>
              <w:right w:val="nil"/>
            </w:tcBorders>
            <w:noWrap/>
            <w:hideMark/>
          </w:tcPr>
          <w:p w14:paraId="6E528D53"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r>
      <w:tr w:rsidR="000C29AC" w:rsidRPr="009D1C5D" w14:paraId="1B7C5FEF" w14:textId="77777777" w:rsidTr="002556D6">
        <w:trPr>
          <w:gridAfter w:val="2"/>
          <w:wAfter w:w="585" w:type="pct"/>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7A444372" w14:textId="77777777" w:rsidR="000C29AC" w:rsidRPr="009D1C5D" w:rsidRDefault="000C29AC" w:rsidP="000C29AC">
            <w:pPr>
              <w:spacing w:line="276" w:lineRule="auto"/>
              <w:rPr>
                <w:rFonts w:ascii="Times New Roman" w:hAnsi="Times New Roman"/>
                <w:b w:val="0"/>
                <w:sz w:val="22"/>
                <w:szCs w:val="22"/>
                <w:lang w:val="en-US"/>
              </w:rPr>
            </w:pPr>
            <w:proofErr w:type="spellStart"/>
            <w:r w:rsidRPr="009D1C5D">
              <w:rPr>
                <w:rFonts w:ascii="Times New Roman" w:hAnsi="Times New Roman"/>
                <w:b w:val="0"/>
                <w:sz w:val="22"/>
                <w:szCs w:val="22"/>
              </w:rPr>
              <w:t>nBeta</w:t>
            </w:r>
            <w:proofErr w:type="spellEnd"/>
          </w:p>
        </w:tc>
        <w:tc>
          <w:tcPr>
            <w:tcW w:w="545" w:type="pct"/>
            <w:tcBorders>
              <w:top w:val="nil"/>
              <w:left w:val="nil"/>
              <w:bottom w:val="nil"/>
              <w:right w:val="nil"/>
            </w:tcBorders>
            <w:noWrap/>
            <w:hideMark/>
          </w:tcPr>
          <w:p w14:paraId="27DC637A"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0.103</w:t>
            </w:r>
          </w:p>
        </w:tc>
        <w:tc>
          <w:tcPr>
            <w:tcW w:w="545" w:type="pct"/>
            <w:tcBorders>
              <w:top w:val="nil"/>
              <w:left w:val="nil"/>
              <w:bottom w:val="nil"/>
              <w:right w:val="nil"/>
            </w:tcBorders>
            <w:noWrap/>
            <w:hideMark/>
          </w:tcPr>
          <w:p w14:paraId="4CE10AEC"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0.040</w:t>
            </w:r>
          </w:p>
        </w:tc>
        <w:tc>
          <w:tcPr>
            <w:tcW w:w="714" w:type="pct"/>
            <w:tcBorders>
              <w:top w:val="nil"/>
              <w:left w:val="nil"/>
              <w:bottom w:val="nil"/>
              <w:right w:val="nil"/>
            </w:tcBorders>
            <w:noWrap/>
            <w:hideMark/>
          </w:tcPr>
          <w:p w14:paraId="706CE423"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32.97</w:t>
            </w:r>
          </w:p>
        </w:tc>
        <w:tc>
          <w:tcPr>
            <w:tcW w:w="546" w:type="pct"/>
            <w:tcBorders>
              <w:top w:val="nil"/>
              <w:left w:val="nil"/>
              <w:bottom w:val="nil"/>
              <w:right w:val="nil"/>
            </w:tcBorders>
            <w:noWrap/>
            <w:hideMark/>
          </w:tcPr>
          <w:p w14:paraId="1C78FBD7"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 w:type="pct"/>
            <w:gridSpan w:val="2"/>
            <w:tcBorders>
              <w:top w:val="nil"/>
              <w:left w:val="nil"/>
              <w:bottom w:val="nil"/>
              <w:right w:val="nil"/>
            </w:tcBorders>
            <w:noWrap/>
            <w:hideMark/>
          </w:tcPr>
          <w:p w14:paraId="68623AF3"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r>
      <w:tr w:rsidR="000C29AC" w:rsidRPr="009D1C5D" w14:paraId="43084CFF" w14:textId="77777777" w:rsidTr="002556D6">
        <w:trPr>
          <w:gridAfter w:val="2"/>
          <w:wAfter w:w="585" w:type="pct"/>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0D791DA2" w14:textId="77777777" w:rsidR="000C29AC" w:rsidRPr="009D1C5D" w:rsidRDefault="000C29AC" w:rsidP="000C29AC">
            <w:pPr>
              <w:spacing w:line="276" w:lineRule="auto"/>
              <w:rPr>
                <w:rFonts w:ascii="Times New Roman" w:hAnsi="Times New Roman"/>
                <w:b w:val="0"/>
                <w:sz w:val="22"/>
                <w:szCs w:val="22"/>
                <w:lang w:val="en-US"/>
              </w:rPr>
            </w:pPr>
            <w:proofErr w:type="spellStart"/>
            <w:r w:rsidRPr="009D1C5D">
              <w:rPr>
                <w:rFonts w:ascii="Times New Roman" w:hAnsi="Times New Roman"/>
                <w:b w:val="0"/>
                <w:sz w:val="22"/>
                <w:szCs w:val="22"/>
              </w:rPr>
              <w:t>nA</w:t>
            </w:r>
            <w:proofErr w:type="spellEnd"/>
          </w:p>
        </w:tc>
        <w:tc>
          <w:tcPr>
            <w:tcW w:w="545" w:type="pct"/>
            <w:tcBorders>
              <w:top w:val="nil"/>
              <w:left w:val="nil"/>
              <w:bottom w:val="nil"/>
              <w:right w:val="nil"/>
            </w:tcBorders>
            <w:noWrap/>
            <w:hideMark/>
          </w:tcPr>
          <w:p w14:paraId="7A72801A"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0.080</w:t>
            </w:r>
          </w:p>
        </w:tc>
        <w:tc>
          <w:tcPr>
            <w:tcW w:w="545" w:type="pct"/>
            <w:tcBorders>
              <w:top w:val="nil"/>
              <w:left w:val="nil"/>
              <w:bottom w:val="nil"/>
              <w:right w:val="nil"/>
            </w:tcBorders>
            <w:noWrap/>
            <w:hideMark/>
          </w:tcPr>
          <w:p w14:paraId="15A964C0"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0.024</w:t>
            </w:r>
          </w:p>
        </w:tc>
        <w:tc>
          <w:tcPr>
            <w:tcW w:w="714" w:type="pct"/>
            <w:tcBorders>
              <w:top w:val="nil"/>
              <w:left w:val="nil"/>
              <w:bottom w:val="nil"/>
              <w:right w:val="nil"/>
            </w:tcBorders>
            <w:noWrap/>
            <w:hideMark/>
          </w:tcPr>
          <w:p w14:paraId="1E8AE49B" w14:textId="77777777" w:rsidR="000C29AC" w:rsidRPr="009D1C5D" w:rsidRDefault="000C29AC"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28.92</w:t>
            </w:r>
          </w:p>
        </w:tc>
        <w:tc>
          <w:tcPr>
            <w:tcW w:w="546" w:type="pct"/>
            <w:tcBorders>
              <w:top w:val="nil"/>
              <w:left w:val="nil"/>
              <w:bottom w:val="nil"/>
              <w:right w:val="nil"/>
            </w:tcBorders>
            <w:noWrap/>
            <w:hideMark/>
          </w:tcPr>
          <w:p w14:paraId="5170D364"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546" w:type="pct"/>
            <w:gridSpan w:val="2"/>
            <w:tcBorders>
              <w:top w:val="nil"/>
              <w:left w:val="nil"/>
              <w:bottom w:val="nil"/>
              <w:right w:val="nil"/>
            </w:tcBorders>
            <w:noWrap/>
            <w:hideMark/>
          </w:tcPr>
          <w:p w14:paraId="706A8F4C" w14:textId="77777777" w:rsidR="000C29AC" w:rsidRPr="009D1C5D" w:rsidRDefault="000C29AC"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GB" w:eastAsia="en-GB"/>
              </w:rPr>
            </w:pPr>
          </w:p>
        </w:tc>
      </w:tr>
      <w:tr w:rsidR="00B403D5" w:rsidRPr="009D1C5D" w14:paraId="064F45BA"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307EAC2D" w14:textId="77777777" w:rsidR="00B403D5" w:rsidRPr="009D1C5D" w:rsidRDefault="00B403D5" w:rsidP="000C29AC">
            <w:pPr>
              <w:spacing w:line="276" w:lineRule="auto"/>
              <w:rPr>
                <w:rFonts w:ascii="Times New Roman" w:hAnsi="Times New Roman"/>
                <w:b w:val="0"/>
                <w:bCs w:val="0"/>
                <w:sz w:val="22"/>
                <w:szCs w:val="22"/>
                <w:lang w:val="en-US"/>
              </w:rPr>
            </w:pPr>
            <w:proofErr w:type="spellStart"/>
            <w:r w:rsidRPr="009D1C5D">
              <w:rPr>
                <w:rFonts w:ascii="Times New Roman" w:hAnsi="Times New Roman"/>
                <w:sz w:val="22"/>
                <w:szCs w:val="22"/>
              </w:rPr>
              <w:t>Secondary</w:t>
            </w:r>
            <w:proofErr w:type="spellEnd"/>
            <w:r w:rsidRPr="009D1C5D">
              <w:rPr>
                <w:rFonts w:ascii="Times New Roman" w:hAnsi="Times New Roman"/>
                <w:sz w:val="22"/>
                <w:szCs w:val="22"/>
              </w:rPr>
              <w:t xml:space="preserve"> </w:t>
            </w:r>
            <w:proofErr w:type="spellStart"/>
            <w:r w:rsidRPr="009D1C5D">
              <w:rPr>
                <w:rFonts w:ascii="Times New Roman" w:hAnsi="Times New Roman"/>
                <w:sz w:val="22"/>
                <w:szCs w:val="22"/>
              </w:rPr>
              <w:t>parameters</w:t>
            </w:r>
            <w:proofErr w:type="spellEnd"/>
          </w:p>
        </w:tc>
        <w:tc>
          <w:tcPr>
            <w:tcW w:w="545" w:type="pct"/>
            <w:tcBorders>
              <w:top w:val="nil"/>
              <w:left w:val="nil"/>
              <w:bottom w:val="nil"/>
              <w:right w:val="nil"/>
            </w:tcBorders>
            <w:noWrap/>
            <w:hideMark/>
          </w:tcPr>
          <w:p w14:paraId="06A01683"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proofErr w:type="spellStart"/>
            <w:r w:rsidRPr="009D1C5D">
              <w:rPr>
                <w:rFonts w:ascii="Times New Roman" w:hAnsi="Times New Roman"/>
                <w:b/>
                <w:sz w:val="22"/>
                <w:szCs w:val="22"/>
              </w:rPr>
              <w:t>Estimate</w:t>
            </w:r>
            <w:proofErr w:type="spellEnd"/>
          </w:p>
        </w:tc>
        <w:tc>
          <w:tcPr>
            <w:tcW w:w="545" w:type="pct"/>
            <w:tcBorders>
              <w:top w:val="nil"/>
              <w:left w:val="nil"/>
              <w:bottom w:val="nil"/>
              <w:right w:val="nil"/>
            </w:tcBorders>
            <w:noWrap/>
            <w:hideMark/>
          </w:tcPr>
          <w:p w14:paraId="468C631A"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proofErr w:type="spellStart"/>
            <w:r w:rsidRPr="009D1C5D">
              <w:rPr>
                <w:rFonts w:ascii="Times New Roman" w:hAnsi="Times New Roman"/>
                <w:b/>
                <w:sz w:val="22"/>
                <w:szCs w:val="22"/>
              </w:rPr>
              <w:t>Units</w:t>
            </w:r>
            <w:proofErr w:type="spellEnd"/>
          </w:p>
        </w:tc>
        <w:tc>
          <w:tcPr>
            <w:tcW w:w="714" w:type="pct"/>
            <w:tcBorders>
              <w:top w:val="nil"/>
              <w:left w:val="nil"/>
              <w:bottom w:val="nil"/>
              <w:right w:val="nil"/>
            </w:tcBorders>
            <w:hideMark/>
          </w:tcPr>
          <w:p w14:paraId="12C2A92D"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 xml:space="preserve">SE </w:t>
            </w:r>
          </w:p>
        </w:tc>
        <w:tc>
          <w:tcPr>
            <w:tcW w:w="585" w:type="pct"/>
            <w:gridSpan w:val="2"/>
            <w:tcBorders>
              <w:top w:val="nil"/>
              <w:left w:val="nil"/>
              <w:bottom w:val="nil"/>
              <w:right w:val="nil"/>
            </w:tcBorders>
            <w:noWrap/>
            <w:hideMark/>
          </w:tcPr>
          <w:p w14:paraId="50E0D6D3"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CV%</w:t>
            </w:r>
          </w:p>
        </w:tc>
        <w:tc>
          <w:tcPr>
            <w:tcW w:w="546" w:type="pct"/>
            <w:gridSpan w:val="2"/>
            <w:tcBorders>
              <w:top w:val="nil"/>
              <w:left w:val="nil"/>
              <w:bottom w:val="nil"/>
              <w:right w:val="nil"/>
            </w:tcBorders>
            <w:noWrap/>
            <w:hideMark/>
          </w:tcPr>
          <w:p w14:paraId="5C9E2E53"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2.5% CI</w:t>
            </w:r>
          </w:p>
        </w:tc>
        <w:tc>
          <w:tcPr>
            <w:tcW w:w="546" w:type="pct"/>
            <w:tcBorders>
              <w:top w:val="nil"/>
              <w:left w:val="nil"/>
              <w:bottom w:val="nil"/>
              <w:right w:val="nil"/>
            </w:tcBorders>
            <w:noWrap/>
            <w:hideMark/>
          </w:tcPr>
          <w:p w14:paraId="3B63FF8B" w14:textId="77777777" w:rsidR="00B403D5" w:rsidRPr="009D1C5D" w:rsidRDefault="00B403D5" w:rsidP="000C29A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
            </w:pPr>
            <w:r w:rsidRPr="009D1C5D">
              <w:rPr>
                <w:rFonts w:ascii="Times New Roman" w:hAnsi="Times New Roman"/>
                <w:b/>
                <w:sz w:val="22"/>
                <w:szCs w:val="22"/>
              </w:rPr>
              <w:t>97.5% CI</w:t>
            </w:r>
          </w:p>
        </w:tc>
      </w:tr>
      <w:tr w:rsidR="00B403D5" w:rsidRPr="009D1C5D" w14:paraId="4D21807E"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2A3295F6"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t>Half-life Alpha</w:t>
            </w:r>
          </w:p>
        </w:tc>
        <w:tc>
          <w:tcPr>
            <w:tcW w:w="545" w:type="pct"/>
            <w:tcBorders>
              <w:top w:val="nil"/>
              <w:left w:val="nil"/>
              <w:bottom w:val="nil"/>
              <w:right w:val="nil"/>
            </w:tcBorders>
            <w:noWrap/>
            <w:hideMark/>
          </w:tcPr>
          <w:p w14:paraId="71AFCA57"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15.7</w:t>
            </w:r>
          </w:p>
        </w:tc>
        <w:tc>
          <w:tcPr>
            <w:tcW w:w="545" w:type="pct"/>
            <w:tcBorders>
              <w:top w:val="nil"/>
              <w:left w:val="nil"/>
              <w:bottom w:val="nil"/>
              <w:right w:val="nil"/>
            </w:tcBorders>
            <w:noWrap/>
            <w:hideMark/>
          </w:tcPr>
          <w:p w14:paraId="7FF272D9"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h</w:t>
            </w:r>
          </w:p>
        </w:tc>
        <w:tc>
          <w:tcPr>
            <w:tcW w:w="714" w:type="pct"/>
            <w:tcBorders>
              <w:top w:val="nil"/>
              <w:left w:val="nil"/>
              <w:bottom w:val="nil"/>
              <w:right w:val="nil"/>
            </w:tcBorders>
            <w:noWrap/>
            <w:hideMark/>
          </w:tcPr>
          <w:p w14:paraId="132CE9CB"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1.46</w:t>
            </w:r>
          </w:p>
        </w:tc>
        <w:tc>
          <w:tcPr>
            <w:tcW w:w="585" w:type="pct"/>
            <w:gridSpan w:val="2"/>
            <w:tcBorders>
              <w:top w:val="nil"/>
              <w:left w:val="nil"/>
              <w:bottom w:val="nil"/>
              <w:right w:val="nil"/>
            </w:tcBorders>
            <w:noWrap/>
            <w:hideMark/>
          </w:tcPr>
          <w:p w14:paraId="3D11C712"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9.35</w:t>
            </w:r>
          </w:p>
        </w:tc>
        <w:tc>
          <w:tcPr>
            <w:tcW w:w="546" w:type="pct"/>
            <w:gridSpan w:val="2"/>
            <w:tcBorders>
              <w:top w:val="nil"/>
              <w:left w:val="nil"/>
              <w:bottom w:val="nil"/>
              <w:right w:val="nil"/>
            </w:tcBorders>
            <w:noWrap/>
            <w:hideMark/>
          </w:tcPr>
          <w:p w14:paraId="6E0ECB76"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12.8</w:t>
            </w:r>
          </w:p>
        </w:tc>
        <w:tc>
          <w:tcPr>
            <w:tcW w:w="546" w:type="pct"/>
            <w:tcBorders>
              <w:top w:val="nil"/>
              <w:left w:val="nil"/>
              <w:bottom w:val="nil"/>
              <w:right w:val="nil"/>
            </w:tcBorders>
            <w:noWrap/>
            <w:hideMark/>
          </w:tcPr>
          <w:p w14:paraId="48A06A79"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18.5</w:t>
            </w:r>
          </w:p>
        </w:tc>
      </w:tr>
      <w:tr w:rsidR="00B403D5" w:rsidRPr="009D1C5D" w14:paraId="0F3B5272"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194B4821"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t>Half-life Beta (t1/2)</w:t>
            </w:r>
          </w:p>
        </w:tc>
        <w:tc>
          <w:tcPr>
            <w:tcW w:w="545" w:type="pct"/>
            <w:tcBorders>
              <w:top w:val="nil"/>
              <w:left w:val="nil"/>
              <w:bottom w:val="nil"/>
              <w:right w:val="nil"/>
            </w:tcBorders>
            <w:noWrap/>
            <w:hideMark/>
          </w:tcPr>
          <w:p w14:paraId="781AD21B"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66.7</w:t>
            </w:r>
          </w:p>
        </w:tc>
        <w:tc>
          <w:tcPr>
            <w:tcW w:w="545" w:type="pct"/>
            <w:tcBorders>
              <w:top w:val="nil"/>
              <w:left w:val="nil"/>
              <w:bottom w:val="nil"/>
              <w:right w:val="nil"/>
            </w:tcBorders>
            <w:noWrap/>
            <w:hideMark/>
          </w:tcPr>
          <w:p w14:paraId="37FB57E3"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h</w:t>
            </w:r>
          </w:p>
        </w:tc>
        <w:tc>
          <w:tcPr>
            <w:tcW w:w="714" w:type="pct"/>
            <w:tcBorders>
              <w:top w:val="nil"/>
              <w:left w:val="nil"/>
              <w:bottom w:val="nil"/>
              <w:right w:val="nil"/>
            </w:tcBorders>
            <w:noWrap/>
            <w:hideMark/>
          </w:tcPr>
          <w:p w14:paraId="40675F87"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12.21</w:t>
            </w:r>
          </w:p>
        </w:tc>
        <w:tc>
          <w:tcPr>
            <w:tcW w:w="585" w:type="pct"/>
            <w:gridSpan w:val="2"/>
            <w:tcBorders>
              <w:top w:val="nil"/>
              <w:left w:val="nil"/>
              <w:bottom w:val="nil"/>
              <w:right w:val="nil"/>
            </w:tcBorders>
            <w:noWrap/>
            <w:hideMark/>
          </w:tcPr>
          <w:p w14:paraId="58C8A37F"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18.31</w:t>
            </w:r>
          </w:p>
        </w:tc>
        <w:tc>
          <w:tcPr>
            <w:tcW w:w="546" w:type="pct"/>
            <w:gridSpan w:val="2"/>
            <w:tcBorders>
              <w:top w:val="nil"/>
              <w:left w:val="nil"/>
              <w:bottom w:val="nil"/>
              <w:right w:val="nil"/>
            </w:tcBorders>
            <w:noWrap/>
            <w:hideMark/>
          </w:tcPr>
          <w:p w14:paraId="243516BB"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42.7</w:t>
            </w:r>
          </w:p>
        </w:tc>
        <w:tc>
          <w:tcPr>
            <w:tcW w:w="546" w:type="pct"/>
            <w:tcBorders>
              <w:top w:val="nil"/>
              <w:left w:val="nil"/>
              <w:bottom w:val="nil"/>
              <w:right w:val="nil"/>
            </w:tcBorders>
            <w:noWrap/>
            <w:hideMark/>
          </w:tcPr>
          <w:p w14:paraId="23B5C460"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90.6</w:t>
            </w:r>
          </w:p>
        </w:tc>
      </w:tr>
      <w:tr w:rsidR="00B403D5" w:rsidRPr="009D1C5D" w14:paraId="57F1AC19"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71D6A266"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t>AUC (0-infinity)</w:t>
            </w:r>
          </w:p>
        </w:tc>
        <w:tc>
          <w:tcPr>
            <w:tcW w:w="545" w:type="pct"/>
            <w:tcBorders>
              <w:top w:val="nil"/>
              <w:left w:val="nil"/>
              <w:bottom w:val="nil"/>
              <w:right w:val="nil"/>
            </w:tcBorders>
            <w:noWrap/>
            <w:hideMark/>
          </w:tcPr>
          <w:p w14:paraId="52210BBB"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183.4</w:t>
            </w:r>
          </w:p>
        </w:tc>
        <w:tc>
          <w:tcPr>
            <w:tcW w:w="545" w:type="pct"/>
            <w:tcBorders>
              <w:top w:val="nil"/>
              <w:left w:val="nil"/>
              <w:bottom w:val="nil"/>
              <w:right w:val="nil"/>
            </w:tcBorders>
            <w:noWrap/>
            <w:hideMark/>
          </w:tcPr>
          <w:p w14:paraId="58CBD555"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µg*h/ml</w:t>
            </w:r>
          </w:p>
        </w:tc>
        <w:tc>
          <w:tcPr>
            <w:tcW w:w="714" w:type="pct"/>
            <w:tcBorders>
              <w:top w:val="nil"/>
              <w:left w:val="nil"/>
              <w:bottom w:val="nil"/>
              <w:right w:val="nil"/>
            </w:tcBorders>
            <w:noWrap/>
            <w:hideMark/>
          </w:tcPr>
          <w:p w14:paraId="1EC3F3E6"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3.41</w:t>
            </w:r>
          </w:p>
        </w:tc>
        <w:tc>
          <w:tcPr>
            <w:tcW w:w="585" w:type="pct"/>
            <w:gridSpan w:val="2"/>
            <w:tcBorders>
              <w:top w:val="nil"/>
              <w:left w:val="nil"/>
              <w:bottom w:val="nil"/>
              <w:right w:val="nil"/>
            </w:tcBorders>
            <w:noWrap/>
            <w:hideMark/>
          </w:tcPr>
          <w:p w14:paraId="5E70861C"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1.86</w:t>
            </w:r>
          </w:p>
        </w:tc>
        <w:tc>
          <w:tcPr>
            <w:tcW w:w="546" w:type="pct"/>
            <w:gridSpan w:val="2"/>
            <w:tcBorders>
              <w:top w:val="nil"/>
              <w:left w:val="nil"/>
              <w:bottom w:val="nil"/>
              <w:right w:val="nil"/>
            </w:tcBorders>
            <w:noWrap/>
            <w:hideMark/>
          </w:tcPr>
          <w:p w14:paraId="1DD5CBEC"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176.1</w:t>
            </w:r>
          </w:p>
        </w:tc>
        <w:tc>
          <w:tcPr>
            <w:tcW w:w="546" w:type="pct"/>
            <w:tcBorders>
              <w:top w:val="nil"/>
              <w:left w:val="nil"/>
              <w:bottom w:val="nil"/>
              <w:right w:val="nil"/>
            </w:tcBorders>
            <w:noWrap/>
            <w:hideMark/>
          </w:tcPr>
          <w:p w14:paraId="2DFCD7DB"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190.1</w:t>
            </w:r>
          </w:p>
        </w:tc>
      </w:tr>
      <w:tr w:rsidR="00B403D5" w:rsidRPr="009D1C5D" w14:paraId="39620D59"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nil"/>
              <w:right w:val="nil"/>
            </w:tcBorders>
            <w:noWrap/>
            <w:hideMark/>
          </w:tcPr>
          <w:p w14:paraId="6D64161E"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lastRenderedPageBreak/>
              <w:t>Absorption  first phase</w:t>
            </w:r>
          </w:p>
        </w:tc>
        <w:tc>
          <w:tcPr>
            <w:tcW w:w="545" w:type="pct"/>
            <w:tcBorders>
              <w:top w:val="nil"/>
              <w:left w:val="nil"/>
              <w:bottom w:val="nil"/>
              <w:right w:val="nil"/>
            </w:tcBorders>
            <w:noWrap/>
            <w:hideMark/>
          </w:tcPr>
          <w:p w14:paraId="33B17157"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0.603</w:t>
            </w:r>
          </w:p>
        </w:tc>
        <w:tc>
          <w:tcPr>
            <w:tcW w:w="545" w:type="pct"/>
            <w:tcBorders>
              <w:top w:val="nil"/>
              <w:left w:val="nil"/>
              <w:bottom w:val="nil"/>
              <w:right w:val="nil"/>
            </w:tcBorders>
            <w:noWrap/>
            <w:hideMark/>
          </w:tcPr>
          <w:p w14:paraId="3955D492"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Fraction</w:t>
            </w:r>
          </w:p>
        </w:tc>
        <w:tc>
          <w:tcPr>
            <w:tcW w:w="714" w:type="pct"/>
            <w:tcBorders>
              <w:top w:val="nil"/>
              <w:left w:val="nil"/>
              <w:bottom w:val="nil"/>
              <w:right w:val="nil"/>
            </w:tcBorders>
            <w:noWrap/>
            <w:hideMark/>
          </w:tcPr>
          <w:p w14:paraId="2CC8C732"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0.058</w:t>
            </w:r>
          </w:p>
        </w:tc>
        <w:tc>
          <w:tcPr>
            <w:tcW w:w="585" w:type="pct"/>
            <w:gridSpan w:val="2"/>
            <w:tcBorders>
              <w:top w:val="nil"/>
              <w:left w:val="nil"/>
              <w:bottom w:val="nil"/>
              <w:right w:val="nil"/>
            </w:tcBorders>
            <w:noWrap/>
            <w:hideMark/>
          </w:tcPr>
          <w:p w14:paraId="2D8EA10E"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9.64</w:t>
            </w:r>
          </w:p>
        </w:tc>
        <w:tc>
          <w:tcPr>
            <w:tcW w:w="546" w:type="pct"/>
            <w:gridSpan w:val="2"/>
            <w:tcBorders>
              <w:top w:val="nil"/>
              <w:left w:val="nil"/>
              <w:bottom w:val="nil"/>
              <w:right w:val="nil"/>
            </w:tcBorders>
            <w:noWrap/>
            <w:hideMark/>
          </w:tcPr>
          <w:p w14:paraId="53C57266"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0.489</w:t>
            </w:r>
          </w:p>
        </w:tc>
        <w:tc>
          <w:tcPr>
            <w:tcW w:w="546" w:type="pct"/>
            <w:tcBorders>
              <w:top w:val="nil"/>
              <w:left w:val="nil"/>
              <w:bottom w:val="nil"/>
              <w:right w:val="nil"/>
            </w:tcBorders>
            <w:noWrap/>
            <w:hideMark/>
          </w:tcPr>
          <w:p w14:paraId="58C28480"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0.717</w:t>
            </w:r>
          </w:p>
        </w:tc>
      </w:tr>
      <w:tr w:rsidR="00B403D5" w:rsidRPr="009D1C5D" w14:paraId="15E159A5" w14:textId="77777777" w:rsidTr="002556D6">
        <w:trPr>
          <w:trHeight w:val="227"/>
        </w:trPr>
        <w:tc>
          <w:tcPr>
            <w:cnfStyle w:val="001000000000" w:firstRow="0" w:lastRow="0" w:firstColumn="1" w:lastColumn="0" w:oddVBand="0" w:evenVBand="0" w:oddHBand="0" w:evenHBand="0" w:firstRowFirstColumn="0" w:firstRowLastColumn="0" w:lastRowFirstColumn="0" w:lastRowLastColumn="0"/>
            <w:tcW w:w="1518" w:type="pct"/>
            <w:tcBorders>
              <w:top w:val="nil"/>
              <w:left w:val="nil"/>
              <w:bottom w:val="single" w:sz="4" w:space="0" w:color="7F7F7F" w:themeColor="text1" w:themeTint="80"/>
              <w:right w:val="nil"/>
            </w:tcBorders>
            <w:noWrap/>
            <w:hideMark/>
          </w:tcPr>
          <w:p w14:paraId="01A6E9ED" w14:textId="77777777" w:rsidR="00B403D5" w:rsidRPr="009D1C5D" w:rsidRDefault="00B403D5" w:rsidP="000C29AC">
            <w:pPr>
              <w:spacing w:line="276" w:lineRule="auto"/>
              <w:rPr>
                <w:rFonts w:ascii="Times New Roman" w:hAnsi="Times New Roman"/>
                <w:b w:val="0"/>
                <w:sz w:val="22"/>
                <w:szCs w:val="22"/>
              </w:rPr>
            </w:pPr>
            <w:r w:rsidRPr="009D1C5D">
              <w:rPr>
                <w:rFonts w:ascii="Times New Roman" w:hAnsi="Times New Roman"/>
                <w:b w:val="0"/>
                <w:sz w:val="22"/>
                <w:szCs w:val="22"/>
              </w:rPr>
              <w:t>Absorption second phase</w:t>
            </w:r>
          </w:p>
        </w:tc>
        <w:tc>
          <w:tcPr>
            <w:tcW w:w="545" w:type="pct"/>
            <w:tcBorders>
              <w:top w:val="nil"/>
              <w:left w:val="nil"/>
              <w:bottom w:val="single" w:sz="4" w:space="0" w:color="7F7F7F" w:themeColor="text1" w:themeTint="80"/>
              <w:right w:val="nil"/>
            </w:tcBorders>
            <w:noWrap/>
            <w:hideMark/>
          </w:tcPr>
          <w:p w14:paraId="7B68CD5C"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0.397</w:t>
            </w:r>
          </w:p>
        </w:tc>
        <w:tc>
          <w:tcPr>
            <w:tcW w:w="545" w:type="pct"/>
            <w:tcBorders>
              <w:top w:val="nil"/>
              <w:left w:val="nil"/>
              <w:bottom w:val="single" w:sz="4" w:space="0" w:color="7F7F7F" w:themeColor="text1" w:themeTint="80"/>
              <w:right w:val="nil"/>
            </w:tcBorders>
            <w:noWrap/>
            <w:hideMark/>
          </w:tcPr>
          <w:p w14:paraId="7E9B3F53"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Fraction</w:t>
            </w:r>
          </w:p>
        </w:tc>
        <w:tc>
          <w:tcPr>
            <w:tcW w:w="714" w:type="pct"/>
            <w:tcBorders>
              <w:top w:val="nil"/>
              <w:left w:val="nil"/>
              <w:bottom w:val="single" w:sz="4" w:space="0" w:color="7F7F7F" w:themeColor="text1" w:themeTint="80"/>
              <w:right w:val="nil"/>
            </w:tcBorders>
            <w:noWrap/>
            <w:hideMark/>
          </w:tcPr>
          <w:p w14:paraId="24D9571A"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0.058</w:t>
            </w:r>
          </w:p>
        </w:tc>
        <w:tc>
          <w:tcPr>
            <w:tcW w:w="585" w:type="pct"/>
            <w:gridSpan w:val="2"/>
            <w:tcBorders>
              <w:top w:val="nil"/>
              <w:left w:val="nil"/>
              <w:bottom w:val="single" w:sz="4" w:space="0" w:color="7F7F7F" w:themeColor="text1" w:themeTint="80"/>
              <w:right w:val="nil"/>
            </w:tcBorders>
            <w:noWrap/>
            <w:hideMark/>
          </w:tcPr>
          <w:p w14:paraId="40EF5557"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14.66</w:t>
            </w:r>
          </w:p>
        </w:tc>
        <w:tc>
          <w:tcPr>
            <w:tcW w:w="546" w:type="pct"/>
            <w:gridSpan w:val="2"/>
            <w:tcBorders>
              <w:top w:val="nil"/>
              <w:left w:val="nil"/>
              <w:bottom w:val="single" w:sz="4" w:space="0" w:color="7F7F7F" w:themeColor="text1" w:themeTint="80"/>
              <w:right w:val="nil"/>
            </w:tcBorders>
            <w:noWrap/>
            <w:hideMark/>
          </w:tcPr>
          <w:p w14:paraId="38A9BCBA"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0.283</w:t>
            </w:r>
          </w:p>
        </w:tc>
        <w:tc>
          <w:tcPr>
            <w:tcW w:w="546" w:type="pct"/>
            <w:tcBorders>
              <w:top w:val="nil"/>
              <w:left w:val="nil"/>
              <w:bottom w:val="single" w:sz="4" w:space="0" w:color="7F7F7F" w:themeColor="text1" w:themeTint="80"/>
              <w:right w:val="nil"/>
            </w:tcBorders>
            <w:noWrap/>
            <w:hideMark/>
          </w:tcPr>
          <w:p w14:paraId="62BA0868" w14:textId="77777777" w:rsidR="00B403D5" w:rsidRPr="009D1C5D" w:rsidRDefault="00B403D5" w:rsidP="000C29A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9D1C5D">
              <w:rPr>
                <w:rFonts w:ascii="Times New Roman" w:hAnsi="Times New Roman"/>
                <w:sz w:val="22"/>
                <w:szCs w:val="22"/>
              </w:rPr>
              <w:t>0.511</w:t>
            </w:r>
          </w:p>
        </w:tc>
      </w:tr>
    </w:tbl>
    <w:p w14:paraId="0138DCF2" w14:textId="77777777" w:rsidR="00B403D5" w:rsidRPr="009D1C5D" w:rsidRDefault="00B403D5" w:rsidP="000C29AC">
      <w:pPr>
        <w:spacing w:line="276" w:lineRule="auto"/>
        <w:rPr>
          <w:rFonts w:ascii="Times New Roman" w:hAnsi="Times New Roman" w:cs="Times New Roman"/>
          <w:i/>
          <w:sz w:val="24"/>
          <w:szCs w:val="24"/>
          <w:lang w:val="en-US" w:eastAsia="fr-FR"/>
        </w:rPr>
      </w:pPr>
      <w:r w:rsidRPr="009D1C5D">
        <w:rPr>
          <w:rFonts w:ascii="Times New Roman" w:hAnsi="Times New Roman" w:cs="Times New Roman"/>
          <w:i/>
          <w:sz w:val="24"/>
          <w:szCs w:val="24"/>
        </w:rPr>
        <w:t xml:space="preserve">For interpretation of parameters, see equations 1 (Thetas) and 2 (Omega). AUC was obtained by integrating equation1 with estimated tv of thetas parameters. The disposition of florfenicol for the investigated formulations obeys a flip-flop pattern (see Discussion) and fraction absorbed during the first versus the second phase was estimated by computing partial areas associated with the alpha phase (A/Alpha) and the beta phase (B/Beta). </w:t>
      </w:r>
    </w:p>
    <w:p w14:paraId="7D80E6C2" w14:textId="77777777" w:rsidR="009638AB" w:rsidRPr="009D1C5D" w:rsidRDefault="009638AB" w:rsidP="000C29AC">
      <w:pPr>
        <w:spacing w:line="276" w:lineRule="auto"/>
        <w:rPr>
          <w:sz w:val="24"/>
          <w:szCs w:val="24"/>
        </w:rPr>
      </w:pPr>
    </w:p>
    <w:p w14:paraId="55219F2E" w14:textId="77777777" w:rsidR="000C29AC" w:rsidRPr="009D1C5D" w:rsidRDefault="000C29AC" w:rsidP="000C29AC">
      <w:pPr>
        <w:spacing w:after="240" w:line="276" w:lineRule="auto"/>
        <w:rPr>
          <w:rFonts w:ascii="Times New Roman" w:hAnsi="Times New Roman"/>
          <w:b/>
          <w:sz w:val="24"/>
          <w:szCs w:val="24"/>
        </w:rPr>
      </w:pPr>
      <w:r w:rsidRPr="009D1C5D">
        <w:rPr>
          <w:rFonts w:ascii="Times New Roman" w:hAnsi="Times New Roman"/>
          <w:b/>
          <w:sz w:val="24"/>
          <w:szCs w:val="24"/>
        </w:rPr>
        <w:t>Reference of the supplementary materials</w:t>
      </w:r>
    </w:p>
    <w:p w14:paraId="05E49316" w14:textId="77777777" w:rsidR="000C29AC" w:rsidRPr="009D1C5D" w:rsidRDefault="000C29AC" w:rsidP="000C29AC">
      <w:pPr>
        <w:spacing w:after="240" w:line="276" w:lineRule="auto"/>
        <w:rPr>
          <w:rFonts w:ascii="Times New Roman" w:hAnsi="Times New Roman"/>
          <w:sz w:val="24"/>
          <w:szCs w:val="24"/>
        </w:rPr>
      </w:pPr>
      <w:r w:rsidRPr="009D1C5D">
        <w:rPr>
          <w:rFonts w:ascii="Times New Roman" w:hAnsi="Times New Roman"/>
          <w:sz w:val="24"/>
          <w:szCs w:val="24"/>
        </w:rPr>
        <w:t xml:space="preserve">Anonymous (2018a). NORFENICOL- florfenicol injection, solution Norbrook Laboratories Limited. Available at: </w:t>
      </w:r>
      <w:hyperlink r:id="rId6" w:history="1">
        <w:r w:rsidR="009D1C5D" w:rsidRPr="00D56B6E">
          <w:rPr>
            <w:rStyle w:val="Hyperlink"/>
            <w:rFonts w:ascii="Times New Roman" w:hAnsi="Times New Roman"/>
            <w:sz w:val="24"/>
            <w:szCs w:val="24"/>
          </w:rPr>
          <w:t>https://www.norbrook.com/products/united-states/norfenicol-injectable-solution-florfenicol</w:t>
        </w:r>
      </w:hyperlink>
      <w:r w:rsidR="009D1C5D">
        <w:rPr>
          <w:rFonts w:ascii="Times New Roman" w:hAnsi="Times New Roman"/>
          <w:sz w:val="24"/>
          <w:szCs w:val="24"/>
        </w:rPr>
        <w:t xml:space="preserve"> </w:t>
      </w:r>
      <w:r w:rsidRPr="009D1C5D">
        <w:rPr>
          <w:rFonts w:ascii="Times New Roman" w:hAnsi="Times New Roman"/>
          <w:sz w:val="24"/>
          <w:szCs w:val="24"/>
        </w:rPr>
        <w:t>[Accessed August 22, 2018].</w:t>
      </w:r>
    </w:p>
    <w:p w14:paraId="2CEB71A2" w14:textId="77777777" w:rsidR="000C29AC" w:rsidRPr="009D1C5D" w:rsidRDefault="000C29AC" w:rsidP="000C29AC">
      <w:pPr>
        <w:spacing w:line="276" w:lineRule="auto"/>
        <w:rPr>
          <w:sz w:val="24"/>
          <w:szCs w:val="24"/>
        </w:rPr>
      </w:pPr>
    </w:p>
    <w:sectPr w:rsidR="000C29AC" w:rsidRPr="009D1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22A2"/>
    <w:multiLevelType w:val="hybridMultilevel"/>
    <w:tmpl w:val="1B7EF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D24DB"/>
    <w:multiLevelType w:val="hybridMultilevel"/>
    <w:tmpl w:val="CB70F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C4C53"/>
    <w:multiLevelType w:val="multilevel"/>
    <w:tmpl w:val="9F2CE54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D5"/>
    <w:rsid w:val="000A37DD"/>
    <w:rsid w:val="000C29AC"/>
    <w:rsid w:val="00145DA5"/>
    <w:rsid w:val="001900A5"/>
    <w:rsid w:val="002556D6"/>
    <w:rsid w:val="0036675F"/>
    <w:rsid w:val="006B7F20"/>
    <w:rsid w:val="007E7CB3"/>
    <w:rsid w:val="007F0B8E"/>
    <w:rsid w:val="00926AA2"/>
    <w:rsid w:val="009638AB"/>
    <w:rsid w:val="009D1C5D"/>
    <w:rsid w:val="00A90F68"/>
    <w:rsid w:val="00B403D5"/>
    <w:rsid w:val="00B83AE2"/>
    <w:rsid w:val="00D51686"/>
    <w:rsid w:val="00F5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3ACD"/>
  <w15:chartTrackingRefBased/>
  <w15:docId w15:val="{4E219066-74F2-4695-A1E3-82905215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3D5"/>
    <w:rPr>
      <w:rFonts w:ascii="Arial" w:hAnsi="Arial"/>
    </w:rPr>
  </w:style>
  <w:style w:type="paragraph" w:styleId="Heading1">
    <w:name w:val="heading 1"/>
    <w:basedOn w:val="ListParagraph"/>
    <w:next w:val="Normal"/>
    <w:link w:val="Heading1Char"/>
    <w:uiPriority w:val="2"/>
    <w:qFormat/>
    <w:rsid w:val="009D1C5D"/>
    <w:pPr>
      <w:numPr>
        <w:numId w:val="3"/>
      </w:numPr>
      <w:tabs>
        <w:tab w:val="num" w:pos="567"/>
      </w:tabs>
      <w:spacing w:before="240" w:after="240" w:line="240" w:lineRule="auto"/>
      <w:ind w:left="567" w:hanging="567"/>
      <w:contextualSpacing w:val="0"/>
      <w:outlineLvl w:val="0"/>
    </w:pPr>
    <w:rPr>
      <w:rFonts w:ascii="Times New Roman" w:eastAsia="Cambria"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03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Spacing"/>
    <w:uiPriority w:val="35"/>
    <w:semiHidden/>
    <w:unhideWhenUsed/>
    <w:qFormat/>
    <w:rsid w:val="00B403D5"/>
    <w:pPr>
      <w:keepNext/>
      <w:spacing w:before="120" w:after="240" w:line="240" w:lineRule="auto"/>
    </w:pPr>
    <w:rPr>
      <w:rFonts w:ascii="Times New Roman" w:hAnsi="Times New Roman" w:cs="Times New Roman"/>
      <w:b/>
      <w:bCs/>
      <w:sz w:val="24"/>
      <w:szCs w:val="24"/>
      <w:lang w:val="en-US"/>
    </w:rPr>
  </w:style>
  <w:style w:type="table" w:styleId="TableGrid">
    <w:name w:val="Table Grid"/>
    <w:basedOn w:val="TableNormal"/>
    <w:uiPriority w:val="39"/>
    <w:rsid w:val="00B4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3D5"/>
    <w:pPr>
      <w:spacing w:after="0" w:line="240" w:lineRule="auto"/>
    </w:pPr>
    <w:rPr>
      <w:rFonts w:ascii="Arial" w:hAnsi="Arial"/>
    </w:rPr>
  </w:style>
  <w:style w:type="table" w:styleId="PlainTable2">
    <w:name w:val="Plain Table 2"/>
    <w:basedOn w:val="TableNormal"/>
    <w:uiPriority w:val="42"/>
    <w:rsid w:val="00B403D5"/>
    <w:pPr>
      <w:spacing w:after="0" w:line="240" w:lineRule="auto"/>
    </w:pPr>
    <w:rPr>
      <w:rFonts w:ascii="Times New Roman" w:eastAsia="Times New Roman" w:hAnsi="Times New Roman" w:cs="Times New Roman"/>
      <w:sz w:val="20"/>
      <w:szCs w:val="20"/>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0C29AC"/>
  </w:style>
  <w:style w:type="paragraph" w:customStyle="1" w:styleId="SupplementaryMaterial">
    <w:name w:val="Supplementary Material"/>
    <w:basedOn w:val="Title"/>
    <w:next w:val="Title"/>
    <w:qFormat/>
    <w:rsid w:val="009D1C5D"/>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itle">
    <w:name w:val="Title"/>
    <w:basedOn w:val="Normal"/>
    <w:next w:val="Normal"/>
    <w:link w:val="TitleChar"/>
    <w:uiPriority w:val="10"/>
    <w:qFormat/>
    <w:rsid w:val="009D1C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C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2"/>
    <w:rsid w:val="009D1C5D"/>
    <w:rPr>
      <w:rFonts w:ascii="Times New Roman" w:eastAsia="Cambria" w:hAnsi="Times New Roman" w:cs="Times New Roman"/>
      <w:b/>
      <w:sz w:val="24"/>
      <w:szCs w:val="24"/>
      <w:lang w:val="en-US"/>
    </w:rPr>
  </w:style>
  <w:style w:type="paragraph" w:styleId="ListParagraph">
    <w:name w:val="List Paragraph"/>
    <w:basedOn w:val="Normal"/>
    <w:uiPriority w:val="34"/>
    <w:qFormat/>
    <w:rsid w:val="009D1C5D"/>
    <w:pPr>
      <w:ind w:left="720"/>
      <w:contextualSpacing/>
    </w:pPr>
  </w:style>
  <w:style w:type="character" w:styleId="Hyperlink">
    <w:name w:val="Hyperlink"/>
    <w:basedOn w:val="DefaultParagraphFont"/>
    <w:uiPriority w:val="99"/>
    <w:unhideWhenUsed/>
    <w:rsid w:val="009D1C5D"/>
    <w:rPr>
      <w:color w:val="0563C1" w:themeColor="hyperlink"/>
      <w:u w:val="single"/>
    </w:rPr>
  </w:style>
  <w:style w:type="character" w:styleId="CommentReference">
    <w:name w:val="annotation reference"/>
    <w:basedOn w:val="DefaultParagraphFont"/>
    <w:uiPriority w:val="99"/>
    <w:semiHidden/>
    <w:unhideWhenUsed/>
    <w:rsid w:val="000A37DD"/>
    <w:rPr>
      <w:sz w:val="16"/>
      <w:szCs w:val="16"/>
    </w:rPr>
  </w:style>
  <w:style w:type="paragraph" w:styleId="CommentText">
    <w:name w:val="annotation text"/>
    <w:basedOn w:val="Normal"/>
    <w:link w:val="CommentTextChar"/>
    <w:uiPriority w:val="99"/>
    <w:semiHidden/>
    <w:unhideWhenUsed/>
    <w:rsid w:val="000A37DD"/>
    <w:pPr>
      <w:spacing w:line="240" w:lineRule="auto"/>
    </w:pPr>
    <w:rPr>
      <w:sz w:val="20"/>
      <w:szCs w:val="20"/>
    </w:rPr>
  </w:style>
  <w:style w:type="character" w:customStyle="1" w:styleId="CommentTextChar">
    <w:name w:val="Comment Text Char"/>
    <w:basedOn w:val="DefaultParagraphFont"/>
    <w:link w:val="CommentText"/>
    <w:uiPriority w:val="99"/>
    <w:semiHidden/>
    <w:rsid w:val="000A37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37DD"/>
    <w:rPr>
      <w:b/>
      <w:bCs/>
    </w:rPr>
  </w:style>
  <w:style w:type="character" w:customStyle="1" w:styleId="CommentSubjectChar">
    <w:name w:val="Comment Subject Char"/>
    <w:basedOn w:val="CommentTextChar"/>
    <w:link w:val="CommentSubject"/>
    <w:uiPriority w:val="99"/>
    <w:semiHidden/>
    <w:rsid w:val="000A37DD"/>
    <w:rPr>
      <w:rFonts w:ascii="Arial" w:hAnsi="Arial"/>
      <w:b/>
      <w:bCs/>
      <w:sz w:val="20"/>
      <w:szCs w:val="20"/>
    </w:rPr>
  </w:style>
  <w:style w:type="paragraph" w:styleId="BalloonText">
    <w:name w:val="Balloon Text"/>
    <w:basedOn w:val="Normal"/>
    <w:link w:val="BalloonTextChar"/>
    <w:uiPriority w:val="99"/>
    <w:semiHidden/>
    <w:unhideWhenUsed/>
    <w:rsid w:val="000A3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38083">
      <w:bodyDiv w:val="1"/>
      <w:marLeft w:val="0"/>
      <w:marRight w:val="0"/>
      <w:marTop w:val="0"/>
      <w:marBottom w:val="0"/>
      <w:divBdr>
        <w:top w:val="none" w:sz="0" w:space="0" w:color="auto"/>
        <w:left w:val="none" w:sz="0" w:space="0" w:color="auto"/>
        <w:bottom w:val="none" w:sz="0" w:space="0" w:color="auto"/>
        <w:right w:val="none" w:sz="0" w:space="0" w:color="auto"/>
      </w:divBdr>
    </w:div>
    <w:div w:id="13101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rbrook.com/products/united-states/norfenicol-injectable-solution-florfenic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CCAC-F6E9-4EE1-837A-7BD7F5D0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Pelligand, Ludovic</dc:creator>
  <cp:keywords/>
  <dc:description/>
  <cp:lastModifiedBy>Frontiers</cp:lastModifiedBy>
  <cp:revision>2</cp:revision>
  <dcterms:created xsi:type="dcterms:W3CDTF">2019-06-03T11:03:00Z</dcterms:created>
  <dcterms:modified xsi:type="dcterms:W3CDTF">2019-06-03T11:03:00Z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zotero-version="5.0.59"&gt;&lt;session id="QKCx1xqY"/&gt;&lt;style id="http://www.zotero.org/styles/journal-of-clinical-microbiology" hasBibliography="1" bibliographyStyleHasBeenSet="0"/&gt;&lt;prefs&gt;&lt;pref name="fieldType" value="Field"/&gt;&lt;/prefs&gt;&lt;/da</vt:lpwstr>
  </property>
  <property fmtid="{D5CDD505-2E9C-101B-9397-08002B2CF9AE}" pid="3" name="ZOTERO_PREF_2">
    <vt:lpwstr>ta&gt;</vt:lpwstr>
  </property>
</Properties>
</file>