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DC2" w:rsidRPr="004352E9" w:rsidRDefault="00563DC2" w:rsidP="00563DC2">
      <w:pPr>
        <w:rPr>
          <w:b/>
          <w:lang w:val="en-US"/>
        </w:rPr>
      </w:pPr>
      <w:r>
        <w:rPr>
          <w:b/>
          <w:lang w:val="en-US"/>
        </w:rPr>
        <w:t xml:space="preserve">Supplementary </w:t>
      </w:r>
      <w:r w:rsidRPr="004352E9">
        <w:rPr>
          <w:b/>
          <w:lang w:val="en-US"/>
        </w:rPr>
        <w:t>Table</w:t>
      </w:r>
      <w:r>
        <w:rPr>
          <w:b/>
          <w:lang w:val="en-US"/>
        </w:rPr>
        <w:t xml:space="preserve"> S1</w:t>
      </w:r>
      <w:r w:rsidRPr="004352E9">
        <w:rPr>
          <w:b/>
          <w:lang w:val="en-US"/>
        </w:rPr>
        <w:t xml:space="preserve">: Pathway, type, effect and </w:t>
      </w:r>
      <w:r>
        <w:rPr>
          <w:b/>
          <w:lang w:val="en-US"/>
        </w:rPr>
        <w:t>characteristics</w:t>
      </w:r>
      <w:r w:rsidRPr="004352E9">
        <w:rPr>
          <w:b/>
          <w:lang w:val="en-US"/>
        </w:rPr>
        <w:t xml:space="preserve"> of biologics </w:t>
      </w:r>
      <w:r w:rsidR="00550743">
        <w:rPr>
          <w:b/>
          <w:lang w:val="en-US"/>
        </w:rPr>
        <w:t xml:space="preserve">used </w:t>
      </w:r>
      <w:r w:rsidRPr="004352E9">
        <w:rPr>
          <w:b/>
          <w:lang w:val="en-US"/>
        </w:rPr>
        <w:t>off-label for skin disorders</w:t>
      </w:r>
    </w:p>
    <w:tbl>
      <w:tblPr>
        <w:tblStyle w:val="Tabelraster"/>
        <w:tblW w:w="9634" w:type="dxa"/>
        <w:tblLayout w:type="fixed"/>
        <w:tblLook w:val="04A0" w:firstRow="1" w:lastRow="0" w:firstColumn="1" w:lastColumn="0" w:noHBand="0" w:noVBand="1"/>
      </w:tblPr>
      <w:tblGrid>
        <w:gridCol w:w="1491"/>
        <w:gridCol w:w="1481"/>
        <w:gridCol w:w="1843"/>
        <w:gridCol w:w="850"/>
        <w:gridCol w:w="3969"/>
      </w:tblGrid>
      <w:tr w:rsidR="00563DC2" w:rsidRPr="00D74D1C" w:rsidTr="004352E9">
        <w:tc>
          <w:tcPr>
            <w:tcW w:w="9634" w:type="dxa"/>
            <w:gridSpan w:val="5"/>
            <w:shd w:val="clear" w:color="auto" w:fill="000000" w:themeFill="text1"/>
          </w:tcPr>
          <w:p w:rsidR="00563DC2" w:rsidRPr="004352E9" w:rsidRDefault="00563DC2" w:rsidP="004352E9">
            <w:pPr>
              <w:rPr>
                <w:b/>
                <w:sz w:val="18"/>
                <w:szCs w:val="18"/>
              </w:rPr>
            </w:pPr>
            <w:bookmarkStart w:id="0" w:name="_Hlk12708711"/>
            <w:r w:rsidRPr="004352E9">
              <w:rPr>
                <w:b/>
                <w:sz w:val="18"/>
                <w:szCs w:val="18"/>
              </w:rPr>
              <w:t>IL-1</w:t>
            </w:r>
          </w:p>
        </w:tc>
      </w:tr>
      <w:tr w:rsidR="00563DC2" w:rsidRPr="00874FA5" w:rsidTr="004352E9">
        <w:tc>
          <w:tcPr>
            <w:tcW w:w="2972" w:type="dxa"/>
            <w:gridSpan w:val="2"/>
            <w:shd w:val="clear" w:color="auto" w:fill="BFBFBF" w:themeFill="background1" w:themeFillShade="BF"/>
          </w:tcPr>
          <w:p w:rsidR="00563DC2" w:rsidRPr="004352E9" w:rsidRDefault="00563DC2" w:rsidP="004352E9">
            <w:pPr>
              <w:rPr>
                <w:b/>
                <w:sz w:val="18"/>
                <w:szCs w:val="18"/>
              </w:rPr>
            </w:pPr>
            <w:proofErr w:type="spellStart"/>
            <w:r w:rsidRPr="004352E9">
              <w:rPr>
                <w:b/>
                <w:sz w:val="18"/>
                <w:szCs w:val="18"/>
              </w:rPr>
              <w:t>Role</w:t>
            </w:r>
            <w:proofErr w:type="spellEnd"/>
            <w:r w:rsidRPr="004352E9">
              <w:rPr>
                <w:b/>
                <w:sz w:val="18"/>
                <w:szCs w:val="18"/>
              </w:rPr>
              <w:t xml:space="preserve"> in health</w:t>
            </w:r>
          </w:p>
        </w:tc>
        <w:tc>
          <w:tcPr>
            <w:tcW w:w="2693" w:type="dxa"/>
            <w:gridSpan w:val="2"/>
            <w:shd w:val="clear" w:color="auto" w:fill="BFBFBF" w:themeFill="background1" w:themeFillShade="BF"/>
          </w:tcPr>
          <w:p w:rsidR="00563DC2" w:rsidRPr="004352E9" w:rsidRDefault="00563DC2" w:rsidP="004352E9">
            <w:pPr>
              <w:rPr>
                <w:b/>
                <w:sz w:val="18"/>
                <w:szCs w:val="18"/>
              </w:rPr>
            </w:pPr>
            <w:proofErr w:type="spellStart"/>
            <w:r w:rsidRPr="004352E9">
              <w:rPr>
                <w:b/>
                <w:sz w:val="18"/>
                <w:szCs w:val="18"/>
              </w:rPr>
              <w:t>Role</w:t>
            </w:r>
            <w:proofErr w:type="spellEnd"/>
            <w:r w:rsidRPr="004352E9">
              <w:rPr>
                <w:b/>
                <w:sz w:val="18"/>
                <w:szCs w:val="18"/>
              </w:rPr>
              <w:t xml:space="preserve"> in skin </w:t>
            </w:r>
            <w:proofErr w:type="spellStart"/>
            <w:r w:rsidRPr="004352E9">
              <w:rPr>
                <w:b/>
                <w:sz w:val="18"/>
                <w:szCs w:val="18"/>
              </w:rPr>
              <w:t>disease</w:t>
            </w:r>
            <w:proofErr w:type="spellEnd"/>
          </w:p>
        </w:tc>
        <w:tc>
          <w:tcPr>
            <w:tcW w:w="3969" w:type="dxa"/>
            <w:shd w:val="clear" w:color="auto" w:fill="BFBFBF" w:themeFill="background1" w:themeFillShade="BF"/>
          </w:tcPr>
          <w:p w:rsidR="00563DC2" w:rsidRPr="004352E9" w:rsidRDefault="00563DC2" w:rsidP="004352E9">
            <w:pPr>
              <w:rPr>
                <w:b/>
                <w:sz w:val="18"/>
                <w:szCs w:val="18"/>
                <w:lang w:val="en-US"/>
              </w:rPr>
            </w:pPr>
            <w:r w:rsidRPr="004352E9">
              <w:rPr>
                <w:b/>
                <w:sz w:val="18"/>
                <w:szCs w:val="18"/>
                <w:lang w:val="en-US"/>
              </w:rPr>
              <w:t>Immunological effects</w:t>
            </w:r>
          </w:p>
        </w:tc>
      </w:tr>
      <w:tr w:rsidR="00563DC2" w:rsidRPr="00345CDA" w:rsidTr="004352E9">
        <w:tc>
          <w:tcPr>
            <w:tcW w:w="2972" w:type="dxa"/>
            <w:gridSpan w:val="2"/>
            <w:shd w:val="clear" w:color="auto" w:fill="auto"/>
          </w:tcPr>
          <w:p w:rsidR="00563DC2" w:rsidRPr="004352E9" w:rsidRDefault="00563DC2" w:rsidP="004352E9">
            <w:pPr>
              <w:rPr>
                <w:sz w:val="18"/>
                <w:szCs w:val="18"/>
                <w:lang w:val="en-US"/>
              </w:rPr>
            </w:pPr>
            <w:r w:rsidRPr="004352E9">
              <w:rPr>
                <w:sz w:val="18"/>
                <w:szCs w:val="18"/>
                <w:lang w:val="en-US"/>
              </w:rPr>
              <w:t>- Major mediator of innate immune response</w:t>
            </w:r>
          </w:p>
        </w:tc>
        <w:tc>
          <w:tcPr>
            <w:tcW w:w="2693" w:type="dxa"/>
            <w:gridSpan w:val="2"/>
            <w:shd w:val="clear" w:color="auto" w:fill="auto"/>
          </w:tcPr>
          <w:p w:rsidR="00563DC2" w:rsidRPr="004352E9" w:rsidRDefault="00563DC2" w:rsidP="004352E9">
            <w:pPr>
              <w:rPr>
                <w:sz w:val="18"/>
                <w:szCs w:val="18"/>
                <w:lang w:val="en-US"/>
              </w:rPr>
            </w:pPr>
            <w:r w:rsidRPr="004352E9">
              <w:rPr>
                <w:sz w:val="18"/>
                <w:szCs w:val="18"/>
                <w:lang w:val="en-US"/>
              </w:rPr>
              <w:t>- Crucial</w:t>
            </w:r>
            <w:r>
              <w:rPr>
                <w:sz w:val="18"/>
                <w:szCs w:val="18"/>
                <w:lang w:val="en-US"/>
              </w:rPr>
              <w:t xml:space="preserve"> trigger</w:t>
            </w:r>
            <w:r w:rsidRPr="004352E9">
              <w:rPr>
                <w:sz w:val="18"/>
                <w:szCs w:val="18"/>
                <w:lang w:val="en-US"/>
              </w:rPr>
              <w:t xml:space="preserve"> </w:t>
            </w:r>
            <w:r>
              <w:rPr>
                <w:sz w:val="18"/>
                <w:szCs w:val="18"/>
                <w:lang w:val="en-US"/>
              </w:rPr>
              <w:t>of</w:t>
            </w:r>
            <w:r w:rsidRPr="004352E9">
              <w:rPr>
                <w:sz w:val="18"/>
                <w:szCs w:val="18"/>
                <w:lang w:val="en-US"/>
              </w:rPr>
              <w:t xml:space="preserve"> autoinflammatory diseases</w:t>
            </w:r>
          </w:p>
        </w:tc>
        <w:tc>
          <w:tcPr>
            <w:tcW w:w="3969" w:type="dxa"/>
            <w:shd w:val="clear" w:color="auto" w:fill="auto"/>
          </w:tcPr>
          <w:p w:rsidR="00563DC2" w:rsidRPr="004352E9" w:rsidRDefault="00563DC2" w:rsidP="004352E9">
            <w:pPr>
              <w:rPr>
                <w:sz w:val="18"/>
                <w:szCs w:val="18"/>
                <w:lang w:val="en-US"/>
              </w:rPr>
            </w:pPr>
            <w:r w:rsidRPr="004352E9">
              <w:rPr>
                <w:sz w:val="18"/>
                <w:szCs w:val="18"/>
                <w:lang w:val="en-US"/>
              </w:rPr>
              <w:t>- Induction of IL-1 target genes (IL-6, IL-8, MCP-1, COX-2…)</w:t>
            </w:r>
            <w:r>
              <w:rPr>
                <w:sz w:val="18"/>
                <w:szCs w:val="18"/>
                <w:lang w:val="en-US"/>
              </w:rPr>
              <w:t xml:space="preserve"> </w:t>
            </w:r>
            <w:r>
              <w:rPr>
                <w:sz w:val="18"/>
                <w:szCs w:val="18"/>
                <w:lang w:val="en-US"/>
              </w:rPr>
              <w:fldChar w:fldCharType="begin"/>
            </w:r>
            <w:r>
              <w:rPr>
                <w:sz w:val="18"/>
                <w:szCs w:val="18"/>
                <w:lang w:val="en-US"/>
              </w:rPr>
              <w:instrText xml:space="preserve"> ADDIN ZOTERO_ITEM CSL_CITATION {"citationID":"a2cvb8ud03p","properties":{"formattedCitation":"(1)","plainCitation":"(1)","noteIndex":0},"citationItems":[{"id":31913,"uris":["http://zotero.org/users/2689656/items/LK2AXDM9"],"uri":["http://zotero.org/users/2689656/items/LK2AXDM9"],"itemData":{"id":31913,"type":"article-journal","title":"Interleukin-1 (IL-1) pathway","container-title":"Science Signaling","page":"cm1","volume":"3","issue":"105","source":"PubMed","abstract":"The interleukin-1 (IL-1) family of cytokines comprises 11 proteins (IL-1F1 to IL-1F11) encoded by 11 distinct genes in humans and mice. IL-1-type cytokines are major mediators of innate immune reactions, and blockade of the founding members IL-1alpha or IL-1beta by the interleukin-1 receptor antagonist (IL-1RA) has demonstrated a central role of IL-1 in a number of human autoinflammatory diseases. IL-1alpha or IL-1beta rapidly increase messenger RNA expression of hundreds of genes in multiple different cell types. The potent proinflammatory activities of IL-1alpha and IL-1beta are restricted at three major levels: (i) synthesis and release, (ii) membrane receptors, and (iii) intracellular signal transduction. This pathway summarizes extracellular and intracellular signaling of IL-1alpha or IL-1beta, including positive- and negative-feedback mechanisms that amplify or terminate the IL-1 response. In response to ligand binding of the receptor, a complex sequence of combinatorial phosphorylation and ubiquitination events results in activation of nuclear factor kappaB signaling and the JNK and p38 mitogen-activated protein kinase pathways, which, cooperatively, induce the expression of canonical IL-1 target genes (such as IL-6, IL-8, MCP-1, COX-2, IkappaBalpha, IL-1alpha, IL-1beta, MKP-1) by transcriptional and posttranscriptional mechanisms. Of note, most intracellular components that participate in the cellular response to IL-1 also mediate responses to other cytokines (IL-18 and IL-33), Toll-like-receptors (TLRs), and many forms of cytotoxic stresses.","DOI":"10.1126/scisignal.3105cm1","ISSN":"1937-9145","note":"PMID: 20086235","journalAbbreviation":"Sci Signal","language":"eng","author":[{"family":"Weber","given":"Axel"},{"family":"Wasiliew","given":"Peter"},{"family":"Kracht","given":"Michael"}],"issued":{"date-parts":[["2010",1,19]]}}}],"schema":"https://github.com/citation-style-language/schema/raw/master/csl-citation.json"} </w:instrText>
            </w:r>
            <w:r>
              <w:rPr>
                <w:sz w:val="18"/>
                <w:szCs w:val="18"/>
                <w:lang w:val="en-US"/>
              </w:rPr>
              <w:fldChar w:fldCharType="separate"/>
            </w:r>
            <w:r w:rsidRPr="00563DC2">
              <w:rPr>
                <w:rFonts w:ascii="Calibri" w:hAnsi="Calibri" w:cs="Calibri"/>
                <w:sz w:val="18"/>
              </w:rPr>
              <w:t>(1)</w:t>
            </w:r>
            <w:r>
              <w:rPr>
                <w:sz w:val="18"/>
                <w:szCs w:val="18"/>
                <w:lang w:val="en-US"/>
              </w:rPr>
              <w:fldChar w:fldCharType="end"/>
            </w:r>
          </w:p>
        </w:tc>
      </w:tr>
      <w:tr w:rsidR="00563DC2" w:rsidRPr="00615361" w:rsidTr="004352E9">
        <w:tc>
          <w:tcPr>
            <w:tcW w:w="1491" w:type="dxa"/>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Biologic</w:t>
            </w:r>
          </w:p>
        </w:tc>
        <w:tc>
          <w:tcPr>
            <w:tcW w:w="3324" w:type="dxa"/>
            <w:gridSpan w:val="2"/>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Type</w:t>
            </w:r>
          </w:p>
        </w:tc>
        <w:tc>
          <w:tcPr>
            <w:tcW w:w="4819" w:type="dxa"/>
            <w:gridSpan w:val="2"/>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Differences between biologics</w:t>
            </w:r>
          </w:p>
        </w:tc>
      </w:tr>
      <w:tr w:rsidR="00563DC2" w:rsidRPr="00550743" w:rsidTr="004352E9">
        <w:tc>
          <w:tcPr>
            <w:tcW w:w="1491" w:type="dxa"/>
          </w:tcPr>
          <w:p w:rsidR="00563DC2" w:rsidRPr="004352E9" w:rsidRDefault="00563DC2" w:rsidP="004352E9">
            <w:pPr>
              <w:rPr>
                <w:sz w:val="18"/>
                <w:szCs w:val="18"/>
              </w:rPr>
            </w:pPr>
            <w:proofErr w:type="spellStart"/>
            <w:r w:rsidRPr="004352E9">
              <w:rPr>
                <w:sz w:val="18"/>
                <w:szCs w:val="18"/>
              </w:rPr>
              <w:t>Anakinra</w:t>
            </w:r>
            <w:proofErr w:type="spellEnd"/>
          </w:p>
        </w:tc>
        <w:tc>
          <w:tcPr>
            <w:tcW w:w="3324" w:type="dxa"/>
            <w:gridSpan w:val="2"/>
          </w:tcPr>
          <w:p w:rsidR="00563DC2" w:rsidRPr="004352E9" w:rsidRDefault="00563DC2" w:rsidP="004352E9">
            <w:pPr>
              <w:rPr>
                <w:sz w:val="18"/>
                <w:szCs w:val="18"/>
              </w:rPr>
            </w:pPr>
            <w:r w:rsidRPr="004352E9">
              <w:rPr>
                <w:sz w:val="18"/>
                <w:szCs w:val="18"/>
              </w:rPr>
              <w:t>Recombinant IL-1 receptor antagonist</w:t>
            </w:r>
          </w:p>
        </w:tc>
        <w:tc>
          <w:tcPr>
            <w:tcW w:w="4819" w:type="dxa"/>
            <w:gridSpan w:val="2"/>
            <w:vMerge w:val="restart"/>
          </w:tcPr>
          <w:p w:rsidR="00563DC2" w:rsidRPr="004352E9" w:rsidRDefault="00563DC2" w:rsidP="004352E9">
            <w:pPr>
              <w:rPr>
                <w:sz w:val="18"/>
                <w:szCs w:val="18"/>
                <w:lang w:val="en-US"/>
              </w:rPr>
            </w:pPr>
            <w:r w:rsidRPr="004352E9">
              <w:rPr>
                <w:sz w:val="18"/>
                <w:szCs w:val="18"/>
                <w:lang w:val="en-US"/>
              </w:rPr>
              <w:t>- Anakinra competes with IL-1</w:t>
            </w:r>
            <w:r w:rsidRPr="004352E9">
              <w:rPr>
                <w:rFonts w:cstheme="minorHAnsi"/>
                <w:sz w:val="18"/>
                <w:szCs w:val="18"/>
                <w:lang w:val="en-US"/>
              </w:rPr>
              <w:t>α</w:t>
            </w:r>
            <w:r w:rsidRPr="004352E9">
              <w:rPr>
                <w:sz w:val="18"/>
                <w:szCs w:val="18"/>
                <w:lang w:val="en-US"/>
              </w:rPr>
              <w:t xml:space="preserve"> </w:t>
            </w:r>
            <w:r w:rsidR="008E7C21">
              <w:rPr>
                <w:sz w:val="18"/>
                <w:szCs w:val="18"/>
                <w:lang w:val="en-US"/>
              </w:rPr>
              <w:t>a</w:t>
            </w:r>
            <w:r w:rsidRPr="004352E9">
              <w:rPr>
                <w:sz w:val="18"/>
                <w:szCs w:val="18"/>
                <w:lang w:val="en-US"/>
              </w:rPr>
              <w:t>n</w:t>
            </w:r>
            <w:r w:rsidR="008E7C21">
              <w:rPr>
                <w:sz w:val="18"/>
                <w:szCs w:val="18"/>
                <w:lang w:val="en-US"/>
              </w:rPr>
              <w:t>d</w:t>
            </w:r>
            <w:r w:rsidRPr="004352E9">
              <w:rPr>
                <w:sz w:val="18"/>
                <w:szCs w:val="18"/>
                <w:lang w:val="en-US"/>
              </w:rPr>
              <w:t xml:space="preserve"> IL-1</w:t>
            </w:r>
            <w:r w:rsidRPr="004352E9">
              <w:rPr>
                <w:rFonts w:cstheme="minorHAnsi"/>
                <w:sz w:val="18"/>
                <w:szCs w:val="18"/>
                <w:lang w:val="en-US"/>
              </w:rPr>
              <w:t>β</w:t>
            </w:r>
            <w:r w:rsidRPr="004352E9">
              <w:rPr>
                <w:sz w:val="18"/>
                <w:szCs w:val="18"/>
                <w:lang w:val="en-US"/>
              </w:rPr>
              <w:t xml:space="preserve"> to bind to the IL-1 receptor. </w:t>
            </w:r>
          </w:p>
          <w:p w:rsidR="00563DC2" w:rsidRPr="004352E9" w:rsidRDefault="00563DC2" w:rsidP="004352E9">
            <w:pPr>
              <w:rPr>
                <w:sz w:val="18"/>
                <w:szCs w:val="18"/>
                <w:lang w:val="en-US"/>
              </w:rPr>
            </w:pPr>
            <w:r w:rsidRPr="004352E9">
              <w:rPr>
                <w:sz w:val="18"/>
                <w:szCs w:val="18"/>
                <w:lang w:val="en-US"/>
              </w:rPr>
              <w:t xml:space="preserve">- </w:t>
            </w:r>
            <w:r>
              <w:rPr>
                <w:sz w:val="18"/>
                <w:szCs w:val="18"/>
                <w:lang w:val="en-US"/>
              </w:rPr>
              <w:t>C</w:t>
            </w:r>
            <w:r w:rsidRPr="004352E9">
              <w:rPr>
                <w:sz w:val="18"/>
                <w:szCs w:val="18"/>
                <w:lang w:val="en-US"/>
              </w:rPr>
              <w:t>anakinumab</w:t>
            </w:r>
            <w:r>
              <w:rPr>
                <w:sz w:val="18"/>
                <w:szCs w:val="18"/>
                <w:lang w:val="en-US"/>
              </w:rPr>
              <w:t xml:space="preserve"> inhibits </w:t>
            </w:r>
            <w:r w:rsidRPr="00BE5D97">
              <w:rPr>
                <w:sz w:val="18"/>
                <w:szCs w:val="18"/>
                <w:lang w:val="en-US"/>
              </w:rPr>
              <w:t>IL-1</w:t>
            </w:r>
            <w:r w:rsidRPr="00BE5D97">
              <w:rPr>
                <w:rFonts w:cstheme="minorHAnsi"/>
                <w:sz w:val="18"/>
                <w:szCs w:val="18"/>
                <w:lang w:val="en-US"/>
              </w:rPr>
              <w:t>β</w:t>
            </w:r>
            <w:r>
              <w:rPr>
                <w:rFonts w:cstheme="minorHAnsi"/>
                <w:sz w:val="18"/>
                <w:szCs w:val="18"/>
                <w:lang w:val="en-US"/>
              </w:rPr>
              <w:t xml:space="preserve"> and has a longer half-life (26d) compared to anakinra (4-6h)  </w:t>
            </w:r>
            <w:r>
              <w:rPr>
                <w:rFonts w:cstheme="minorHAnsi"/>
                <w:sz w:val="18"/>
                <w:szCs w:val="18"/>
                <w:lang w:val="en-US"/>
              </w:rPr>
              <w:fldChar w:fldCharType="begin"/>
            </w:r>
            <w:r>
              <w:rPr>
                <w:rFonts w:cstheme="minorHAnsi"/>
                <w:sz w:val="18"/>
                <w:szCs w:val="18"/>
                <w:lang w:val="en-US"/>
              </w:rPr>
              <w:instrText xml:space="preserve"> ADDIN ZOTERO_ITEM CSL_CITATION {"citationID":"T4zqNH6Y","properties":{"formattedCitation":"(2)","plainCitation":"(2)","noteIndex":0},"citationItems":[{"id":31935,"uris":["http://zotero.org/users/2689656/items/XU5QJYU8"],"uri":["http://zotero.org/users/2689656/items/XU5QJYU8"],"itemData":{"id":31935,"type":"article-journal","title":"The Use of Canakinumab, a Novel IL-1β Long-Acting Inhibitor, in Refractory Adult-Onset Still's Disease","container-title":"Seminars in Arthritis and Rheumatism","page":"201-205","volume":"42","issue":"2","source":"ScienceDirect","abstract":"Objectives\nWe describe the successful treatment of adult-onset Still's disease (AOSD) with canakinumab, a novel anti-interleukin (IL)-1β, long-acting, monoclonal antibody, on patients refractory to anakinra and rilonacept. In many cases the expected positive therapeutic effect of short-acting IL-1 inhibitors is transient or completely absent, leading to our hypothesis that their short half-life may be associated with incomplete IL-1 blockade, given the cyclic nature of the disease.\nMethods\nWe report 2 cases of AOSD resistant to short-acting IL-1 blockade, which were subsequently treated with canakinumab. A retrospective chart review was conducted of patients diagnosed with AOSD in our regional referral center.\nResults\nResponse to treatment was assessed by its effect on the systemic symptoms (resolution of fever and rash), polyarthritis (using the disease activity score 28--C-reactive protein score), and the levels of serum ferritin. Canakinumab demonstrated sustained efficacy in both patients as evidenced by clinical and laboratory parameters with minimal adverse reactions.\nConclusions\nThis is the first documented report of successful use of canakinumab, a novel IL-1β inhibitor, in AOSD patients refractory to traditional disease-modifying antirheumatic drugs and short- to moderate-acting IL-1 blockade. Prospective comparative studies are needed to validate canakinumab's efficacy and safety.","DOI":"10.1016/j.semarthrit.2012.03.004","ISSN":"0049-0172","journalAbbreviation":"Seminars in Arthritis and Rheumatism","author":[{"family":"Kontzias","given":"Apostolos"},{"family":"Efthimiou","given":"Petros"}],"issued":{"date-parts":[["2012",10,1]]}}}],"schema":"https://github.com/citation-style-language/schema/raw/master/csl-citation.json"} </w:instrText>
            </w:r>
            <w:r>
              <w:rPr>
                <w:rFonts w:cstheme="minorHAnsi"/>
                <w:sz w:val="18"/>
                <w:szCs w:val="18"/>
                <w:lang w:val="en-US"/>
              </w:rPr>
              <w:fldChar w:fldCharType="separate"/>
            </w:r>
            <w:r w:rsidRPr="00563DC2">
              <w:rPr>
                <w:rFonts w:ascii="Calibri" w:hAnsi="Calibri" w:cs="Calibri"/>
                <w:sz w:val="18"/>
                <w:lang w:val="en-US"/>
              </w:rPr>
              <w:t>(2)</w:t>
            </w:r>
            <w:r>
              <w:rPr>
                <w:rFonts w:cstheme="minorHAnsi"/>
                <w:sz w:val="18"/>
                <w:szCs w:val="18"/>
                <w:lang w:val="en-US"/>
              </w:rPr>
              <w:fldChar w:fldCharType="end"/>
            </w:r>
            <w:r w:rsidRPr="004352E9">
              <w:rPr>
                <w:sz w:val="18"/>
                <w:szCs w:val="18"/>
                <w:lang w:val="en-US"/>
              </w:rPr>
              <w:t xml:space="preserve">. </w:t>
            </w:r>
          </w:p>
        </w:tc>
      </w:tr>
      <w:tr w:rsidR="00563DC2" w:rsidRPr="00550743" w:rsidTr="004352E9">
        <w:tc>
          <w:tcPr>
            <w:tcW w:w="1491" w:type="dxa"/>
          </w:tcPr>
          <w:p w:rsidR="00563DC2" w:rsidRPr="004352E9" w:rsidRDefault="00563DC2" w:rsidP="004352E9">
            <w:pPr>
              <w:rPr>
                <w:sz w:val="18"/>
                <w:szCs w:val="18"/>
              </w:rPr>
            </w:pPr>
            <w:proofErr w:type="spellStart"/>
            <w:r w:rsidRPr="004352E9">
              <w:rPr>
                <w:sz w:val="18"/>
                <w:szCs w:val="18"/>
              </w:rPr>
              <w:t>Canakinumab</w:t>
            </w:r>
            <w:proofErr w:type="spellEnd"/>
          </w:p>
        </w:tc>
        <w:tc>
          <w:tcPr>
            <w:tcW w:w="3324" w:type="dxa"/>
            <w:gridSpan w:val="2"/>
          </w:tcPr>
          <w:p w:rsidR="00563DC2" w:rsidRPr="004352E9" w:rsidRDefault="00563DC2" w:rsidP="004352E9">
            <w:pPr>
              <w:rPr>
                <w:sz w:val="18"/>
                <w:szCs w:val="18"/>
                <w:lang w:val="en-US"/>
              </w:rPr>
            </w:pPr>
            <w:r w:rsidRPr="004352E9">
              <w:rPr>
                <w:sz w:val="18"/>
                <w:szCs w:val="18"/>
                <w:lang w:val="en-US"/>
              </w:rPr>
              <w:t>Monoclonal antibody (</w:t>
            </w:r>
            <w:proofErr w:type="spellStart"/>
            <w:r w:rsidRPr="004352E9">
              <w:rPr>
                <w:sz w:val="18"/>
                <w:szCs w:val="18"/>
                <w:lang w:val="en-US"/>
              </w:rPr>
              <w:t>MoAb</w:t>
            </w:r>
            <w:proofErr w:type="spellEnd"/>
            <w:r w:rsidRPr="004352E9">
              <w:rPr>
                <w:sz w:val="18"/>
                <w:szCs w:val="18"/>
                <w:lang w:val="en-US"/>
              </w:rPr>
              <w:t>) against IL-</w:t>
            </w:r>
            <w:r>
              <w:rPr>
                <w:sz w:val="18"/>
                <w:szCs w:val="18"/>
                <w:lang w:val="en-US"/>
              </w:rPr>
              <w:t>1</w:t>
            </w:r>
            <w:r w:rsidRPr="004352E9">
              <w:rPr>
                <w:sz w:val="18"/>
                <w:szCs w:val="18"/>
              </w:rPr>
              <w:t>β</w:t>
            </w:r>
          </w:p>
        </w:tc>
        <w:tc>
          <w:tcPr>
            <w:tcW w:w="4819" w:type="dxa"/>
            <w:gridSpan w:val="2"/>
            <w:vMerge/>
          </w:tcPr>
          <w:p w:rsidR="00563DC2" w:rsidRPr="004352E9" w:rsidRDefault="00563DC2" w:rsidP="004352E9">
            <w:pPr>
              <w:rPr>
                <w:sz w:val="18"/>
                <w:szCs w:val="18"/>
                <w:lang w:val="en-US"/>
              </w:rPr>
            </w:pPr>
          </w:p>
        </w:tc>
      </w:tr>
      <w:tr w:rsidR="00563DC2" w:rsidRPr="00D74D1C" w:rsidTr="004352E9">
        <w:tc>
          <w:tcPr>
            <w:tcW w:w="9634" w:type="dxa"/>
            <w:gridSpan w:val="5"/>
            <w:shd w:val="clear" w:color="auto" w:fill="000000" w:themeFill="text1"/>
          </w:tcPr>
          <w:p w:rsidR="00563DC2" w:rsidRPr="004352E9" w:rsidRDefault="00563DC2" w:rsidP="004352E9">
            <w:pPr>
              <w:rPr>
                <w:b/>
                <w:sz w:val="18"/>
                <w:szCs w:val="18"/>
              </w:rPr>
            </w:pPr>
            <w:r w:rsidRPr="004352E9">
              <w:rPr>
                <w:b/>
                <w:sz w:val="18"/>
                <w:szCs w:val="18"/>
              </w:rPr>
              <w:t>IL-17</w:t>
            </w:r>
          </w:p>
        </w:tc>
      </w:tr>
      <w:tr w:rsidR="00563DC2" w:rsidRPr="00615361" w:rsidTr="004352E9">
        <w:tc>
          <w:tcPr>
            <w:tcW w:w="2972" w:type="dxa"/>
            <w:gridSpan w:val="2"/>
            <w:shd w:val="clear" w:color="auto" w:fill="BFBFBF" w:themeFill="background1" w:themeFillShade="BF"/>
          </w:tcPr>
          <w:p w:rsidR="00563DC2" w:rsidRPr="004352E9" w:rsidRDefault="00563DC2" w:rsidP="004352E9">
            <w:pPr>
              <w:rPr>
                <w:b/>
                <w:sz w:val="18"/>
                <w:szCs w:val="18"/>
              </w:rPr>
            </w:pPr>
            <w:proofErr w:type="spellStart"/>
            <w:r w:rsidRPr="004352E9">
              <w:rPr>
                <w:b/>
                <w:sz w:val="18"/>
                <w:szCs w:val="18"/>
              </w:rPr>
              <w:t>Role</w:t>
            </w:r>
            <w:proofErr w:type="spellEnd"/>
            <w:r w:rsidRPr="004352E9">
              <w:rPr>
                <w:b/>
                <w:sz w:val="18"/>
                <w:szCs w:val="18"/>
              </w:rPr>
              <w:t xml:space="preserve"> in health</w:t>
            </w:r>
          </w:p>
        </w:tc>
        <w:tc>
          <w:tcPr>
            <w:tcW w:w="2693" w:type="dxa"/>
            <w:gridSpan w:val="2"/>
            <w:shd w:val="clear" w:color="auto" w:fill="BFBFBF" w:themeFill="background1" w:themeFillShade="BF"/>
          </w:tcPr>
          <w:p w:rsidR="00563DC2" w:rsidRPr="004352E9" w:rsidRDefault="00563DC2" w:rsidP="004352E9">
            <w:pPr>
              <w:rPr>
                <w:b/>
                <w:sz w:val="18"/>
                <w:szCs w:val="18"/>
              </w:rPr>
            </w:pPr>
            <w:proofErr w:type="spellStart"/>
            <w:r w:rsidRPr="004352E9">
              <w:rPr>
                <w:b/>
                <w:sz w:val="18"/>
                <w:szCs w:val="18"/>
              </w:rPr>
              <w:t>Role</w:t>
            </w:r>
            <w:proofErr w:type="spellEnd"/>
            <w:r w:rsidRPr="004352E9">
              <w:rPr>
                <w:b/>
                <w:sz w:val="18"/>
                <w:szCs w:val="18"/>
              </w:rPr>
              <w:t xml:space="preserve"> in skin </w:t>
            </w:r>
            <w:proofErr w:type="spellStart"/>
            <w:r w:rsidRPr="004352E9">
              <w:rPr>
                <w:b/>
                <w:sz w:val="18"/>
                <w:szCs w:val="18"/>
              </w:rPr>
              <w:t>disease</w:t>
            </w:r>
            <w:proofErr w:type="spellEnd"/>
          </w:p>
        </w:tc>
        <w:tc>
          <w:tcPr>
            <w:tcW w:w="3969" w:type="dxa"/>
            <w:shd w:val="clear" w:color="auto" w:fill="BFBFBF" w:themeFill="background1" w:themeFillShade="BF"/>
          </w:tcPr>
          <w:p w:rsidR="00563DC2" w:rsidRPr="004352E9" w:rsidRDefault="00563DC2" w:rsidP="004352E9">
            <w:pPr>
              <w:rPr>
                <w:b/>
                <w:sz w:val="18"/>
                <w:szCs w:val="18"/>
                <w:lang w:val="en-US"/>
              </w:rPr>
            </w:pPr>
            <w:r w:rsidRPr="004352E9">
              <w:rPr>
                <w:b/>
                <w:sz w:val="18"/>
                <w:szCs w:val="18"/>
                <w:lang w:val="en-US"/>
              </w:rPr>
              <w:t>Immunological effects</w:t>
            </w:r>
          </w:p>
        </w:tc>
      </w:tr>
      <w:tr w:rsidR="00563DC2" w:rsidRPr="00550743" w:rsidTr="004352E9">
        <w:tc>
          <w:tcPr>
            <w:tcW w:w="2972" w:type="dxa"/>
            <w:gridSpan w:val="2"/>
            <w:shd w:val="clear" w:color="auto" w:fill="auto"/>
          </w:tcPr>
          <w:p w:rsidR="00563DC2" w:rsidRPr="004352E9" w:rsidRDefault="00563DC2" w:rsidP="004352E9">
            <w:pPr>
              <w:rPr>
                <w:sz w:val="18"/>
                <w:szCs w:val="18"/>
                <w:lang w:val="en-US"/>
              </w:rPr>
            </w:pPr>
            <w:r w:rsidRPr="004352E9">
              <w:rPr>
                <w:sz w:val="18"/>
                <w:szCs w:val="18"/>
                <w:lang w:val="en-US"/>
              </w:rPr>
              <w:t xml:space="preserve">- Epithelial barrier </w:t>
            </w:r>
            <w:proofErr w:type="spellStart"/>
            <w:r w:rsidRPr="004352E9">
              <w:rPr>
                <w:sz w:val="18"/>
                <w:szCs w:val="18"/>
                <w:lang w:val="en-US"/>
              </w:rPr>
              <w:t>defence</w:t>
            </w:r>
            <w:proofErr w:type="spellEnd"/>
            <w:r w:rsidRPr="004352E9">
              <w:rPr>
                <w:sz w:val="18"/>
                <w:szCs w:val="18"/>
                <w:lang w:val="en-US"/>
              </w:rPr>
              <w:t xml:space="preserve"> </w:t>
            </w:r>
            <w:r>
              <w:rPr>
                <w:sz w:val="18"/>
                <w:szCs w:val="18"/>
                <w:lang w:val="en-US"/>
              </w:rPr>
              <w:t xml:space="preserve">against </w:t>
            </w:r>
            <w:r w:rsidRPr="004352E9">
              <w:rPr>
                <w:sz w:val="18"/>
                <w:szCs w:val="18"/>
                <w:lang w:val="en-US"/>
              </w:rPr>
              <w:t>fungal infections, candida and bacteria</w:t>
            </w:r>
          </w:p>
        </w:tc>
        <w:tc>
          <w:tcPr>
            <w:tcW w:w="2693" w:type="dxa"/>
            <w:gridSpan w:val="2"/>
            <w:shd w:val="clear" w:color="auto" w:fill="auto"/>
          </w:tcPr>
          <w:p w:rsidR="00563DC2" w:rsidRPr="004352E9" w:rsidRDefault="00563DC2" w:rsidP="004352E9">
            <w:pPr>
              <w:rPr>
                <w:sz w:val="18"/>
                <w:szCs w:val="18"/>
                <w:lang w:val="en-US"/>
              </w:rPr>
            </w:pPr>
            <w:r w:rsidRPr="004352E9">
              <w:rPr>
                <w:sz w:val="18"/>
                <w:szCs w:val="18"/>
                <w:lang w:val="en-US"/>
              </w:rPr>
              <w:t xml:space="preserve">- Key factor in psoriasis and psoriasis arthritis </w:t>
            </w:r>
          </w:p>
          <w:p w:rsidR="00563DC2" w:rsidRPr="004352E9" w:rsidRDefault="00563DC2" w:rsidP="004352E9">
            <w:pPr>
              <w:rPr>
                <w:sz w:val="18"/>
                <w:szCs w:val="18"/>
                <w:lang w:val="en-US"/>
              </w:rPr>
            </w:pPr>
            <w:r w:rsidRPr="004352E9">
              <w:rPr>
                <w:sz w:val="18"/>
                <w:szCs w:val="18"/>
                <w:lang w:val="en-US"/>
              </w:rPr>
              <w:t>- Plausible role in neutrophilic disorders</w:t>
            </w:r>
          </w:p>
        </w:tc>
        <w:tc>
          <w:tcPr>
            <w:tcW w:w="3969" w:type="dxa"/>
            <w:shd w:val="clear" w:color="auto" w:fill="auto"/>
          </w:tcPr>
          <w:p w:rsidR="00550743" w:rsidRDefault="00563DC2" w:rsidP="00550743">
            <w:pPr>
              <w:rPr>
                <w:sz w:val="18"/>
                <w:szCs w:val="18"/>
                <w:lang w:val="en-US"/>
              </w:rPr>
            </w:pPr>
            <w:r w:rsidRPr="004352E9">
              <w:rPr>
                <w:sz w:val="18"/>
                <w:szCs w:val="18"/>
                <w:lang w:val="en-US"/>
              </w:rPr>
              <w:t xml:space="preserve">- </w:t>
            </w:r>
            <w:r>
              <w:rPr>
                <w:sz w:val="18"/>
                <w:szCs w:val="18"/>
                <w:lang w:val="en-US"/>
              </w:rPr>
              <w:t xml:space="preserve">Acts on non-hematopoietic cells to promote keratinocyte proliferation </w:t>
            </w:r>
          </w:p>
          <w:p w:rsidR="00550743" w:rsidRDefault="00550743" w:rsidP="00550743">
            <w:pPr>
              <w:rPr>
                <w:sz w:val="18"/>
                <w:szCs w:val="18"/>
                <w:lang w:val="en-US"/>
              </w:rPr>
            </w:pPr>
            <w:r>
              <w:rPr>
                <w:sz w:val="18"/>
                <w:szCs w:val="18"/>
                <w:lang w:val="en-US"/>
              </w:rPr>
              <w:t xml:space="preserve">- initiates a feed-forward amplification loop promoting additional IL-17 signaling </w:t>
            </w:r>
            <w:r>
              <w:rPr>
                <w:sz w:val="18"/>
                <w:szCs w:val="18"/>
                <w:lang w:val="en-US"/>
              </w:rPr>
              <w:fldChar w:fldCharType="begin"/>
            </w:r>
            <w:r>
              <w:rPr>
                <w:sz w:val="18"/>
                <w:szCs w:val="18"/>
                <w:lang w:val="en-US"/>
              </w:rPr>
              <w:instrText xml:space="preserve"> ADDIN ZOTERO_ITEM CSL_CITATION {"citationID":"0bCxGGue","properties":{"formattedCitation":"(3)","plainCitation":"(3)","noteIndex":0},"citationItems":[{"id":31954,"uris":["http://zotero.org/users/2689656/items/26NPWL9Y"],"uri":["http://zotero.org/users/2689656/items/26NPWL9Y"],"itemData":{"id":31954,"type":"article-journal","title":"IL-17 integrates multiple self-reinforcing, feed-forward mechanisms through the RNA binding protein Arid5a","container-title":"Science Signaling","volume":"11","issue":"551","source":"PubMed","abstract":"Interleukin-17A (IL-17A) not only stimulates immunity to fungal pathogens but also contributes to autoimmune pathology. IL-17 is only a modest activator of transcription in experimental tissue culture settings. However, IL-17 controls posttranscriptional events that enhance the expression of target mRNAs. Here, we showed that the RNA binding protein (RBP) Arid5a (AT-rich interactive domain-containing protein 5a) integrated multiple IL-17-driven signaling pathways through posttranscriptional control of mRNA. IL-17 induced expression of Arid5a, which was recruited to the adaptor TRAF2. Arid5a stabilized IL-17-induced cytokine transcripts by binding to their 3' untranslated regions and also counteracted mRNA degradation mediated by the endoribonuclease MCPIP1 (Regnase-1). Arid5a inducibly associated with the eukaryotic translation initiation complex and facilitated the translation of the transcription factors (TFs) IκBζ (Nfkbiz ) and C/EBPβ (Cebpb). These TFs in turn transactivated IL-17-dependent promoters. Together, these data indicated that Arid5a orchestrates a feed-forward amplification loop, which promoted IL-17 signaling by controlling mRNA stability and translation.","DOI":"10.1126/scisignal.aat4617","ISSN":"1937-9145","note":"PMID: 30301788\nPMCID: PMC6188668","journalAbbreviation":"Sci Signal","language":"eng","author":[{"family":"Amatya","given":"Nilesh"},{"family":"Childs","given":"Erin E."},{"family":"Cruz","given":"J. Agustin"},{"family":"Aggor","given":"Felix E. Y."},{"family":"Garg","given":"Abhishek V."},{"family":"Berman","given":"Andrea J."},{"family":"Gudjonsson","given":"Johann E."},{"family":"Atasoy","given":"Ulus"},{"family":"Gaffen","given":"Sarah L."}],"issued":{"date-parts":[["2018",10,9]]}}}],"schema":"https://github.com/citation-style-language/schema/raw/master/csl-citation.json"} </w:instrText>
            </w:r>
            <w:r>
              <w:rPr>
                <w:sz w:val="18"/>
                <w:szCs w:val="18"/>
                <w:lang w:val="en-US"/>
              </w:rPr>
              <w:fldChar w:fldCharType="separate"/>
            </w:r>
            <w:r w:rsidRPr="00550743">
              <w:rPr>
                <w:rFonts w:ascii="Calibri" w:hAnsi="Calibri" w:cs="Calibri"/>
                <w:sz w:val="18"/>
                <w:lang w:val="en-US"/>
              </w:rPr>
              <w:t>(3)</w:t>
            </w:r>
            <w:r>
              <w:rPr>
                <w:sz w:val="18"/>
                <w:szCs w:val="18"/>
                <w:lang w:val="en-US"/>
              </w:rPr>
              <w:fldChar w:fldCharType="end"/>
            </w:r>
          </w:p>
          <w:p w:rsidR="00563DC2" w:rsidRPr="004352E9" w:rsidRDefault="00563DC2" w:rsidP="00550743">
            <w:pPr>
              <w:rPr>
                <w:sz w:val="18"/>
                <w:szCs w:val="18"/>
                <w:lang w:val="en-US"/>
              </w:rPr>
            </w:pPr>
            <w:r w:rsidRPr="004352E9">
              <w:rPr>
                <w:sz w:val="18"/>
                <w:szCs w:val="18"/>
                <w:lang w:val="en-US"/>
              </w:rPr>
              <w:t>- Synerg</w:t>
            </w:r>
            <w:r>
              <w:rPr>
                <w:sz w:val="18"/>
                <w:szCs w:val="18"/>
                <w:lang w:val="en-US"/>
              </w:rPr>
              <w:t>i</w:t>
            </w:r>
            <w:r w:rsidRPr="004352E9">
              <w:rPr>
                <w:sz w:val="18"/>
                <w:szCs w:val="18"/>
                <w:lang w:val="en-US"/>
              </w:rPr>
              <w:t>stic effect on other cytokines (e.g. TNF</w:t>
            </w:r>
            <w:r>
              <w:rPr>
                <w:sz w:val="18"/>
                <w:szCs w:val="18"/>
                <w:lang w:val="en-US"/>
              </w:rPr>
              <w:t>-α</w:t>
            </w:r>
            <w:r w:rsidRPr="004352E9">
              <w:rPr>
                <w:sz w:val="18"/>
                <w:szCs w:val="18"/>
                <w:lang w:val="en-US"/>
              </w:rPr>
              <w:t xml:space="preserve">) </w:t>
            </w:r>
            <w:r>
              <w:rPr>
                <w:sz w:val="18"/>
                <w:szCs w:val="18"/>
                <w:lang w:val="en-US"/>
              </w:rPr>
              <w:fldChar w:fldCharType="begin"/>
            </w:r>
            <w:r w:rsidR="00550743">
              <w:rPr>
                <w:sz w:val="18"/>
                <w:szCs w:val="18"/>
                <w:lang w:val="en-US"/>
              </w:rPr>
              <w:instrText xml:space="preserve"> ADDIN ZOTERO_ITEM CSL_CITATION {"citationID":"a2gpd7gp5gq","properties":{"formattedCitation":"(4)","plainCitation":"(4)","noteIndex":0},"citationItems":[{"id":31915,"uris":["http://zotero.org/users/2689656/items/CLZLCQW5"],"uri":["http://zotero.org/users/2689656/items/CLZLCQW5"],"itemData":{"id":31915,"type":"article-journal","title":"Interleukin 17 is a chief orchestrator of immunity","container-title":"Nature Immunology","page":"612-621","volume":"18","issue":"6","source":"PubMed","abstract":"Increased understanding of the biology of interleukin 17 (IL-17) has revealed that this cytokine is a central player in immunity at the sites most exposed to microorganisms. Although it has been strongly associated with immunopathology, IL-17 also has an important role in host defense. The regulation of IL-17 secretion seems to be shared among various cell types, each of which can concomitantly secrete additional products. IL-17 has only modest activity on its own; its impact in immunity arises from its synergistic action with other factors, its self-sustaining feedback loop and, in some cases, its role as a counterpart of interferon-γ (IFN-γ). Together these attributes provide a robust response against microorganisms, but they can equally contribute to immune pathology. Here we focus on a discussion of the role of IL-17 during infection.","DOI":"10.1038/ni.3742","ISSN":"1529-2916","note":"PMID: 28518156","journalAbbreviation":"Nat. Immunol.","language":"eng","author":[{"family":"Veldhoen","given":"Marc"}],"issued":{"date-parts":[["2017"]],"season":"18"}}}],"schema":"https://github.com/citation-style-language/schema/raw/master/csl-citation.json"} </w:instrText>
            </w:r>
            <w:r>
              <w:rPr>
                <w:sz w:val="18"/>
                <w:szCs w:val="18"/>
                <w:lang w:val="en-US"/>
              </w:rPr>
              <w:fldChar w:fldCharType="separate"/>
            </w:r>
            <w:r w:rsidR="00550743" w:rsidRPr="00550743">
              <w:rPr>
                <w:rFonts w:ascii="Calibri" w:hAnsi="Calibri" w:cs="Calibri"/>
                <w:sz w:val="18"/>
                <w:lang w:val="en-US"/>
              </w:rPr>
              <w:t>(4)</w:t>
            </w:r>
            <w:r>
              <w:rPr>
                <w:sz w:val="18"/>
                <w:szCs w:val="18"/>
                <w:lang w:val="en-US"/>
              </w:rPr>
              <w:fldChar w:fldCharType="end"/>
            </w:r>
          </w:p>
        </w:tc>
      </w:tr>
      <w:tr w:rsidR="00563DC2" w:rsidRPr="00615361" w:rsidTr="004352E9">
        <w:tc>
          <w:tcPr>
            <w:tcW w:w="1491" w:type="dxa"/>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Biologic</w:t>
            </w:r>
          </w:p>
        </w:tc>
        <w:tc>
          <w:tcPr>
            <w:tcW w:w="3324" w:type="dxa"/>
            <w:gridSpan w:val="2"/>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Type</w:t>
            </w:r>
          </w:p>
        </w:tc>
        <w:tc>
          <w:tcPr>
            <w:tcW w:w="4819" w:type="dxa"/>
            <w:gridSpan w:val="2"/>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Differences between biologics</w:t>
            </w:r>
          </w:p>
        </w:tc>
      </w:tr>
      <w:tr w:rsidR="00563DC2" w:rsidRPr="00550743" w:rsidTr="004352E9">
        <w:tc>
          <w:tcPr>
            <w:tcW w:w="1491" w:type="dxa"/>
          </w:tcPr>
          <w:p w:rsidR="00563DC2" w:rsidRPr="004352E9" w:rsidRDefault="00563DC2" w:rsidP="004352E9">
            <w:pPr>
              <w:rPr>
                <w:sz w:val="18"/>
                <w:szCs w:val="18"/>
                <w:lang w:val="en-US"/>
              </w:rPr>
            </w:pPr>
            <w:proofErr w:type="spellStart"/>
            <w:r w:rsidRPr="004352E9">
              <w:rPr>
                <w:sz w:val="18"/>
                <w:szCs w:val="18"/>
                <w:lang w:val="en-US"/>
              </w:rPr>
              <w:t>Secukinumab</w:t>
            </w:r>
            <w:proofErr w:type="spellEnd"/>
          </w:p>
        </w:tc>
        <w:tc>
          <w:tcPr>
            <w:tcW w:w="3324" w:type="dxa"/>
            <w:gridSpan w:val="2"/>
            <w:vMerge w:val="restart"/>
          </w:tcPr>
          <w:p w:rsidR="00563DC2" w:rsidRPr="004352E9" w:rsidRDefault="00563DC2" w:rsidP="004352E9">
            <w:pPr>
              <w:rPr>
                <w:sz w:val="18"/>
                <w:szCs w:val="18"/>
                <w:lang w:val="en-US"/>
              </w:rPr>
            </w:pPr>
            <w:proofErr w:type="spellStart"/>
            <w:r w:rsidRPr="004352E9">
              <w:rPr>
                <w:sz w:val="18"/>
                <w:szCs w:val="18"/>
                <w:lang w:val="en-US"/>
              </w:rPr>
              <w:t>MoAb</w:t>
            </w:r>
            <w:proofErr w:type="spellEnd"/>
            <w:r w:rsidRPr="004352E9" w:rsidDel="002F0572">
              <w:rPr>
                <w:sz w:val="18"/>
                <w:szCs w:val="18"/>
                <w:lang w:val="en-US"/>
              </w:rPr>
              <w:t xml:space="preserve"> </w:t>
            </w:r>
            <w:r w:rsidRPr="004352E9">
              <w:rPr>
                <w:sz w:val="18"/>
                <w:szCs w:val="18"/>
                <w:lang w:val="en-US"/>
              </w:rPr>
              <w:t>against IL-17A</w:t>
            </w:r>
          </w:p>
        </w:tc>
        <w:tc>
          <w:tcPr>
            <w:tcW w:w="4819" w:type="dxa"/>
            <w:gridSpan w:val="2"/>
            <w:vMerge w:val="restart"/>
          </w:tcPr>
          <w:p w:rsidR="00563DC2" w:rsidRPr="004352E9" w:rsidRDefault="00563DC2" w:rsidP="004352E9">
            <w:pPr>
              <w:rPr>
                <w:sz w:val="18"/>
                <w:szCs w:val="18"/>
                <w:lang w:val="en-US"/>
              </w:rPr>
            </w:pPr>
            <w:r w:rsidRPr="004352E9">
              <w:rPr>
                <w:sz w:val="18"/>
                <w:szCs w:val="18"/>
                <w:lang w:val="en-US"/>
              </w:rPr>
              <w:t xml:space="preserve">- </w:t>
            </w:r>
            <w:proofErr w:type="spellStart"/>
            <w:r w:rsidRPr="004352E9">
              <w:rPr>
                <w:sz w:val="18"/>
                <w:szCs w:val="18"/>
                <w:lang w:val="en-US"/>
              </w:rPr>
              <w:t>Secukinumab</w:t>
            </w:r>
            <w:proofErr w:type="spellEnd"/>
            <w:r w:rsidRPr="004352E9">
              <w:rPr>
                <w:sz w:val="18"/>
                <w:szCs w:val="18"/>
                <w:lang w:val="en-US"/>
              </w:rPr>
              <w:t xml:space="preserve"> and </w:t>
            </w:r>
            <w:proofErr w:type="spellStart"/>
            <w:r w:rsidRPr="004352E9">
              <w:rPr>
                <w:sz w:val="18"/>
                <w:szCs w:val="18"/>
                <w:lang w:val="en-US"/>
              </w:rPr>
              <w:t>ixekizumab</w:t>
            </w:r>
            <w:proofErr w:type="spellEnd"/>
            <w:r w:rsidRPr="004352E9">
              <w:rPr>
                <w:sz w:val="18"/>
                <w:szCs w:val="18"/>
                <w:lang w:val="en-US"/>
              </w:rPr>
              <w:t xml:space="preserve"> inhibit both IL-17A. </w:t>
            </w:r>
          </w:p>
          <w:p w:rsidR="00563DC2" w:rsidRPr="004352E9" w:rsidRDefault="00563DC2" w:rsidP="004352E9">
            <w:pPr>
              <w:rPr>
                <w:sz w:val="18"/>
                <w:szCs w:val="18"/>
                <w:lang w:val="en-US"/>
              </w:rPr>
            </w:pPr>
            <w:r w:rsidRPr="004352E9">
              <w:rPr>
                <w:sz w:val="18"/>
                <w:szCs w:val="18"/>
                <w:lang w:val="en-US"/>
              </w:rPr>
              <w:t xml:space="preserve">- </w:t>
            </w:r>
            <w:proofErr w:type="spellStart"/>
            <w:r w:rsidRPr="004352E9">
              <w:rPr>
                <w:sz w:val="18"/>
                <w:szCs w:val="18"/>
                <w:lang w:val="en-US"/>
              </w:rPr>
              <w:t>Brodalumab</w:t>
            </w:r>
            <w:proofErr w:type="spellEnd"/>
            <w:r w:rsidRPr="004352E9">
              <w:rPr>
                <w:sz w:val="18"/>
                <w:szCs w:val="18"/>
                <w:lang w:val="en-US"/>
              </w:rPr>
              <w:t xml:space="preserve"> inhibits IL-17A, IL-17F, IL-17C and IL-17E</w:t>
            </w:r>
            <w:r>
              <w:rPr>
                <w:sz w:val="18"/>
                <w:szCs w:val="18"/>
                <w:lang w:val="en-US"/>
              </w:rPr>
              <w:t xml:space="preserve"> </w:t>
            </w:r>
            <w:r w:rsidRPr="004867FE">
              <w:rPr>
                <w:sz w:val="18"/>
                <w:szCs w:val="18"/>
                <w:lang w:val="en-US"/>
              </w:rPr>
              <w:t xml:space="preserve"> </w:t>
            </w:r>
          </w:p>
        </w:tc>
      </w:tr>
      <w:tr w:rsidR="00563DC2" w:rsidRPr="001F048D" w:rsidTr="004352E9">
        <w:trPr>
          <w:trHeight w:val="256"/>
        </w:trPr>
        <w:tc>
          <w:tcPr>
            <w:tcW w:w="1491" w:type="dxa"/>
          </w:tcPr>
          <w:p w:rsidR="00563DC2" w:rsidRPr="004352E9" w:rsidRDefault="00563DC2" w:rsidP="004352E9">
            <w:pPr>
              <w:rPr>
                <w:sz w:val="18"/>
                <w:szCs w:val="18"/>
                <w:lang w:val="en-US"/>
              </w:rPr>
            </w:pPr>
            <w:proofErr w:type="spellStart"/>
            <w:r w:rsidRPr="004352E9">
              <w:rPr>
                <w:sz w:val="18"/>
                <w:szCs w:val="18"/>
                <w:lang w:val="en-US"/>
              </w:rPr>
              <w:t>Ixekizumab</w:t>
            </w:r>
            <w:proofErr w:type="spellEnd"/>
          </w:p>
        </w:tc>
        <w:tc>
          <w:tcPr>
            <w:tcW w:w="3324" w:type="dxa"/>
            <w:gridSpan w:val="2"/>
            <w:vMerge/>
          </w:tcPr>
          <w:p w:rsidR="00563DC2" w:rsidRPr="004352E9" w:rsidRDefault="00563DC2" w:rsidP="004352E9">
            <w:pPr>
              <w:rPr>
                <w:sz w:val="18"/>
                <w:szCs w:val="18"/>
                <w:lang w:val="en-US"/>
              </w:rPr>
            </w:pPr>
          </w:p>
        </w:tc>
        <w:tc>
          <w:tcPr>
            <w:tcW w:w="4819" w:type="dxa"/>
            <w:gridSpan w:val="2"/>
            <w:vMerge/>
          </w:tcPr>
          <w:p w:rsidR="00563DC2" w:rsidRPr="004352E9" w:rsidRDefault="00563DC2" w:rsidP="004352E9">
            <w:pPr>
              <w:rPr>
                <w:sz w:val="18"/>
                <w:szCs w:val="18"/>
                <w:lang w:val="en-US"/>
              </w:rPr>
            </w:pPr>
          </w:p>
        </w:tc>
      </w:tr>
      <w:tr w:rsidR="00563DC2" w:rsidRPr="00550743" w:rsidTr="004352E9">
        <w:tc>
          <w:tcPr>
            <w:tcW w:w="1491" w:type="dxa"/>
          </w:tcPr>
          <w:p w:rsidR="00563DC2" w:rsidRPr="004352E9" w:rsidRDefault="00563DC2" w:rsidP="004352E9">
            <w:pPr>
              <w:rPr>
                <w:sz w:val="18"/>
                <w:szCs w:val="18"/>
                <w:lang w:val="en-US"/>
              </w:rPr>
            </w:pPr>
            <w:proofErr w:type="spellStart"/>
            <w:r w:rsidRPr="004352E9">
              <w:rPr>
                <w:sz w:val="18"/>
                <w:szCs w:val="18"/>
                <w:lang w:val="en-US"/>
              </w:rPr>
              <w:t>Brodalumab</w:t>
            </w:r>
            <w:proofErr w:type="spellEnd"/>
          </w:p>
        </w:tc>
        <w:tc>
          <w:tcPr>
            <w:tcW w:w="3324" w:type="dxa"/>
            <w:gridSpan w:val="2"/>
          </w:tcPr>
          <w:p w:rsidR="00563DC2" w:rsidRPr="004352E9" w:rsidRDefault="00563DC2" w:rsidP="004352E9">
            <w:pPr>
              <w:rPr>
                <w:sz w:val="18"/>
                <w:szCs w:val="18"/>
                <w:lang w:val="en-US"/>
              </w:rPr>
            </w:pPr>
            <w:proofErr w:type="spellStart"/>
            <w:r w:rsidRPr="004352E9">
              <w:rPr>
                <w:sz w:val="18"/>
                <w:szCs w:val="18"/>
                <w:lang w:val="en-US"/>
              </w:rPr>
              <w:t>MoAb</w:t>
            </w:r>
            <w:proofErr w:type="spellEnd"/>
            <w:r w:rsidRPr="004352E9" w:rsidDel="002F0572">
              <w:rPr>
                <w:sz w:val="18"/>
                <w:szCs w:val="18"/>
                <w:lang w:val="en-US"/>
              </w:rPr>
              <w:t xml:space="preserve"> </w:t>
            </w:r>
            <w:r w:rsidRPr="004352E9">
              <w:rPr>
                <w:sz w:val="18"/>
                <w:szCs w:val="18"/>
                <w:lang w:val="en-US"/>
              </w:rPr>
              <w:t>against the IL-17 receptor A subunit</w:t>
            </w:r>
          </w:p>
        </w:tc>
        <w:tc>
          <w:tcPr>
            <w:tcW w:w="4819" w:type="dxa"/>
            <w:gridSpan w:val="2"/>
            <w:vMerge/>
          </w:tcPr>
          <w:p w:rsidR="00563DC2" w:rsidRPr="004352E9" w:rsidRDefault="00563DC2" w:rsidP="004352E9">
            <w:pPr>
              <w:rPr>
                <w:sz w:val="18"/>
                <w:szCs w:val="18"/>
                <w:lang w:val="en-US"/>
              </w:rPr>
            </w:pPr>
          </w:p>
        </w:tc>
      </w:tr>
      <w:tr w:rsidR="00563DC2" w:rsidRPr="00F2535F" w:rsidTr="004352E9">
        <w:tc>
          <w:tcPr>
            <w:tcW w:w="9634" w:type="dxa"/>
            <w:gridSpan w:val="5"/>
            <w:shd w:val="clear" w:color="auto" w:fill="000000" w:themeFill="text1"/>
          </w:tcPr>
          <w:p w:rsidR="00563DC2" w:rsidRPr="004352E9" w:rsidRDefault="00563DC2" w:rsidP="004352E9">
            <w:pPr>
              <w:rPr>
                <w:b/>
                <w:sz w:val="18"/>
                <w:szCs w:val="18"/>
                <w:lang w:val="en-US"/>
              </w:rPr>
            </w:pPr>
            <w:r w:rsidRPr="004352E9">
              <w:rPr>
                <w:b/>
                <w:sz w:val="18"/>
                <w:szCs w:val="18"/>
                <w:lang w:val="en-US"/>
              </w:rPr>
              <w:t>IL-12</w:t>
            </w:r>
          </w:p>
        </w:tc>
      </w:tr>
      <w:tr w:rsidR="00563DC2" w:rsidRPr="00615361" w:rsidTr="004352E9">
        <w:tc>
          <w:tcPr>
            <w:tcW w:w="2972" w:type="dxa"/>
            <w:gridSpan w:val="2"/>
            <w:shd w:val="clear" w:color="auto" w:fill="BFBFBF" w:themeFill="background1" w:themeFillShade="BF"/>
          </w:tcPr>
          <w:p w:rsidR="00563DC2" w:rsidRPr="004352E9" w:rsidRDefault="00563DC2" w:rsidP="004352E9">
            <w:pPr>
              <w:rPr>
                <w:b/>
                <w:sz w:val="18"/>
                <w:szCs w:val="18"/>
                <w:lang w:val="en-US"/>
              </w:rPr>
            </w:pPr>
            <w:r w:rsidRPr="004352E9">
              <w:rPr>
                <w:b/>
                <w:sz w:val="18"/>
                <w:szCs w:val="18"/>
                <w:lang w:val="en-US"/>
              </w:rPr>
              <w:t xml:space="preserve">Role in health </w:t>
            </w:r>
          </w:p>
        </w:tc>
        <w:tc>
          <w:tcPr>
            <w:tcW w:w="2693" w:type="dxa"/>
            <w:gridSpan w:val="2"/>
            <w:shd w:val="clear" w:color="auto" w:fill="BFBFBF" w:themeFill="background1" w:themeFillShade="BF"/>
          </w:tcPr>
          <w:p w:rsidR="00563DC2" w:rsidRPr="004352E9" w:rsidRDefault="00563DC2" w:rsidP="004352E9">
            <w:pPr>
              <w:rPr>
                <w:b/>
                <w:sz w:val="18"/>
                <w:szCs w:val="18"/>
                <w:lang w:val="en-US"/>
              </w:rPr>
            </w:pPr>
            <w:r w:rsidRPr="004352E9">
              <w:rPr>
                <w:b/>
                <w:sz w:val="18"/>
                <w:szCs w:val="18"/>
                <w:lang w:val="en-US"/>
              </w:rPr>
              <w:t>Role in skin disease</w:t>
            </w:r>
          </w:p>
        </w:tc>
        <w:tc>
          <w:tcPr>
            <w:tcW w:w="3969" w:type="dxa"/>
            <w:shd w:val="clear" w:color="auto" w:fill="BFBFBF" w:themeFill="background1" w:themeFillShade="BF"/>
          </w:tcPr>
          <w:p w:rsidR="00563DC2" w:rsidRPr="004352E9" w:rsidRDefault="00563DC2" w:rsidP="004352E9">
            <w:pPr>
              <w:rPr>
                <w:b/>
                <w:sz w:val="18"/>
                <w:szCs w:val="18"/>
                <w:lang w:val="en-US"/>
              </w:rPr>
            </w:pPr>
            <w:r w:rsidRPr="004352E9">
              <w:rPr>
                <w:b/>
                <w:sz w:val="18"/>
                <w:szCs w:val="18"/>
                <w:lang w:val="en-US"/>
              </w:rPr>
              <w:t>Immunological effects</w:t>
            </w:r>
          </w:p>
        </w:tc>
      </w:tr>
      <w:tr w:rsidR="00563DC2" w:rsidRPr="00550743" w:rsidTr="004352E9">
        <w:tc>
          <w:tcPr>
            <w:tcW w:w="2972" w:type="dxa"/>
            <w:gridSpan w:val="2"/>
            <w:shd w:val="clear" w:color="auto" w:fill="auto"/>
          </w:tcPr>
          <w:p w:rsidR="00563DC2" w:rsidRPr="004352E9" w:rsidRDefault="00563DC2" w:rsidP="004352E9">
            <w:pPr>
              <w:rPr>
                <w:sz w:val="18"/>
                <w:szCs w:val="18"/>
                <w:lang w:val="en-US"/>
              </w:rPr>
            </w:pPr>
            <w:r w:rsidRPr="004352E9">
              <w:rPr>
                <w:sz w:val="18"/>
                <w:szCs w:val="18"/>
                <w:lang w:val="en-US"/>
              </w:rPr>
              <w:t>- Stimulating Th1</w:t>
            </w:r>
            <w:r w:rsidRPr="00E62D0B">
              <w:rPr>
                <w:sz w:val="18"/>
                <w:szCs w:val="18"/>
                <w:lang w:val="en-US"/>
              </w:rPr>
              <w:t>-</w:t>
            </w:r>
            <w:r w:rsidRPr="004352E9">
              <w:rPr>
                <w:sz w:val="18"/>
                <w:szCs w:val="18"/>
                <w:lang w:val="en-US"/>
              </w:rPr>
              <w:t>mediated immunity (antiviral</w:t>
            </w:r>
            <w:r w:rsidRPr="00E62D0B">
              <w:rPr>
                <w:sz w:val="18"/>
                <w:szCs w:val="18"/>
                <w:lang w:val="en-US"/>
              </w:rPr>
              <w:t xml:space="preserve"> and</w:t>
            </w:r>
            <w:r w:rsidRPr="004352E9">
              <w:rPr>
                <w:sz w:val="18"/>
                <w:szCs w:val="18"/>
                <w:lang w:val="en-US"/>
              </w:rPr>
              <w:t xml:space="preserve"> antitumoral protection)</w:t>
            </w:r>
          </w:p>
        </w:tc>
        <w:tc>
          <w:tcPr>
            <w:tcW w:w="2693" w:type="dxa"/>
            <w:gridSpan w:val="2"/>
            <w:shd w:val="clear" w:color="auto" w:fill="auto"/>
          </w:tcPr>
          <w:p w:rsidR="00563DC2" w:rsidRPr="004352E9" w:rsidRDefault="00563DC2" w:rsidP="004352E9">
            <w:pPr>
              <w:rPr>
                <w:sz w:val="18"/>
                <w:szCs w:val="18"/>
                <w:lang w:val="en-US"/>
              </w:rPr>
            </w:pPr>
            <w:r w:rsidRPr="004352E9">
              <w:rPr>
                <w:sz w:val="18"/>
                <w:szCs w:val="18"/>
                <w:lang w:val="en-US"/>
              </w:rPr>
              <w:t>- Increased levels are found in psoriasis</w:t>
            </w:r>
            <w:r w:rsidRPr="00E62D0B">
              <w:rPr>
                <w:sz w:val="18"/>
                <w:szCs w:val="18"/>
                <w:lang w:val="en-US"/>
              </w:rPr>
              <w:t xml:space="preserve"> skin </w:t>
            </w:r>
            <w:r w:rsidRPr="004352E9">
              <w:rPr>
                <w:sz w:val="18"/>
                <w:szCs w:val="18"/>
                <w:lang w:val="en-US"/>
              </w:rPr>
              <w:fldChar w:fldCharType="begin"/>
            </w:r>
            <w:r w:rsidR="00550743">
              <w:rPr>
                <w:sz w:val="18"/>
                <w:szCs w:val="18"/>
                <w:lang w:val="en-US"/>
              </w:rPr>
              <w:instrText xml:space="preserve"> ADDIN ZOTERO_ITEM CSL_CITATION {"citationID":"nwTvOhzh","properties":{"formattedCitation":"(5)","plainCitation":"(5)","noteIndex":0},"citationItems":[{"id":31920,"uris":["http://zotero.org/users/2689656/items/7R4TVDHM"],"uri":["http://zotero.org/users/2689656/items/7R4TVDHM"],"itemData":{"id":31920,"type":"article-journal","title":"Expression of interleukin-12 is increased in psoriatic skin","container-title":"The Journal of Investigative Dermatology","page":"1053-1057","volume":"111","issue":"6","source":"PubMed","abstract":"Although the precise underlying pathomechanisms of psoriasis have not been fully elucidated, previous reports suggest that T helper 1-type cytokines are critically involved in the pathogenesis of this disease. Interleukin-12 (IL-12), a heterodimeric cytokine, has been suggested to play a major role in the development of T helper 1 cell responses. In this study, the presence of IL-12 mRNA and protein was investigated in normal human skin as well as nonlesional and lesional psoriatic skin. Messenger RNA levels were determined in biopsy specimens by a standard and a nested reverse transcriptase-polymerase chain reaction method. Additionally, IL-12 protein expression was analyzed in situ by immunohistochemistry using an antibody recognizing IL-12 p70. Whereas specific transcripts for IL-12 p35 were reproducibly detected without any significant differences in all samples, enhanced IL-12 p40 mRNA signals were only found in lesional psoriatic skin as compared with normal and nonlesional psoriatic skin. Furthermore, immunoreactivity for IL-12 p70 was markedly increased in the psoriatic skin lesions and was predominantly expressed on mononuclear cells in the dermis. In conclusion, our data suggest a critical role for IL-12 in promoting and maintaining T cell activation and inducing T helper 1-type cytokines such as interferon-gamma in psoriasis. We speculate that IL-12 might be a key cytokine in the pathogenesis of psoriasis.","DOI":"10.1046/j.1523-1747.1998.00446.x","ISSN":"0022-202X","note":"PMID: 9856816","journalAbbreviation":"J. Invest. Dermatol.","language":"eng","author":[{"family":"Yawalkar","given":"N."},{"family":"Karlen","given":"S."},{"family":"Hunger","given":"R."},{"family":"Brand","given":"C. U."},{"family":"Braathen","given":"L. R."}],"issued":{"date-parts":[["1998",12]]}}}],"schema":"https://github.com/citation-style-language/schema/raw/master/csl-citation.json"} </w:instrText>
            </w:r>
            <w:r w:rsidRPr="004352E9">
              <w:rPr>
                <w:sz w:val="18"/>
                <w:szCs w:val="18"/>
                <w:lang w:val="en-US"/>
              </w:rPr>
              <w:fldChar w:fldCharType="separate"/>
            </w:r>
            <w:r w:rsidR="00550743" w:rsidRPr="00550743">
              <w:rPr>
                <w:rFonts w:ascii="Calibri" w:hAnsi="Calibri" w:cs="Calibri"/>
                <w:sz w:val="18"/>
                <w:lang w:val="en-US"/>
              </w:rPr>
              <w:t>(5)</w:t>
            </w:r>
            <w:r w:rsidRPr="004352E9">
              <w:rPr>
                <w:sz w:val="18"/>
                <w:szCs w:val="18"/>
                <w:lang w:val="en-US"/>
              </w:rPr>
              <w:fldChar w:fldCharType="end"/>
            </w:r>
            <w:r w:rsidRPr="00E62D0B">
              <w:rPr>
                <w:sz w:val="18"/>
                <w:szCs w:val="18"/>
                <w:lang w:val="en-US"/>
              </w:rPr>
              <w:t>, although the contributing role</w:t>
            </w:r>
            <w:r w:rsidR="008E7C21">
              <w:rPr>
                <w:sz w:val="18"/>
                <w:szCs w:val="18"/>
                <w:lang w:val="en-US"/>
              </w:rPr>
              <w:t xml:space="preserve"> of IL-12</w:t>
            </w:r>
            <w:r w:rsidRPr="00E62D0B">
              <w:rPr>
                <w:sz w:val="18"/>
                <w:szCs w:val="18"/>
                <w:lang w:val="en-US"/>
              </w:rPr>
              <w:t xml:space="preserve"> is unclear </w:t>
            </w:r>
            <w:r w:rsidR="008E7C21">
              <w:rPr>
                <w:sz w:val="18"/>
                <w:szCs w:val="18"/>
                <w:lang w:val="en-US"/>
              </w:rPr>
              <w:t xml:space="preserve">in psoriasis </w:t>
            </w:r>
            <w:r w:rsidRPr="004352E9">
              <w:rPr>
                <w:sz w:val="18"/>
                <w:szCs w:val="18"/>
                <w:lang w:val="en-US"/>
              </w:rPr>
              <w:fldChar w:fldCharType="begin"/>
            </w:r>
            <w:r w:rsidR="00550743">
              <w:rPr>
                <w:sz w:val="18"/>
                <w:szCs w:val="18"/>
                <w:lang w:val="en-US"/>
              </w:rPr>
              <w:instrText xml:space="preserve"> ADDIN ZOTERO_ITEM CSL_CITATION {"citationID":"uhvaYjzd","properties":{"formattedCitation":"(6)","plainCitation":"(6)","noteIndex":0},"citationItems":[{"id":31922,"uris":["http://zotero.org/users/2689656/items/ALETMMA9"],"uri":["http://zotero.org/users/2689656/items/ALETMMA9"],"itemData":{"id":31922,"type":"article-journal","title":"IL-12 protects from psoriasiform skin inflammation","container-title":"Nature Communications","page":"13466","volume":"7","source":"PubMed","abstract":"Neutralization of the common p40-subunit of IL-12/23 in psoriasis patients has led to a breakthrough in the management of moderate to severe disease. Aside from neutralizing IL-23, which is thought to be responsible for the curative effect, anti-p40 therapy also interferes with IL-12 signalling and type 1 immunity. Here we dissect the individual contribution of these two cytokines to the formation of psoriatic lesions and understand the effect of therapeutic co-targeting of IL-12 and IL-23 in psoriasis. Using a preclinical model for psoriatic plaque formation we show that IL-12, in contrast to IL-23, has a regulatory function by restraining the invasion of an IL-17-committed γδT (γδT17) cell subset. We discover that IL-12 receptor signalling in keratinocytes initiates a protective transcriptional programme that limits skin inflammation, suggesting that collateral targeting of IL-12 by anti-p40 monoclonal antibodies is counterproductive in the therapy of psoriasis.","DOI":"10.1038/ncomms13466","ISSN":"2041-1723","note":"PMID: 27892456\nPMCID: PMC5133729","journalAbbreviation":"Nat Commun","language":"eng","author":[{"family":"Kulig","given":"Paulina"},{"family":"Musiol","given":"Stephanie"},{"family":"Freiberger","given":"Sandra Nicole"},{"family":"Schreiner","given":"Bettina"},{"family":"Gyülveszi","given":"Gabor"},{"family":"Russo","given":"Giancarlo"},{"family":"Pantelyushin","given":"Stanislav"},{"family":"Kishihara","given":"Kenji"},{"family":"Alessandrini","given":"Francesca"},{"family":"Kündig","given":"Thomas"},{"family":"Sallusto","given":"Federica"},{"family":"Hofbauer","given":"Günther F. L."},{"family":"Haak","given":"Stefan"},{"family":"Becher","given":"Burkhard"}],"issued":{"date-parts":[["2016"]],"season":"28"}}}],"schema":"https://github.com/citation-style-language/schema/raw/master/csl-citation.json"} </w:instrText>
            </w:r>
            <w:r w:rsidRPr="004352E9">
              <w:rPr>
                <w:sz w:val="18"/>
                <w:szCs w:val="18"/>
                <w:lang w:val="en-US"/>
              </w:rPr>
              <w:fldChar w:fldCharType="separate"/>
            </w:r>
            <w:r w:rsidR="00550743" w:rsidRPr="00550743">
              <w:rPr>
                <w:rFonts w:ascii="Calibri" w:hAnsi="Calibri" w:cs="Calibri"/>
                <w:sz w:val="18"/>
                <w:lang w:val="en-US"/>
              </w:rPr>
              <w:t>(6)</w:t>
            </w:r>
            <w:r w:rsidRPr="004352E9">
              <w:rPr>
                <w:sz w:val="18"/>
                <w:szCs w:val="18"/>
                <w:lang w:val="en-US"/>
              </w:rPr>
              <w:fldChar w:fldCharType="end"/>
            </w:r>
            <w:r w:rsidRPr="004352E9">
              <w:rPr>
                <w:sz w:val="18"/>
                <w:szCs w:val="18"/>
                <w:lang w:val="en-US"/>
              </w:rPr>
              <w:t xml:space="preserve"> </w:t>
            </w:r>
          </w:p>
        </w:tc>
        <w:tc>
          <w:tcPr>
            <w:tcW w:w="3969" w:type="dxa"/>
            <w:shd w:val="clear" w:color="auto" w:fill="auto"/>
          </w:tcPr>
          <w:p w:rsidR="00563DC2" w:rsidRPr="004352E9" w:rsidRDefault="00563DC2" w:rsidP="004352E9">
            <w:pPr>
              <w:rPr>
                <w:sz w:val="18"/>
                <w:szCs w:val="18"/>
                <w:lang w:val="en-US"/>
              </w:rPr>
            </w:pPr>
            <w:r w:rsidRPr="004352E9">
              <w:rPr>
                <w:sz w:val="18"/>
                <w:szCs w:val="18"/>
                <w:lang w:val="en-US"/>
              </w:rPr>
              <w:t xml:space="preserve">- </w:t>
            </w:r>
            <w:r w:rsidRPr="00E62D0B">
              <w:rPr>
                <w:sz w:val="18"/>
                <w:szCs w:val="18"/>
                <w:lang w:val="en-US"/>
              </w:rPr>
              <w:t>Stimulates differentiation of na</w:t>
            </w:r>
            <w:r w:rsidR="008E7C21">
              <w:rPr>
                <w:sz w:val="18"/>
                <w:szCs w:val="18"/>
                <w:lang w:val="en-US"/>
              </w:rPr>
              <w:t>i</w:t>
            </w:r>
            <w:r w:rsidRPr="00E62D0B">
              <w:rPr>
                <w:sz w:val="18"/>
                <w:szCs w:val="18"/>
                <w:lang w:val="en-US"/>
              </w:rPr>
              <w:t>ve T cells into Th1 cells</w:t>
            </w:r>
          </w:p>
          <w:p w:rsidR="00563DC2" w:rsidRPr="004352E9" w:rsidRDefault="00563DC2" w:rsidP="004352E9">
            <w:pPr>
              <w:rPr>
                <w:sz w:val="18"/>
                <w:szCs w:val="18"/>
                <w:lang w:val="en-US"/>
              </w:rPr>
            </w:pPr>
            <w:r w:rsidRPr="004352E9">
              <w:rPr>
                <w:sz w:val="18"/>
                <w:szCs w:val="18"/>
                <w:lang w:val="en-US"/>
              </w:rPr>
              <w:t>- Inducer of IFN-</w:t>
            </w:r>
            <w:r w:rsidRPr="004352E9">
              <w:rPr>
                <w:rFonts w:cstheme="minorHAnsi"/>
                <w:sz w:val="18"/>
                <w:szCs w:val="18"/>
                <w:lang w:val="en-US"/>
              </w:rPr>
              <w:t>γ</w:t>
            </w:r>
            <w:r w:rsidRPr="00E62D0B">
              <w:rPr>
                <w:sz w:val="18"/>
                <w:szCs w:val="18"/>
                <w:lang w:val="en-US"/>
              </w:rPr>
              <w:t xml:space="preserve"> in NK cells and T cells </w:t>
            </w:r>
            <w:r w:rsidRPr="004352E9">
              <w:rPr>
                <w:sz w:val="18"/>
                <w:szCs w:val="18"/>
                <w:lang w:val="en-US"/>
              </w:rPr>
              <w:fldChar w:fldCharType="begin"/>
            </w:r>
            <w:r w:rsidR="00550743">
              <w:rPr>
                <w:sz w:val="18"/>
                <w:szCs w:val="18"/>
                <w:lang w:val="en-US"/>
              </w:rPr>
              <w:instrText xml:space="preserve"> ADDIN ZOTERO_ITEM CSL_CITATION {"citationID":"aZM2dALR","properties":{"formattedCitation":"(7)","plainCitation":"(7)","noteIndex":0},"citationItems":[{"id":31925,"uris":["http://zotero.org/users/2689656/items/SNBZLRA9"],"uri":["http://zotero.org/users/2689656/items/SNBZLRA9"],"itemData":{"id":31925,"type":"article-journal","title":"IL-12 family cytokines: immunological playmakers","container-title":"Nature Immunology","page":"722-728","volume":"13","issue":"8","source":"PubMed","abstract":"The interleukin 12 (IL-12) family is unique in having the only heterodimeric cytokines, including IL-12, IL-23, IL-27 and IL-35. This feature endows these cytokines with a unique set of connections and functional interactions not shared by other cytokine families. Despite sharing many structural features and molecular partners, cytokines of the IL-12 family mediate surprisingly diverse functional effects. Here we discuss the unique and unusual structural and functional characteristics of this cytokine family. We outline how cells might interpret seemingly similar cytokine signals to give rise to the diverse functional outcomes that characterize this cytokine family. We also discuss the therapeutic implications of this complexity.","DOI":"10.1038/ni.2366","ISSN":"1529-2916","note":"PMID: 22814351\nPMCID: PMC4158817","title-short":"IL-12 family cytokines","journalAbbreviation":"Nat. Immunol.","language":"eng","author":[{"family":"Vignali","given":"Dario A. A."},{"family":"Kuchroo","given":"Vijay K."}],"issued":{"date-parts":[["2012",7,19]]}}}],"schema":"https://github.com/citation-style-language/schema/raw/master/csl-citation.json"} </w:instrText>
            </w:r>
            <w:r w:rsidRPr="004352E9">
              <w:rPr>
                <w:sz w:val="18"/>
                <w:szCs w:val="18"/>
                <w:lang w:val="en-US"/>
              </w:rPr>
              <w:fldChar w:fldCharType="separate"/>
            </w:r>
            <w:r w:rsidR="00550743" w:rsidRPr="00550743">
              <w:rPr>
                <w:rFonts w:ascii="Calibri" w:hAnsi="Calibri" w:cs="Calibri"/>
                <w:sz w:val="18"/>
                <w:lang w:val="en-US"/>
              </w:rPr>
              <w:t>(7)</w:t>
            </w:r>
            <w:r w:rsidRPr="004352E9">
              <w:rPr>
                <w:sz w:val="18"/>
                <w:szCs w:val="18"/>
                <w:lang w:val="en-US"/>
              </w:rPr>
              <w:fldChar w:fldCharType="end"/>
            </w:r>
          </w:p>
        </w:tc>
      </w:tr>
      <w:tr w:rsidR="00563DC2" w:rsidRPr="00615361" w:rsidTr="004352E9">
        <w:tc>
          <w:tcPr>
            <w:tcW w:w="1491" w:type="dxa"/>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Biologic</w:t>
            </w:r>
          </w:p>
        </w:tc>
        <w:tc>
          <w:tcPr>
            <w:tcW w:w="3324" w:type="dxa"/>
            <w:gridSpan w:val="2"/>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Type</w:t>
            </w:r>
          </w:p>
        </w:tc>
        <w:tc>
          <w:tcPr>
            <w:tcW w:w="4819" w:type="dxa"/>
            <w:gridSpan w:val="2"/>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Differences between biologics</w:t>
            </w:r>
          </w:p>
        </w:tc>
      </w:tr>
      <w:tr w:rsidR="00563DC2" w:rsidRPr="00550743" w:rsidTr="004352E9">
        <w:tc>
          <w:tcPr>
            <w:tcW w:w="1491" w:type="dxa"/>
          </w:tcPr>
          <w:p w:rsidR="00563DC2" w:rsidRPr="004352E9" w:rsidRDefault="00563DC2" w:rsidP="004352E9">
            <w:pPr>
              <w:rPr>
                <w:sz w:val="18"/>
                <w:szCs w:val="18"/>
                <w:lang w:val="en-US"/>
              </w:rPr>
            </w:pPr>
            <w:proofErr w:type="spellStart"/>
            <w:r w:rsidRPr="004352E9">
              <w:rPr>
                <w:sz w:val="18"/>
                <w:szCs w:val="18"/>
                <w:lang w:val="en-US"/>
              </w:rPr>
              <w:t>Ustekinumab</w:t>
            </w:r>
            <w:proofErr w:type="spellEnd"/>
          </w:p>
        </w:tc>
        <w:tc>
          <w:tcPr>
            <w:tcW w:w="3324" w:type="dxa"/>
            <w:gridSpan w:val="2"/>
          </w:tcPr>
          <w:p w:rsidR="00563DC2" w:rsidRPr="004352E9" w:rsidRDefault="00563DC2" w:rsidP="004352E9">
            <w:pPr>
              <w:rPr>
                <w:sz w:val="18"/>
                <w:szCs w:val="18"/>
                <w:lang w:val="en-US"/>
              </w:rPr>
            </w:pPr>
            <w:proofErr w:type="spellStart"/>
            <w:r w:rsidRPr="004352E9">
              <w:rPr>
                <w:sz w:val="18"/>
                <w:szCs w:val="18"/>
                <w:lang w:val="en-US"/>
              </w:rPr>
              <w:t>MoAb</w:t>
            </w:r>
            <w:proofErr w:type="spellEnd"/>
            <w:r w:rsidRPr="004352E9" w:rsidDel="002F0572">
              <w:rPr>
                <w:sz w:val="18"/>
                <w:szCs w:val="18"/>
                <w:lang w:val="en-US"/>
              </w:rPr>
              <w:t xml:space="preserve"> </w:t>
            </w:r>
            <w:r w:rsidRPr="004352E9">
              <w:rPr>
                <w:sz w:val="18"/>
                <w:szCs w:val="18"/>
                <w:lang w:val="en-US"/>
              </w:rPr>
              <w:t>against the p40 subunit common to IL-12 and IL-23</w:t>
            </w:r>
          </w:p>
        </w:tc>
        <w:tc>
          <w:tcPr>
            <w:tcW w:w="4819" w:type="dxa"/>
            <w:gridSpan w:val="2"/>
          </w:tcPr>
          <w:p w:rsidR="00563DC2" w:rsidRPr="004352E9" w:rsidRDefault="00563DC2" w:rsidP="004352E9">
            <w:pPr>
              <w:rPr>
                <w:sz w:val="18"/>
                <w:szCs w:val="18"/>
                <w:lang w:val="en-US"/>
              </w:rPr>
            </w:pPr>
            <w:r w:rsidRPr="004352E9">
              <w:rPr>
                <w:sz w:val="18"/>
                <w:szCs w:val="18"/>
                <w:lang w:val="en-US"/>
              </w:rPr>
              <w:t xml:space="preserve">- </w:t>
            </w:r>
            <w:proofErr w:type="spellStart"/>
            <w:r w:rsidRPr="004352E9">
              <w:rPr>
                <w:sz w:val="18"/>
                <w:szCs w:val="18"/>
                <w:lang w:val="en-US"/>
              </w:rPr>
              <w:t>Ustekinumab</w:t>
            </w:r>
            <w:proofErr w:type="spellEnd"/>
            <w:r w:rsidRPr="004352E9">
              <w:rPr>
                <w:sz w:val="18"/>
                <w:szCs w:val="18"/>
                <w:lang w:val="en-US"/>
              </w:rPr>
              <w:t xml:space="preserve"> interacts with </w:t>
            </w:r>
            <w:r w:rsidR="008E7C21">
              <w:rPr>
                <w:sz w:val="18"/>
                <w:szCs w:val="18"/>
                <w:lang w:val="en-US"/>
              </w:rPr>
              <w:t xml:space="preserve">both </w:t>
            </w:r>
            <w:r w:rsidRPr="004352E9">
              <w:rPr>
                <w:sz w:val="18"/>
                <w:szCs w:val="18"/>
                <w:lang w:val="en-US"/>
              </w:rPr>
              <w:t>the Th1 and Th1</w:t>
            </w:r>
            <w:r w:rsidR="008E7C21">
              <w:rPr>
                <w:sz w:val="18"/>
                <w:szCs w:val="18"/>
                <w:lang w:val="en-US"/>
              </w:rPr>
              <w:t>7</w:t>
            </w:r>
            <w:r w:rsidRPr="004352E9">
              <w:rPr>
                <w:sz w:val="18"/>
                <w:szCs w:val="18"/>
                <w:lang w:val="en-US"/>
              </w:rPr>
              <w:t xml:space="preserve"> pathway by blocking IL-12 and IL-23</w:t>
            </w:r>
          </w:p>
        </w:tc>
      </w:tr>
      <w:tr w:rsidR="00563DC2" w:rsidRPr="00F2535F" w:rsidTr="004352E9">
        <w:tc>
          <w:tcPr>
            <w:tcW w:w="9634" w:type="dxa"/>
            <w:gridSpan w:val="5"/>
            <w:shd w:val="clear" w:color="auto" w:fill="000000" w:themeFill="text1"/>
          </w:tcPr>
          <w:p w:rsidR="00563DC2" w:rsidRPr="004352E9" w:rsidRDefault="00563DC2" w:rsidP="004352E9">
            <w:pPr>
              <w:rPr>
                <w:b/>
                <w:sz w:val="18"/>
                <w:szCs w:val="18"/>
                <w:lang w:val="en-US"/>
              </w:rPr>
            </w:pPr>
            <w:r w:rsidRPr="004352E9">
              <w:rPr>
                <w:b/>
                <w:sz w:val="18"/>
                <w:szCs w:val="18"/>
                <w:lang w:val="en-US"/>
              </w:rPr>
              <w:t>IL-23</w:t>
            </w:r>
          </w:p>
        </w:tc>
      </w:tr>
      <w:tr w:rsidR="00563DC2" w:rsidRPr="00615361" w:rsidTr="004352E9">
        <w:tc>
          <w:tcPr>
            <w:tcW w:w="2972" w:type="dxa"/>
            <w:gridSpan w:val="2"/>
            <w:shd w:val="clear" w:color="auto" w:fill="BFBFBF" w:themeFill="background1" w:themeFillShade="BF"/>
          </w:tcPr>
          <w:p w:rsidR="00563DC2" w:rsidRPr="004352E9" w:rsidRDefault="00563DC2" w:rsidP="004352E9">
            <w:pPr>
              <w:rPr>
                <w:b/>
                <w:sz w:val="18"/>
                <w:szCs w:val="18"/>
              </w:rPr>
            </w:pPr>
            <w:proofErr w:type="spellStart"/>
            <w:r w:rsidRPr="004352E9">
              <w:rPr>
                <w:b/>
                <w:sz w:val="18"/>
                <w:szCs w:val="18"/>
              </w:rPr>
              <w:t>Role</w:t>
            </w:r>
            <w:proofErr w:type="spellEnd"/>
            <w:r w:rsidRPr="004352E9">
              <w:rPr>
                <w:b/>
                <w:sz w:val="18"/>
                <w:szCs w:val="18"/>
              </w:rPr>
              <w:t xml:space="preserve"> in health</w:t>
            </w:r>
          </w:p>
        </w:tc>
        <w:tc>
          <w:tcPr>
            <w:tcW w:w="2693" w:type="dxa"/>
            <w:gridSpan w:val="2"/>
            <w:shd w:val="clear" w:color="auto" w:fill="BFBFBF" w:themeFill="background1" w:themeFillShade="BF"/>
          </w:tcPr>
          <w:p w:rsidR="00563DC2" w:rsidRPr="004352E9" w:rsidRDefault="00563DC2" w:rsidP="004352E9">
            <w:pPr>
              <w:rPr>
                <w:b/>
                <w:sz w:val="18"/>
                <w:szCs w:val="18"/>
              </w:rPr>
            </w:pPr>
            <w:proofErr w:type="spellStart"/>
            <w:r w:rsidRPr="004352E9">
              <w:rPr>
                <w:b/>
                <w:sz w:val="18"/>
                <w:szCs w:val="18"/>
              </w:rPr>
              <w:t>Role</w:t>
            </w:r>
            <w:proofErr w:type="spellEnd"/>
            <w:r w:rsidRPr="004352E9">
              <w:rPr>
                <w:b/>
                <w:sz w:val="18"/>
                <w:szCs w:val="18"/>
              </w:rPr>
              <w:t xml:space="preserve"> in skin </w:t>
            </w:r>
            <w:proofErr w:type="spellStart"/>
            <w:r w:rsidRPr="004352E9">
              <w:rPr>
                <w:b/>
                <w:sz w:val="18"/>
                <w:szCs w:val="18"/>
              </w:rPr>
              <w:t>disease</w:t>
            </w:r>
            <w:proofErr w:type="spellEnd"/>
          </w:p>
        </w:tc>
        <w:tc>
          <w:tcPr>
            <w:tcW w:w="3969" w:type="dxa"/>
            <w:shd w:val="clear" w:color="auto" w:fill="BFBFBF" w:themeFill="background1" w:themeFillShade="BF"/>
          </w:tcPr>
          <w:p w:rsidR="00563DC2" w:rsidRPr="004352E9" w:rsidRDefault="00563DC2" w:rsidP="004352E9">
            <w:pPr>
              <w:rPr>
                <w:b/>
                <w:sz w:val="18"/>
                <w:szCs w:val="18"/>
                <w:lang w:val="en-US"/>
              </w:rPr>
            </w:pPr>
            <w:r w:rsidRPr="004352E9">
              <w:rPr>
                <w:b/>
                <w:sz w:val="18"/>
                <w:szCs w:val="18"/>
                <w:lang w:val="en-US"/>
              </w:rPr>
              <w:t>Immunological effects</w:t>
            </w:r>
          </w:p>
        </w:tc>
      </w:tr>
      <w:tr w:rsidR="00563DC2" w:rsidRPr="00550743" w:rsidTr="004352E9">
        <w:tc>
          <w:tcPr>
            <w:tcW w:w="2972" w:type="dxa"/>
            <w:gridSpan w:val="2"/>
            <w:shd w:val="clear" w:color="auto" w:fill="auto"/>
          </w:tcPr>
          <w:p w:rsidR="00563DC2" w:rsidRPr="004352E9" w:rsidRDefault="00563DC2" w:rsidP="004352E9">
            <w:pPr>
              <w:rPr>
                <w:sz w:val="18"/>
                <w:szCs w:val="18"/>
                <w:lang w:val="en-US"/>
              </w:rPr>
            </w:pPr>
            <w:r w:rsidRPr="004352E9">
              <w:rPr>
                <w:sz w:val="18"/>
                <w:szCs w:val="18"/>
                <w:lang w:val="en-US"/>
              </w:rPr>
              <w:t xml:space="preserve">- </w:t>
            </w:r>
            <w:r w:rsidRPr="00E62D0B">
              <w:rPr>
                <w:sz w:val="18"/>
                <w:szCs w:val="18"/>
                <w:lang w:val="en-US"/>
              </w:rPr>
              <w:t xml:space="preserve">Regulation of the IL-17 pathway </w:t>
            </w:r>
          </w:p>
        </w:tc>
        <w:tc>
          <w:tcPr>
            <w:tcW w:w="2693" w:type="dxa"/>
            <w:gridSpan w:val="2"/>
            <w:shd w:val="clear" w:color="auto" w:fill="auto"/>
          </w:tcPr>
          <w:p w:rsidR="00563DC2" w:rsidRPr="004352E9" w:rsidRDefault="00563DC2" w:rsidP="004352E9">
            <w:pPr>
              <w:rPr>
                <w:sz w:val="18"/>
                <w:szCs w:val="18"/>
                <w:lang w:val="en-US"/>
              </w:rPr>
            </w:pPr>
            <w:r w:rsidRPr="004352E9">
              <w:rPr>
                <w:sz w:val="18"/>
                <w:szCs w:val="18"/>
                <w:lang w:val="en-US"/>
              </w:rPr>
              <w:t>- ‘Upstream’ cytokine elevated in psoriasis and other Th17 mediated disorders</w:t>
            </w:r>
          </w:p>
        </w:tc>
        <w:tc>
          <w:tcPr>
            <w:tcW w:w="3969" w:type="dxa"/>
            <w:shd w:val="clear" w:color="auto" w:fill="auto"/>
          </w:tcPr>
          <w:p w:rsidR="00563DC2" w:rsidRPr="004352E9" w:rsidRDefault="00563DC2" w:rsidP="004352E9">
            <w:pPr>
              <w:rPr>
                <w:sz w:val="18"/>
                <w:szCs w:val="18"/>
                <w:lang w:val="en-US"/>
              </w:rPr>
            </w:pPr>
            <w:r w:rsidRPr="004352E9">
              <w:rPr>
                <w:sz w:val="18"/>
                <w:szCs w:val="18"/>
                <w:lang w:val="en-US"/>
              </w:rPr>
              <w:t xml:space="preserve">- </w:t>
            </w:r>
            <w:r w:rsidRPr="00E62D0B">
              <w:rPr>
                <w:sz w:val="18"/>
                <w:szCs w:val="18"/>
                <w:lang w:val="en-US"/>
              </w:rPr>
              <w:t>Acts on hematopoietic cells.</w:t>
            </w:r>
          </w:p>
          <w:p w:rsidR="00563DC2" w:rsidRPr="004352E9" w:rsidRDefault="00563DC2" w:rsidP="004352E9">
            <w:pPr>
              <w:rPr>
                <w:b/>
                <w:sz w:val="18"/>
                <w:szCs w:val="18"/>
                <w:lang w:val="en-US"/>
              </w:rPr>
            </w:pPr>
            <w:r w:rsidRPr="004352E9">
              <w:rPr>
                <w:sz w:val="18"/>
                <w:szCs w:val="18"/>
                <w:lang w:val="en-US"/>
              </w:rPr>
              <w:t>- Late factor in the differentiation of T</w:t>
            </w:r>
            <w:r w:rsidRPr="00E62D0B">
              <w:rPr>
                <w:sz w:val="18"/>
                <w:szCs w:val="18"/>
                <w:lang w:val="en-US"/>
              </w:rPr>
              <w:t>h17</w:t>
            </w:r>
            <w:r w:rsidRPr="004352E9">
              <w:rPr>
                <w:sz w:val="18"/>
                <w:szCs w:val="18"/>
                <w:lang w:val="en-US"/>
              </w:rPr>
              <w:t xml:space="preserve"> cells</w:t>
            </w:r>
          </w:p>
        </w:tc>
      </w:tr>
      <w:tr w:rsidR="00563DC2" w:rsidRPr="00615361" w:rsidTr="004352E9">
        <w:tc>
          <w:tcPr>
            <w:tcW w:w="1491" w:type="dxa"/>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Biologic</w:t>
            </w:r>
          </w:p>
        </w:tc>
        <w:tc>
          <w:tcPr>
            <w:tcW w:w="3324" w:type="dxa"/>
            <w:gridSpan w:val="2"/>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Type</w:t>
            </w:r>
          </w:p>
        </w:tc>
        <w:tc>
          <w:tcPr>
            <w:tcW w:w="4819" w:type="dxa"/>
            <w:gridSpan w:val="2"/>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Differences between biologics</w:t>
            </w:r>
          </w:p>
        </w:tc>
      </w:tr>
      <w:tr w:rsidR="00563DC2" w:rsidRPr="00550743" w:rsidTr="004352E9">
        <w:tc>
          <w:tcPr>
            <w:tcW w:w="1491" w:type="dxa"/>
          </w:tcPr>
          <w:p w:rsidR="00563DC2" w:rsidRPr="004352E9" w:rsidRDefault="00563DC2" w:rsidP="004352E9">
            <w:pPr>
              <w:rPr>
                <w:sz w:val="18"/>
                <w:szCs w:val="18"/>
                <w:lang w:val="en-US"/>
              </w:rPr>
            </w:pPr>
            <w:proofErr w:type="spellStart"/>
            <w:r w:rsidRPr="004352E9">
              <w:rPr>
                <w:sz w:val="18"/>
                <w:szCs w:val="18"/>
                <w:lang w:val="en-US"/>
              </w:rPr>
              <w:t>Guselkumab</w:t>
            </w:r>
            <w:proofErr w:type="spellEnd"/>
          </w:p>
        </w:tc>
        <w:tc>
          <w:tcPr>
            <w:tcW w:w="3324" w:type="dxa"/>
            <w:gridSpan w:val="2"/>
            <w:vMerge w:val="restart"/>
          </w:tcPr>
          <w:p w:rsidR="00563DC2" w:rsidRPr="004352E9" w:rsidRDefault="00563DC2" w:rsidP="004352E9">
            <w:pPr>
              <w:rPr>
                <w:sz w:val="18"/>
                <w:szCs w:val="18"/>
                <w:lang w:val="en-US"/>
              </w:rPr>
            </w:pPr>
            <w:proofErr w:type="spellStart"/>
            <w:r w:rsidRPr="004352E9">
              <w:rPr>
                <w:sz w:val="18"/>
                <w:szCs w:val="18"/>
                <w:lang w:val="en-US"/>
              </w:rPr>
              <w:t>MoAb</w:t>
            </w:r>
            <w:proofErr w:type="spellEnd"/>
            <w:r w:rsidRPr="004352E9" w:rsidDel="002F0572">
              <w:rPr>
                <w:sz w:val="18"/>
                <w:szCs w:val="18"/>
                <w:lang w:val="en-US"/>
              </w:rPr>
              <w:t xml:space="preserve"> </w:t>
            </w:r>
            <w:r w:rsidRPr="004352E9">
              <w:rPr>
                <w:sz w:val="18"/>
                <w:szCs w:val="18"/>
                <w:lang w:val="en-US"/>
              </w:rPr>
              <w:t>against the p19 subunit of IL-23</w:t>
            </w:r>
          </w:p>
        </w:tc>
        <w:tc>
          <w:tcPr>
            <w:tcW w:w="4819" w:type="dxa"/>
            <w:gridSpan w:val="2"/>
            <w:vMerge w:val="restart"/>
          </w:tcPr>
          <w:p w:rsidR="00563DC2" w:rsidRPr="004352E9" w:rsidRDefault="00563DC2" w:rsidP="004352E9">
            <w:pPr>
              <w:rPr>
                <w:sz w:val="18"/>
                <w:szCs w:val="18"/>
                <w:lang w:val="en-US"/>
              </w:rPr>
            </w:pPr>
            <w:r w:rsidRPr="004352E9">
              <w:rPr>
                <w:sz w:val="18"/>
                <w:szCs w:val="18"/>
                <w:lang w:val="en-US"/>
              </w:rPr>
              <w:t xml:space="preserve">- </w:t>
            </w:r>
            <w:r w:rsidRPr="00E62D0B">
              <w:rPr>
                <w:sz w:val="18"/>
                <w:szCs w:val="18"/>
                <w:lang w:val="en-US"/>
              </w:rPr>
              <w:t>A</w:t>
            </w:r>
            <w:r w:rsidRPr="004352E9">
              <w:rPr>
                <w:sz w:val="18"/>
                <w:szCs w:val="18"/>
                <w:lang w:val="en-US"/>
              </w:rPr>
              <w:t xml:space="preserve">nti-p19 antibodies </w:t>
            </w:r>
            <w:r w:rsidRPr="00E62D0B">
              <w:rPr>
                <w:sz w:val="18"/>
                <w:szCs w:val="18"/>
                <w:lang w:val="en-US"/>
              </w:rPr>
              <w:t xml:space="preserve">do not inhibit IL-12 which might lead superior efficacy with less adverse events in IL-23/IL-17 mediated disorders such as psoriasis </w:t>
            </w:r>
            <w:r w:rsidRPr="004352E9">
              <w:rPr>
                <w:sz w:val="18"/>
                <w:szCs w:val="18"/>
                <w:lang w:val="en-US"/>
              </w:rPr>
              <w:fldChar w:fldCharType="begin"/>
            </w:r>
            <w:r w:rsidR="00550743">
              <w:rPr>
                <w:sz w:val="18"/>
                <w:szCs w:val="18"/>
                <w:lang w:val="en-US"/>
              </w:rPr>
              <w:instrText xml:space="preserve"> ADDIN ZOTERO_ITEM CSL_CITATION {"citationID":"2SeeOkNO","properties":{"formattedCitation":"(8)","plainCitation":"(8)","noteIndex":0},"citationItems":[{"id":31928,"uris":["http://zotero.org/users/2689656/items/PEC6P9TA"],"uri":["http://zotero.org/users/2689656/items/PEC6P9TA"],"itemData":{"id":31928,"type":"article-journal","title":"A new class of biologic agents facing the therapeutic paradigm in psoriasis: anti-IL-23 agents","container-title":"Expert Opinion on Biological Therapy","page":"135-148","volume":"18","issue":"2","source":"PubMed","abstract":"INTRODUCTION: Psoriasis is a chronic inflammatory skin disease whose pathogenesis is driven by multiple cytokine-mediated pathways. In this immunologic setting, the centrality of the IL-23/IL-17 axis and its therapeutic relevance has emerged.\nAREAS COVERED: This review is aimed at collecting preliminary data on IL23p19 blockers developed for the treatment of plaque psoriasis. Three agents, guselkumab, risankizumab, and tildrakizumab, are currently being tested in phase III trials, while LY2525623 is currently being tested in phase II trials. Treatment with these agents resulted in a marked improvement in disease severity, confirming the pathogenic relevance of IL-23 in psoriasis.\nEXPERT OPINION: Selective neutralization of IL-23 is an advantageous strategy for treating psoriasis. Preliminary data from phase II and III trials have shown the capability of this therapeutic class in inducing complete clearance or almost complete clearance in many patients: the highest PASI 90 rates were achieved by guselkumab, tildrakizumab, and risankizumab in 73.3%, 74% and 77% of cases, respectively. Moreover, the highest PASI 100 rates were achieved in 33%, 14%, and 48% of patients treated with guselkumab, tildrakizumab, and risankizumab, respectively. Further studies are needed to confirm this remarkable efficacy over long-term treatment periods.","DOI":"10.1080/14712598.2018.1398729","ISSN":"1744-7682","note":"PMID: 29103330","title-short":"A new class of biologic agents facing the therapeutic paradigm in psoriasis","journalAbbreviation":"Expert Opin Biol Ther","language":"eng","author":[{"family":"Tonini","given":"Annalisa"},{"family":"Gualtieri","given":"Bruno"},{"family":"Panduri","given":"Salvatore"},{"family":"Romanelli","given":"Marco"},{"family":"Chiricozzi","given":"Andrea"}],"issued":{"date-parts":[["2018"]]}}}],"schema":"https://github.com/citation-style-language/schema/raw/master/csl-citation.json"} </w:instrText>
            </w:r>
            <w:r w:rsidRPr="004352E9">
              <w:rPr>
                <w:sz w:val="18"/>
                <w:szCs w:val="18"/>
                <w:lang w:val="en-US"/>
              </w:rPr>
              <w:fldChar w:fldCharType="separate"/>
            </w:r>
            <w:r w:rsidR="00550743" w:rsidRPr="00550743">
              <w:rPr>
                <w:rFonts w:ascii="Calibri" w:hAnsi="Calibri" w:cs="Calibri"/>
                <w:sz w:val="18"/>
                <w:lang w:val="en-US"/>
              </w:rPr>
              <w:t>(8)</w:t>
            </w:r>
            <w:r w:rsidRPr="004352E9">
              <w:rPr>
                <w:sz w:val="18"/>
                <w:szCs w:val="18"/>
                <w:lang w:val="en-US"/>
              </w:rPr>
              <w:fldChar w:fldCharType="end"/>
            </w:r>
          </w:p>
        </w:tc>
      </w:tr>
      <w:tr w:rsidR="00563DC2" w:rsidRPr="001F048D" w:rsidTr="004352E9">
        <w:tc>
          <w:tcPr>
            <w:tcW w:w="1491" w:type="dxa"/>
          </w:tcPr>
          <w:p w:rsidR="00563DC2" w:rsidRPr="004352E9" w:rsidRDefault="00563DC2" w:rsidP="004352E9">
            <w:pPr>
              <w:rPr>
                <w:sz w:val="18"/>
                <w:szCs w:val="18"/>
                <w:lang w:val="en-US"/>
              </w:rPr>
            </w:pPr>
            <w:proofErr w:type="spellStart"/>
            <w:r w:rsidRPr="004352E9">
              <w:rPr>
                <w:sz w:val="18"/>
                <w:szCs w:val="18"/>
                <w:lang w:val="en-US"/>
              </w:rPr>
              <w:t>Risankizumab</w:t>
            </w:r>
            <w:proofErr w:type="spellEnd"/>
          </w:p>
        </w:tc>
        <w:tc>
          <w:tcPr>
            <w:tcW w:w="3324" w:type="dxa"/>
            <w:gridSpan w:val="2"/>
            <w:vMerge/>
          </w:tcPr>
          <w:p w:rsidR="00563DC2" w:rsidRPr="004352E9" w:rsidRDefault="00563DC2" w:rsidP="004352E9">
            <w:pPr>
              <w:rPr>
                <w:sz w:val="18"/>
                <w:szCs w:val="18"/>
                <w:lang w:val="en-US"/>
              </w:rPr>
            </w:pPr>
          </w:p>
        </w:tc>
        <w:tc>
          <w:tcPr>
            <w:tcW w:w="4819" w:type="dxa"/>
            <w:gridSpan w:val="2"/>
            <w:vMerge/>
          </w:tcPr>
          <w:p w:rsidR="00563DC2" w:rsidRPr="004352E9" w:rsidRDefault="00563DC2" w:rsidP="004352E9">
            <w:pPr>
              <w:rPr>
                <w:sz w:val="18"/>
                <w:szCs w:val="18"/>
                <w:lang w:val="en-US"/>
              </w:rPr>
            </w:pPr>
          </w:p>
        </w:tc>
      </w:tr>
      <w:tr w:rsidR="00563DC2" w:rsidRPr="001F048D" w:rsidTr="004352E9">
        <w:tc>
          <w:tcPr>
            <w:tcW w:w="1491" w:type="dxa"/>
          </w:tcPr>
          <w:p w:rsidR="00563DC2" w:rsidRPr="004352E9" w:rsidRDefault="00563DC2" w:rsidP="004352E9">
            <w:pPr>
              <w:rPr>
                <w:sz w:val="18"/>
                <w:szCs w:val="18"/>
                <w:lang w:val="en-US"/>
              </w:rPr>
            </w:pPr>
            <w:proofErr w:type="spellStart"/>
            <w:r w:rsidRPr="004352E9">
              <w:rPr>
                <w:sz w:val="18"/>
                <w:szCs w:val="18"/>
                <w:lang w:val="en-US"/>
              </w:rPr>
              <w:t>Tildrakizumab</w:t>
            </w:r>
            <w:proofErr w:type="spellEnd"/>
          </w:p>
        </w:tc>
        <w:tc>
          <w:tcPr>
            <w:tcW w:w="3324" w:type="dxa"/>
            <w:gridSpan w:val="2"/>
            <w:vMerge/>
          </w:tcPr>
          <w:p w:rsidR="00563DC2" w:rsidRPr="004352E9" w:rsidRDefault="00563DC2" w:rsidP="004352E9">
            <w:pPr>
              <w:rPr>
                <w:sz w:val="18"/>
                <w:szCs w:val="18"/>
                <w:lang w:val="en-US"/>
              </w:rPr>
            </w:pPr>
          </w:p>
        </w:tc>
        <w:tc>
          <w:tcPr>
            <w:tcW w:w="4819" w:type="dxa"/>
            <w:gridSpan w:val="2"/>
            <w:vMerge/>
          </w:tcPr>
          <w:p w:rsidR="00563DC2" w:rsidRPr="004352E9" w:rsidRDefault="00563DC2" w:rsidP="004352E9">
            <w:pPr>
              <w:rPr>
                <w:sz w:val="18"/>
                <w:szCs w:val="18"/>
                <w:lang w:val="en-US"/>
              </w:rPr>
            </w:pPr>
          </w:p>
        </w:tc>
      </w:tr>
      <w:tr w:rsidR="00563DC2" w:rsidRPr="00F2535F" w:rsidTr="004352E9">
        <w:tc>
          <w:tcPr>
            <w:tcW w:w="9634" w:type="dxa"/>
            <w:gridSpan w:val="5"/>
            <w:shd w:val="clear" w:color="auto" w:fill="000000" w:themeFill="text1"/>
          </w:tcPr>
          <w:p w:rsidR="00563DC2" w:rsidRPr="004352E9" w:rsidRDefault="00563DC2" w:rsidP="004352E9">
            <w:pPr>
              <w:rPr>
                <w:b/>
                <w:sz w:val="18"/>
                <w:szCs w:val="18"/>
                <w:lang w:val="en-US"/>
              </w:rPr>
            </w:pPr>
            <w:r w:rsidRPr="004352E9">
              <w:rPr>
                <w:b/>
                <w:sz w:val="18"/>
                <w:szCs w:val="18"/>
                <w:lang w:val="en-US"/>
              </w:rPr>
              <w:t>TNF-</w:t>
            </w:r>
            <w:r w:rsidRPr="004352E9">
              <w:rPr>
                <w:b/>
                <w:sz w:val="18"/>
                <w:szCs w:val="18"/>
              </w:rPr>
              <w:t>α</w:t>
            </w:r>
          </w:p>
        </w:tc>
      </w:tr>
      <w:tr w:rsidR="00563DC2" w:rsidRPr="00615361" w:rsidTr="004352E9">
        <w:tc>
          <w:tcPr>
            <w:tcW w:w="2972" w:type="dxa"/>
            <w:gridSpan w:val="2"/>
            <w:shd w:val="clear" w:color="auto" w:fill="BFBFBF" w:themeFill="background1" w:themeFillShade="BF"/>
          </w:tcPr>
          <w:p w:rsidR="00563DC2" w:rsidRPr="004352E9" w:rsidRDefault="00563DC2" w:rsidP="004352E9">
            <w:pPr>
              <w:rPr>
                <w:b/>
                <w:sz w:val="18"/>
                <w:szCs w:val="18"/>
              </w:rPr>
            </w:pPr>
            <w:proofErr w:type="spellStart"/>
            <w:r w:rsidRPr="004352E9">
              <w:rPr>
                <w:b/>
                <w:sz w:val="18"/>
                <w:szCs w:val="18"/>
              </w:rPr>
              <w:t>Role</w:t>
            </w:r>
            <w:proofErr w:type="spellEnd"/>
            <w:r w:rsidRPr="004352E9">
              <w:rPr>
                <w:b/>
                <w:sz w:val="18"/>
                <w:szCs w:val="18"/>
              </w:rPr>
              <w:t xml:space="preserve"> in health</w:t>
            </w:r>
          </w:p>
        </w:tc>
        <w:tc>
          <w:tcPr>
            <w:tcW w:w="2693" w:type="dxa"/>
            <w:gridSpan w:val="2"/>
            <w:shd w:val="clear" w:color="auto" w:fill="BFBFBF" w:themeFill="background1" w:themeFillShade="BF"/>
          </w:tcPr>
          <w:p w:rsidR="00563DC2" w:rsidRPr="004352E9" w:rsidRDefault="00563DC2" w:rsidP="004352E9">
            <w:pPr>
              <w:rPr>
                <w:b/>
                <w:sz w:val="18"/>
                <w:szCs w:val="18"/>
              </w:rPr>
            </w:pPr>
            <w:proofErr w:type="spellStart"/>
            <w:r w:rsidRPr="004352E9">
              <w:rPr>
                <w:b/>
                <w:sz w:val="18"/>
                <w:szCs w:val="18"/>
              </w:rPr>
              <w:t>Role</w:t>
            </w:r>
            <w:proofErr w:type="spellEnd"/>
            <w:r w:rsidRPr="004352E9">
              <w:rPr>
                <w:b/>
                <w:sz w:val="18"/>
                <w:szCs w:val="18"/>
              </w:rPr>
              <w:t xml:space="preserve"> in skin </w:t>
            </w:r>
            <w:proofErr w:type="spellStart"/>
            <w:r w:rsidRPr="004352E9">
              <w:rPr>
                <w:b/>
                <w:sz w:val="18"/>
                <w:szCs w:val="18"/>
              </w:rPr>
              <w:t>disease</w:t>
            </w:r>
            <w:proofErr w:type="spellEnd"/>
          </w:p>
        </w:tc>
        <w:tc>
          <w:tcPr>
            <w:tcW w:w="3969" w:type="dxa"/>
            <w:shd w:val="clear" w:color="auto" w:fill="BFBFBF" w:themeFill="background1" w:themeFillShade="BF"/>
          </w:tcPr>
          <w:p w:rsidR="00563DC2" w:rsidRPr="004352E9" w:rsidRDefault="00563DC2" w:rsidP="004352E9">
            <w:pPr>
              <w:rPr>
                <w:b/>
                <w:sz w:val="18"/>
                <w:szCs w:val="18"/>
                <w:lang w:val="en-US"/>
              </w:rPr>
            </w:pPr>
            <w:r w:rsidRPr="004352E9">
              <w:rPr>
                <w:b/>
                <w:sz w:val="18"/>
                <w:szCs w:val="18"/>
                <w:lang w:val="en-US"/>
              </w:rPr>
              <w:t>Immunological effects</w:t>
            </w:r>
          </w:p>
        </w:tc>
      </w:tr>
      <w:tr w:rsidR="00563DC2" w:rsidRPr="00550743" w:rsidTr="004352E9">
        <w:tc>
          <w:tcPr>
            <w:tcW w:w="2972" w:type="dxa"/>
            <w:gridSpan w:val="2"/>
            <w:shd w:val="clear" w:color="auto" w:fill="auto"/>
          </w:tcPr>
          <w:p w:rsidR="00563DC2" w:rsidRPr="00E62D0B" w:rsidRDefault="00563DC2" w:rsidP="004352E9">
            <w:pPr>
              <w:rPr>
                <w:sz w:val="18"/>
                <w:szCs w:val="18"/>
                <w:lang w:val="en-US"/>
              </w:rPr>
            </w:pPr>
            <w:r w:rsidRPr="004352E9">
              <w:rPr>
                <w:sz w:val="18"/>
                <w:szCs w:val="18"/>
                <w:lang w:val="en-US"/>
              </w:rPr>
              <w:t>-</w:t>
            </w:r>
            <w:r w:rsidRPr="00E62D0B">
              <w:rPr>
                <w:sz w:val="18"/>
                <w:szCs w:val="18"/>
                <w:lang w:val="en-US"/>
              </w:rPr>
              <w:t xml:space="preserve"> Widely present pro-inflammatory cytokine</w:t>
            </w:r>
          </w:p>
          <w:p w:rsidR="00563DC2" w:rsidRPr="004352E9" w:rsidRDefault="00563DC2" w:rsidP="004352E9">
            <w:pPr>
              <w:rPr>
                <w:sz w:val="18"/>
                <w:szCs w:val="18"/>
                <w:lang w:val="en-US"/>
              </w:rPr>
            </w:pPr>
            <w:r w:rsidRPr="00E62D0B">
              <w:rPr>
                <w:sz w:val="18"/>
                <w:szCs w:val="18"/>
                <w:lang w:val="en-US"/>
              </w:rPr>
              <w:t>-</w:t>
            </w:r>
            <w:r w:rsidRPr="004352E9">
              <w:rPr>
                <w:sz w:val="18"/>
                <w:szCs w:val="18"/>
                <w:lang w:val="en-US"/>
              </w:rPr>
              <w:t xml:space="preserve"> Protective against infections</w:t>
            </w:r>
            <w:r w:rsidR="00267A6B">
              <w:rPr>
                <w:sz w:val="18"/>
                <w:szCs w:val="18"/>
                <w:lang w:val="en-US"/>
              </w:rPr>
              <w:t xml:space="preserve"> </w:t>
            </w:r>
            <w:r w:rsidR="00267A6B">
              <w:rPr>
                <w:sz w:val="18"/>
                <w:szCs w:val="18"/>
                <w:lang w:val="en-US"/>
              </w:rPr>
              <w:fldChar w:fldCharType="begin"/>
            </w:r>
            <w:r w:rsidR="00550743">
              <w:rPr>
                <w:sz w:val="18"/>
                <w:szCs w:val="18"/>
                <w:lang w:val="en-US"/>
              </w:rPr>
              <w:instrText xml:space="preserve"> ADDIN ZOTERO_ITEM CSL_CITATION {"citationID":"iDV87n7M","properties":{"formattedCitation":"(9)","plainCitation":"(9)","noteIndex":0},"citationItems":[{"id":31944,"uris":["http://zotero.org/users/2689656/items/UKL4B4YE"],"uri":["http://zotero.org/users/2689656/items/UKL4B4YE"],"itemData":{"id":31944,"type":"article-journal","title":"Infection risk associated with anti-TNF-α agents: a review","container-title":"Expert Opinion on Drug Safety","page":"571-582","volume":"14","issue":"4","source":"PubMed","abstract":"INTRODUCTION: TNF-α is a pro-inflammatory cytokine known to a have a key role in the pathogenesis of chronic immune-mediated diseases. TNF-α inhibitors can be administered either as monotherapy or in combination with other anti-inflammatory or disease-modifying anti-rheumatic drugs (DMARDs) to treat chronic immune-mediated diseases.\nAREAS COVERED: Patients receiving TNF-α inhibitors are at high risk of infections. Based on our experience, in this paper, we discuss the risk of infections associated with the administration of TNF-α inhibitors and the strategies for mitigating against the development of these serious adverse events.\nEXPERT OPINION: Infliximab more so than etanercept appears to be responsible for the increased risk of infections. Re-activation of latent tuberculosis (LTB) infection and the overall risk of opportunistic infections should be considered before beginning TNF-α inhibitor therapy. A careful medical history, Mantoux test and chest-x-ray should always be performed before prescribing TNF-α inhibitors. Particular attention should be paid to risk factors for Pneumocystis jirovecii infection. Hepatitis B and C virological follow-up should be considered during TNF-α inhibitor treatment. Finally, patients who are at high risk of herpes zoster (HZ) reactivation would benefit from a second vaccination in adulthood when receiving TNF-α inhibitors.","DOI":"10.1517/14740338.2015.1009036","ISSN":"1744-764X","note":"PMID: 25630559","title-short":"Infection risk associated with anti-TNF-α agents","journalAbbreviation":"Expert Opin Drug Saf","language":"eng","author":[{"family":"Murdaca","given":"Giuseppe"},{"family":"Spanò","given":"Francesca"},{"family":"Contatore","given":"Miriam"},{"family":"Guastalla","given":"Andrea"},{"family":"Penza","given":"Elena"},{"family":"Magnani","given":"Ottavia"},{"family":"Puppo","given":"Francesco"}],"issued":{"date-parts":[["2015",4]]}}}],"schema":"https://github.com/citation-style-language/schema/raw/master/csl-citation.json"} </w:instrText>
            </w:r>
            <w:r w:rsidR="00267A6B">
              <w:rPr>
                <w:sz w:val="18"/>
                <w:szCs w:val="18"/>
                <w:lang w:val="en-US"/>
              </w:rPr>
              <w:fldChar w:fldCharType="separate"/>
            </w:r>
            <w:r w:rsidR="00550743" w:rsidRPr="00550743">
              <w:rPr>
                <w:rFonts w:ascii="Calibri" w:hAnsi="Calibri" w:cs="Calibri"/>
                <w:sz w:val="18"/>
                <w:lang w:val="en-US"/>
              </w:rPr>
              <w:t>(9)</w:t>
            </w:r>
            <w:r w:rsidR="00267A6B">
              <w:rPr>
                <w:sz w:val="18"/>
                <w:szCs w:val="18"/>
                <w:lang w:val="en-US"/>
              </w:rPr>
              <w:fldChar w:fldCharType="end"/>
            </w:r>
          </w:p>
        </w:tc>
        <w:tc>
          <w:tcPr>
            <w:tcW w:w="2693" w:type="dxa"/>
            <w:gridSpan w:val="2"/>
            <w:shd w:val="clear" w:color="auto" w:fill="auto"/>
          </w:tcPr>
          <w:p w:rsidR="00563DC2" w:rsidRPr="00267A6B" w:rsidRDefault="00563DC2" w:rsidP="004352E9">
            <w:pPr>
              <w:rPr>
                <w:sz w:val="18"/>
                <w:szCs w:val="18"/>
                <w:lang w:val="en-US"/>
              </w:rPr>
            </w:pPr>
            <w:r w:rsidRPr="00267A6B">
              <w:rPr>
                <w:sz w:val="18"/>
                <w:szCs w:val="18"/>
                <w:lang w:val="en-US"/>
              </w:rPr>
              <w:t>- Role in psoriasis, hidradenitis suppurativa and granuloma annulare is evident.</w:t>
            </w:r>
          </w:p>
        </w:tc>
        <w:tc>
          <w:tcPr>
            <w:tcW w:w="3969" w:type="dxa"/>
            <w:shd w:val="clear" w:color="auto" w:fill="auto"/>
          </w:tcPr>
          <w:p w:rsidR="00563DC2" w:rsidRPr="00267A6B" w:rsidRDefault="00563DC2" w:rsidP="004352E9">
            <w:pPr>
              <w:rPr>
                <w:sz w:val="18"/>
                <w:szCs w:val="18"/>
                <w:lang w:val="en-US"/>
              </w:rPr>
            </w:pPr>
            <w:r w:rsidRPr="00267A6B">
              <w:rPr>
                <w:sz w:val="18"/>
                <w:szCs w:val="18"/>
                <w:lang w:val="en-US"/>
              </w:rPr>
              <w:t>- Stimulates IL-23 production by dendritic cells</w:t>
            </w:r>
          </w:p>
          <w:p w:rsidR="00563DC2" w:rsidRPr="00267A6B" w:rsidRDefault="00563DC2" w:rsidP="004352E9">
            <w:pPr>
              <w:rPr>
                <w:b/>
                <w:sz w:val="18"/>
                <w:szCs w:val="18"/>
                <w:lang w:val="en-US"/>
              </w:rPr>
            </w:pPr>
            <w:r w:rsidRPr="00267A6B">
              <w:rPr>
                <w:sz w:val="18"/>
                <w:szCs w:val="18"/>
                <w:lang w:val="en-US"/>
              </w:rPr>
              <w:t xml:space="preserve">- </w:t>
            </w:r>
            <w:proofErr w:type="spellStart"/>
            <w:r w:rsidRPr="00267A6B">
              <w:rPr>
                <w:sz w:val="18"/>
                <w:szCs w:val="18"/>
                <w:lang w:val="en-US"/>
              </w:rPr>
              <w:t>Synergises</w:t>
            </w:r>
            <w:proofErr w:type="spellEnd"/>
            <w:r w:rsidRPr="00267A6B">
              <w:rPr>
                <w:sz w:val="18"/>
                <w:szCs w:val="18"/>
                <w:lang w:val="en-US"/>
              </w:rPr>
              <w:t xml:space="preserve"> with other cytokines (e.g. IL-17, IFN-</w:t>
            </w:r>
            <w:r w:rsidRPr="00267A6B">
              <w:rPr>
                <w:rFonts w:cstheme="minorHAnsi"/>
                <w:sz w:val="18"/>
                <w:szCs w:val="18"/>
                <w:lang w:val="en-US"/>
              </w:rPr>
              <w:t>γ</w:t>
            </w:r>
            <w:r w:rsidRPr="00267A6B">
              <w:rPr>
                <w:sz w:val="18"/>
                <w:szCs w:val="18"/>
                <w:lang w:val="en-US"/>
              </w:rPr>
              <w:t xml:space="preserve">) </w:t>
            </w:r>
            <w:r w:rsidRPr="00267A6B">
              <w:rPr>
                <w:sz w:val="18"/>
                <w:szCs w:val="18"/>
                <w:lang w:val="en-US"/>
              </w:rPr>
              <w:fldChar w:fldCharType="begin"/>
            </w:r>
            <w:r w:rsidR="00550743">
              <w:rPr>
                <w:sz w:val="18"/>
                <w:szCs w:val="18"/>
                <w:lang w:val="en-US"/>
              </w:rPr>
              <w:instrText xml:space="preserve"> ADDIN ZOTERO_ITEM CSL_CITATION {"citationID":"WqdX55G4","properties":{"formattedCitation":"(10,11)","plainCitation":"(10,11)","noteIndex":0},"citationItems":[{"id":31933,"uris":["http://zotero.org/users/2689656/items/CDV2HI22"],"uri":["http://zotero.org/users/2689656/items/CDV2HI22"],"itemData":{"id":31933,"type":"article-journal","title":"Synergism between tumor necrosis factor alpha and interleukin-17 to induce IL-23 p19 expression in fibroblast-like synoviocytes","container-title":"Molecular Immunology","page":"1854-1859","volume":"46","issue":"8","source":"ScienceDirect","abstract":"In order to determine the mechanisms by which a chronic inflammatory network can be maintained in the arthritic joint, we examined whether fibroblast-like synoviocytes (FLS) could provide feedback signals after their stimulation by inflammatory cytokines. FLS and dermal fibroblasts (DF) were derived from rheumatoid arthritis (RA), osteoarthritis (OA) and post-trauma patients. These two cell types were then stimulated with 10 nanogram/ml of TNFα, IL-1β and IL-17 alone or in combination treatments. Specific mRNA expression of IL-23 p19 was quantitated by real-time PCR and its protein by immunoprecipitation. A striking specific synergistic induction of IL-23 p19 versus IL-12 p35 mRNA expression was noted after stimulation with IL-17 and TNFα in FLS, and to a lesser degree in DF (p&lt;0.043). This synergistic response was composed of an initial priming step by IL-17, thus making FLS hyperresponsive to TNFα-mediated stimulation. In contrast, IL-1β mediated induction of IL-23 p19 expression was cell-specific. Induction of IL-23 p19 expression by IL-1β was present in FLS but almost absent in the DF derived from the same patients. Furthermore, IL-1β did not synergize with IL-17 to induce IL-23 p19 expression. Immunoprecipitation of FLS cellular lysates after stimulation with IL-17 and TNFα detected p19 protein and this was enhanced by the addition of IL-1β. However, no co-immunoprecipitation of the p40 subunit of IL-23 was noted from the same cells. Thus, FLS are potently regulated by inflammatory cytokines to specifically express IL-23 p19. Additional byproducts of the inflammatory milieu may be required for the generation and secretion of bioactive IL-23.","DOI":"10.1016/j.molimm.2009.01.004","ISSN":"0161-5890","journalAbbreviation":"Molecular Immunology","author":[{"family":"Goldberg","given":"Michael"},{"family":"Nadiv","given":"Orna"},{"family":"Luknar-Gabor","given":"Noemi"},{"family":"Agar","given":"Gabriel"},{"family":"Beer","given":"Yiftah"},{"family":"Katz","given":"Yitzhak"}],"issued":{"date-parts":[["2009",5,1]]}},"label":"page"},{"id":31930,"uris":["http://zotero.org/users/2689656/items/DA9WBAB3"],"uri":["http://zotero.org/users/2689656/items/DA9WBAB3"],"itemData":{"id":31930,"type":"article-journal","title":"IFN-γ and TNF-α synergism may provide a link between psoriasis and inflammatory atherogenesis","container-title":"Scientific Reports","page":"13831","volume":"7","issue":"1","source":"www.nature.com","abstract":"Chronic inflammation is a critical component of atherogenesis, however, reliable human translational models aimed at characterizing these mechanisms are lacking. Psoriasis, a chronic inflammatory skin disease associated with increased susceptibility to atherosclerosis, provides a clinical human model that can be utilized to investigate the links between chronic inflammation and atherosclerosis development. We sought to investigate key biological processes in psoriasis skin and human vascular tissue to identify biological components that may promote atherosclerosis in chronic inflammatory conditions. Using a bioinformatics approach of human skin and vascular tissue, we determined IFN-γ and TNF-α are the dominant pro-inflammatory signals linking atherosclerosis and psoriasis. We then stimulated primary aortic endothelial cells and ex-vivo atherosclerotic tissue with IFN-γ and TNF-α and found they synergistically increased monocyte and T-cell chemoattractants, expression of adhesion molecules on the endothelial cell surface, and decreased endothelial barrier integrity in vitro, therefore increasing permeability. Our data provide strong evidence of synergism between IFN-γ and TNF- α in inflammatory atherogenesis and provide rationale for dual cytokine antagonism in future studies.","DOI":"10.1038/s41598-017-14365-1","ISSN":"2045-2322","language":"En","author":[{"family":"Mehta","given":"Nehal N."},{"family":"Teague","given":"Heather L."},{"family":"Swindell","given":"William R."},{"family":"Baumer","given":"Yvonne"},{"family":"Ward","given":"Nicole L."},{"family":"Xing","given":"Xianying"},{"family":"Baugous","given":"Brooke"},{"family":"Johnston","given":"Andrew"},{"family":"Joshi","given":"Aditya A."},{"family":"Silverman","given":"Joanna"},{"family":"Barnes","given":"Drew H."},{"family":"Wolterink","given":"Liza"},{"family":"Nair","given":"Rajan P."},{"family":"Stuart","given":"Philip E."},{"family":"Playford","given":"Martin"},{"family":"Voorhees","given":"John J."},{"family":"Sarkar","given":"Mrinal K."},{"family":"Elder","given":"James T."},{"family":"Gallagher","given":"Katherine"},{"family":"Ganesh","given":"Santhi K."},{"family":"Gudjonsson","given":"Johann E."}],"issued":{"date-parts":[["2017",10,23]]}},"label":"page"}],"schema":"https://github.com/citation-style-language/schema/raw/master/csl-citation.json"} </w:instrText>
            </w:r>
            <w:r w:rsidRPr="00267A6B">
              <w:rPr>
                <w:sz w:val="18"/>
                <w:szCs w:val="18"/>
                <w:lang w:val="en-US"/>
              </w:rPr>
              <w:fldChar w:fldCharType="separate"/>
            </w:r>
            <w:r w:rsidR="00550743" w:rsidRPr="00550743">
              <w:rPr>
                <w:rFonts w:ascii="Calibri" w:hAnsi="Calibri" w:cs="Calibri"/>
                <w:sz w:val="18"/>
                <w:lang w:val="en-US"/>
              </w:rPr>
              <w:t>(10,11)</w:t>
            </w:r>
            <w:r w:rsidRPr="00267A6B">
              <w:rPr>
                <w:sz w:val="18"/>
                <w:szCs w:val="18"/>
                <w:lang w:val="en-US"/>
              </w:rPr>
              <w:fldChar w:fldCharType="end"/>
            </w:r>
          </w:p>
        </w:tc>
      </w:tr>
      <w:tr w:rsidR="00563DC2" w:rsidRPr="00550743" w:rsidTr="004352E9">
        <w:tc>
          <w:tcPr>
            <w:tcW w:w="1491" w:type="dxa"/>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Biologic</w:t>
            </w:r>
          </w:p>
        </w:tc>
        <w:tc>
          <w:tcPr>
            <w:tcW w:w="3324" w:type="dxa"/>
            <w:gridSpan w:val="2"/>
            <w:shd w:val="clear" w:color="auto" w:fill="F2F2F2" w:themeFill="background1" w:themeFillShade="F2"/>
          </w:tcPr>
          <w:p w:rsidR="00563DC2" w:rsidRPr="00267A6B" w:rsidRDefault="00563DC2" w:rsidP="004352E9">
            <w:pPr>
              <w:rPr>
                <w:sz w:val="18"/>
                <w:szCs w:val="18"/>
                <w:lang w:val="en-US"/>
              </w:rPr>
            </w:pPr>
            <w:r w:rsidRPr="00267A6B">
              <w:rPr>
                <w:sz w:val="18"/>
                <w:szCs w:val="18"/>
                <w:lang w:val="en-US"/>
              </w:rPr>
              <w:t>Type</w:t>
            </w:r>
          </w:p>
        </w:tc>
        <w:tc>
          <w:tcPr>
            <w:tcW w:w="4819" w:type="dxa"/>
            <w:gridSpan w:val="2"/>
            <w:shd w:val="clear" w:color="auto" w:fill="F2F2F2" w:themeFill="background1" w:themeFillShade="F2"/>
          </w:tcPr>
          <w:p w:rsidR="00563DC2" w:rsidRPr="00267A6B" w:rsidRDefault="00563DC2" w:rsidP="004352E9">
            <w:pPr>
              <w:rPr>
                <w:sz w:val="18"/>
                <w:szCs w:val="18"/>
                <w:lang w:val="en-US"/>
              </w:rPr>
            </w:pPr>
            <w:r w:rsidRPr="00267A6B">
              <w:rPr>
                <w:sz w:val="18"/>
                <w:szCs w:val="18"/>
                <w:lang w:val="en-US"/>
              </w:rPr>
              <w:t>Differences between biologics</w:t>
            </w:r>
          </w:p>
        </w:tc>
      </w:tr>
      <w:tr w:rsidR="00563DC2" w:rsidRPr="00550743" w:rsidTr="004352E9">
        <w:tc>
          <w:tcPr>
            <w:tcW w:w="1491" w:type="dxa"/>
          </w:tcPr>
          <w:p w:rsidR="00563DC2" w:rsidRPr="004352E9" w:rsidRDefault="00563DC2" w:rsidP="004352E9">
            <w:pPr>
              <w:rPr>
                <w:sz w:val="18"/>
                <w:szCs w:val="18"/>
                <w:lang w:val="en-US"/>
              </w:rPr>
            </w:pPr>
            <w:r w:rsidRPr="004352E9">
              <w:rPr>
                <w:sz w:val="18"/>
                <w:szCs w:val="18"/>
                <w:lang w:val="en-US"/>
              </w:rPr>
              <w:t>Adalimumab</w:t>
            </w:r>
          </w:p>
        </w:tc>
        <w:tc>
          <w:tcPr>
            <w:tcW w:w="3324" w:type="dxa"/>
            <w:gridSpan w:val="2"/>
            <w:vMerge w:val="restart"/>
          </w:tcPr>
          <w:p w:rsidR="00563DC2" w:rsidRPr="00267A6B" w:rsidRDefault="00563DC2" w:rsidP="004352E9">
            <w:pPr>
              <w:rPr>
                <w:sz w:val="18"/>
                <w:szCs w:val="18"/>
                <w:lang w:val="en-US"/>
              </w:rPr>
            </w:pPr>
            <w:proofErr w:type="spellStart"/>
            <w:r w:rsidRPr="00267A6B">
              <w:rPr>
                <w:sz w:val="18"/>
                <w:szCs w:val="18"/>
                <w:lang w:val="en-US"/>
              </w:rPr>
              <w:t>MoAb</w:t>
            </w:r>
            <w:proofErr w:type="spellEnd"/>
            <w:r w:rsidRPr="00267A6B" w:rsidDel="002F0572">
              <w:rPr>
                <w:sz w:val="18"/>
                <w:szCs w:val="18"/>
                <w:lang w:val="en-US"/>
              </w:rPr>
              <w:t xml:space="preserve"> </w:t>
            </w:r>
            <w:r w:rsidRPr="00267A6B">
              <w:rPr>
                <w:sz w:val="18"/>
                <w:szCs w:val="18"/>
                <w:lang w:val="en-US"/>
              </w:rPr>
              <w:t>against TNF-α</w:t>
            </w:r>
          </w:p>
          <w:p w:rsidR="00563DC2" w:rsidRPr="00267A6B" w:rsidRDefault="00563DC2" w:rsidP="004352E9">
            <w:pPr>
              <w:rPr>
                <w:sz w:val="18"/>
                <w:szCs w:val="18"/>
                <w:lang w:val="en-US"/>
              </w:rPr>
            </w:pPr>
          </w:p>
        </w:tc>
        <w:tc>
          <w:tcPr>
            <w:tcW w:w="4819" w:type="dxa"/>
            <w:gridSpan w:val="2"/>
            <w:vMerge w:val="restart"/>
          </w:tcPr>
          <w:p w:rsidR="00563DC2" w:rsidRPr="00267A6B" w:rsidRDefault="00563DC2" w:rsidP="004352E9">
            <w:pPr>
              <w:rPr>
                <w:sz w:val="18"/>
                <w:szCs w:val="18"/>
                <w:lang w:val="en-US"/>
              </w:rPr>
            </w:pPr>
            <w:r w:rsidRPr="00267A6B">
              <w:rPr>
                <w:sz w:val="18"/>
                <w:szCs w:val="18"/>
                <w:lang w:val="en-US"/>
              </w:rPr>
              <w:t xml:space="preserve">- Most data are available for adalimumab and etanercept. </w:t>
            </w:r>
          </w:p>
          <w:p w:rsidR="00563DC2" w:rsidRPr="00267A6B" w:rsidRDefault="00563DC2" w:rsidP="004352E9">
            <w:pPr>
              <w:rPr>
                <w:sz w:val="18"/>
                <w:szCs w:val="18"/>
                <w:lang w:val="en-US"/>
              </w:rPr>
            </w:pPr>
            <w:r w:rsidRPr="00267A6B">
              <w:rPr>
                <w:sz w:val="18"/>
                <w:szCs w:val="18"/>
                <w:lang w:val="en-US"/>
              </w:rPr>
              <w:t xml:space="preserve">- The lack of an Fc-region in certolizumab pegol minimizes complement and antibody dependent cell-mediated cytotoxicity and active transfer over the placenta </w:t>
            </w:r>
            <w:r w:rsidRPr="00267A6B">
              <w:rPr>
                <w:sz w:val="18"/>
                <w:szCs w:val="18"/>
                <w:lang w:val="en-US"/>
              </w:rPr>
              <w:fldChar w:fldCharType="begin"/>
            </w:r>
            <w:r w:rsidR="00550743">
              <w:rPr>
                <w:sz w:val="18"/>
                <w:szCs w:val="18"/>
                <w:lang w:val="en-US"/>
              </w:rPr>
              <w:instrText xml:space="preserve"> ADDIN ZOTERO_ITEM CSL_CITATION {"citationID":"xZ0T0zAG","properties":{"formattedCitation":"(12)","plainCitation":"(12)","noteIndex":0},"citationItems":[{"id":31825,"uris":["http://zotero.org/users/2689656/items/VWA4LQEB"],"uri":["http://zotero.org/users/2689656/items/VWA4LQEB"],"itemData":{"id":31825,"type":"article-journal","title":"Certolizumab pegol","container-title":"mAbs","page":"137-147","volume":"2","issue":"2","source":"PubMed Central","abstract":"Certolizumab pegol (Cimzia®) is currently the only PEGylated anti-TNFα biologic approved for the treatment of rheumatoid arthritis and Crohn disease. The product, developed by UCB, is a humanized antigen-binding fragment (Fab’) of a monoclonal antibody that has been conjugated to polyethylene glycol. Certolizumab pegol was approved as a treatment for rheumatoid arthritis in the EU, US and Canada in 2009, and as a treatment for Crohn disease in Switzerland in 2007 and the US in 2008. Certolizumab pegol is entering into an increasingly competitive marketplace, especially in rheumatoid arthritis, but clinical data demonstrate benefits across a range of clinical, radiographic and patient reported outcomes.","ISSN":"1942-0862","note":"PMID: 20190560\nPMCID: PMC2840232","journalAbbreviation":"MAbs","author":[{"family":"Goel","given":"Niti"},{"family":"Stephens","given":"Sue"}],"issued":{"date-parts":[["2010"]]}}}],"schema":"https://github.com/citation-style-language/schema/raw/master/csl-citation.json"} </w:instrText>
            </w:r>
            <w:r w:rsidRPr="00267A6B">
              <w:rPr>
                <w:sz w:val="18"/>
                <w:szCs w:val="18"/>
                <w:lang w:val="en-US"/>
              </w:rPr>
              <w:fldChar w:fldCharType="separate"/>
            </w:r>
            <w:r w:rsidR="00550743" w:rsidRPr="00550743">
              <w:rPr>
                <w:rFonts w:ascii="Calibri" w:hAnsi="Calibri" w:cs="Calibri"/>
                <w:sz w:val="18"/>
                <w:lang w:val="en-US"/>
              </w:rPr>
              <w:t>(12)</w:t>
            </w:r>
            <w:r w:rsidRPr="00267A6B">
              <w:rPr>
                <w:sz w:val="18"/>
                <w:szCs w:val="18"/>
                <w:lang w:val="en-US"/>
              </w:rPr>
              <w:fldChar w:fldCharType="end"/>
            </w:r>
          </w:p>
          <w:p w:rsidR="00563DC2" w:rsidRPr="00267A6B" w:rsidRDefault="00563DC2" w:rsidP="004352E9">
            <w:pPr>
              <w:rPr>
                <w:sz w:val="18"/>
                <w:szCs w:val="18"/>
                <w:lang w:val="en-US"/>
              </w:rPr>
            </w:pPr>
            <w:r w:rsidRPr="00267A6B">
              <w:rPr>
                <w:sz w:val="18"/>
                <w:szCs w:val="18"/>
                <w:lang w:val="en-US"/>
              </w:rPr>
              <w:t>- Infliximab is administered intravenously (&gt;</w:t>
            </w:r>
            <w:r w:rsidR="0065591F">
              <w:rPr>
                <w:sz w:val="18"/>
                <w:szCs w:val="18"/>
                <w:lang w:val="en-US"/>
              </w:rPr>
              <w:t>&lt;</w:t>
            </w:r>
            <w:r w:rsidRPr="00267A6B">
              <w:rPr>
                <w:sz w:val="18"/>
                <w:szCs w:val="18"/>
                <w:lang w:val="en-US"/>
              </w:rPr>
              <w:t xml:space="preserve"> subcutaneous</w:t>
            </w:r>
            <w:r w:rsidR="0065591F">
              <w:rPr>
                <w:sz w:val="18"/>
                <w:szCs w:val="18"/>
                <w:lang w:val="en-US"/>
              </w:rPr>
              <w:t>ly</w:t>
            </w:r>
            <w:r w:rsidRPr="00267A6B">
              <w:rPr>
                <w:sz w:val="18"/>
                <w:szCs w:val="18"/>
                <w:lang w:val="en-US"/>
              </w:rPr>
              <w:t xml:space="preserve">) and </w:t>
            </w:r>
            <w:r w:rsidR="0065591F">
              <w:rPr>
                <w:sz w:val="18"/>
                <w:szCs w:val="18"/>
                <w:lang w:val="en-US"/>
              </w:rPr>
              <w:t xml:space="preserve">is </w:t>
            </w:r>
            <w:r w:rsidRPr="00267A6B">
              <w:rPr>
                <w:sz w:val="18"/>
                <w:szCs w:val="18"/>
                <w:lang w:val="en-US"/>
              </w:rPr>
              <w:t>less frequently used in dermatology.</w:t>
            </w:r>
          </w:p>
        </w:tc>
      </w:tr>
      <w:tr w:rsidR="00563DC2" w:rsidRPr="004352E9" w:rsidTr="004352E9">
        <w:trPr>
          <w:trHeight w:val="277"/>
        </w:trPr>
        <w:tc>
          <w:tcPr>
            <w:tcW w:w="1491" w:type="dxa"/>
          </w:tcPr>
          <w:p w:rsidR="00563DC2" w:rsidRPr="004352E9" w:rsidRDefault="00563DC2" w:rsidP="004352E9">
            <w:pPr>
              <w:rPr>
                <w:sz w:val="18"/>
                <w:szCs w:val="18"/>
                <w:lang w:val="en-US"/>
              </w:rPr>
            </w:pPr>
            <w:bookmarkStart w:id="1" w:name="_Hlk12708419"/>
            <w:r w:rsidRPr="004352E9">
              <w:rPr>
                <w:sz w:val="18"/>
                <w:szCs w:val="18"/>
                <w:lang w:val="en-US"/>
              </w:rPr>
              <w:t>Infliximab</w:t>
            </w:r>
          </w:p>
        </w:tc>
        <w:tc>
          <w:tcPr>
            <w:tcW w:w="3324" w:type="dxa"/>
            <w:gridSpan w:val="2"/>
            <w:vMerge/>
          </w:tcPr>
          <w:p w:rsidR="00563DC2" w:rsidRPr="00267A6B" w:rsidRDefault="00563DC2" w:rsidP="004352E9">
            <w:pPr>
              <w:rPr>
                <w:sz w:val="18"/>
                <w:szCs w:val="18"/>
                <w:lang w:val="en-US"/>
              </w:rPr>
            </w:pPr>
          </w:p>
        </w:tc>
        <w:tc>
          <w:tcPr>
            <w:tcW w:w="4819" w:type="dxa"/>
            <w:gridSpan w:val="2"/>
            <w:vMerge/>
          </w:tcPr>
          <w:p w:rsidR="00563DC2" w:rsidRPr="00267A6B" w:rsidRDefault="00563DC2" w:rsidP="004352E9">
            <w:pPr>
              <w:rPr>
                <w:sz w:val="18"/>
                <w:szCs w:val="18"/>
                <w:lang w:val="en-US"/>
              </w:rPr>
            </w:pPr>
          </w:p>
        </w:tc>
      </w:tr>
      <w:bookmarkEnd w:id="1"/>
      <w:tr w:rsidR="00563DC2" w:rsidRPr="00550743" w:rsidTr="004352E9">
        <w:tc>
          <w:tcPr>
            <w:tcW w:w="1491" w:type="dxa"/>
          </w:tcPr>
          <w:p w:rsidR="00563DC2" w:rsidRPr="004352E9" w:rsidRDefault="00563DC2" w:rsidP="004352E9">
            <w:pPr>
              <w:rPr>
                <w:sz w:val="18"/>
                <w:szCs w:val="18"/>
                <w:lang w:val="en-US"/>
              </w:rPr>
            </w:pPr>
            <w:r w:rsidRPr="004352E9">
              <w:rPr>
                <w:sz w:val="18"/>
                <w:szCs w:val="18"/>
                <w:lang w:val="en-US"/>
              </w:rPr>
              <w:t>Certolizumab Pegol</w:t>
            </w:r>
          </w:p>
        </w:tc>
        <w:tc>
          <w:tcPr>
            <w:tcW w:w="3324" w:type="dxa"/>
            <w:gridSpan w:val="2"/>
          </w:tcPr>
          <w:p w:rsidR="00563DC2" w:rsidRPr="00267A6B" w:rsidRDefault="00563DC2" w:rsidP="004352E9">
            <w:pPr>
              <w:rPr>
                <w:sz w:val="18"/>
                <w:szCs w:val="18"/>
                <w:lang w:val="en-US"/>
              </w:rPr>
            </w:pPr>
            <w:proofErr w:type="spellStart"/>
            <w:r w:rsidRPr="00267A6B">
              <w:rPr>
                <w:sz w:val="18"/>
                <w:szCs w:val="18"/>
                <w:lang w:val="en-US"/>
              </w:rPr>
              <w:t>MoAb</w:t>
            </w:r>
            <w:proofErr w:type="spellEnd"/>
            <w:r w:rsidRPr="00267A6B">
              <w:rPr>
                <w:sz w:val="18"/>
                <w:szCs w:val="18"/>
                <w:lang w:val="en-US"/>
              </w:rPr>
              <w:t>, Fc-free, PEGylated, against TNF-α</w:t>
            </w:r>
          </w:p>
        </w:tc>
        <w:tc>
          <w:tcPr>
            <w:tcW w:w="4819" w:type="dxa"/>
            <w:gridSpan w:val="2"/>
            <w:vMerge/>
          </w:tcPr>
          <w:p w:rsidR="00563DC2" w:rsidRPr="00267A6B" w:rsidRDefault="00563DC2" w:rsidP="004352E9">
            <w:pPr>
              <w:rPr>
                <w:sz w:val="18"/>
                <w:szCs w:val="18"/>
                <w:lang w:val="en-US"/>
              </w:rPr>
            </w:pPr>
          </w:p>
        </w:tc>
      </w:tr>
      <w:tr w:rsidR="00563DC2" w:rsidRPr="00550743" w:rsidTr="004352E9">
        <w:tc>
          <w:tcPr>
            <w:tcW w:w="1491" w:type="dxa"/>
          </w:tcPr>
          <w:p w:rsidR="00563DC2" w:rsidRPr="004352E9" w:rsidRDefault="00563DC2" w:rsidP="004352E9">
            <w:pPr>
              <w:rPr>
                <w:sz w:val="18"/>
                <w:szCs w:val="18"/>
                <w:lang w:val="en-US"/>
              </w:rPr>
            </w:pPr>
            <w:r w:rsidRPr="004352E9">
              <w:rPr>
                <w:sz w:val="18"/>
                <w:szCs w:val="18"/>
                <w:lang w:val="en-US"/>
              </w:rPr>
              <w:t>Etanercept</w:t>
            </w:r>
          </w:p>
        </w:tc>
        <w:tc>
          <w:tcPr>
            <w:tcW w:w="3324" w:type="dxa"/>
            <w:gridSpan w:val="2"/>
          </w:tcPr>
          <w:p w:rsidR="00563DC2" w:rsidRPr="00267A6B" w:rsidRDefault="00563DC2" w:rsidP="004352E9">
            <w:pPr>
              <w:rPr>
                <w:rFonts w:cstheme="minorHAnsi"/>
                <w:sz w:val="18"/>
                <w:szCs w:val="18"/>
                <w:lang w:val="en-US"/>
              </w:rPr>
            </w:pPr>
            <w:r w:rsidRPr="00267A6B">
              <w:rPr>
                <w:rFonts w:cstheme="minorHAnsi"/>
                <w:color w:val="192027"/>
                <w:sz w:val="18"/>
                <w:szCs w:val="18"/>
                <w:shd w:val="clear" w:color="auto" w:fill="FFFFFF"/>
                <w:lang w:val="en-US"/>
              </w:rPr>
              <w:t>TNF receptor linked to the Fc portion of human IgG1</w:t>
            </w:r>
          </w:p>
        </w:tc>
        <w:tc>
          <w:tcPr>
            <w:tcW w:w="4819" w:type="dxa"/>
            <w:gridSpan w:val="2"/>
            <w:vMerge/>
          </w:tcPr>
          <w:p w:rsidR="00563DC2" w:rsidRPr="00267A6B" w:rsidRDefault="00563DC2" w:rsidP="004352E9">
            <w:pPr>
              <w:rPr>
                <w:sz w:val="18"/>
                <w:szCs w:val="18"/>
                <w:lang w:val="en-US"/>
              </w:rPr>
            </w:pPr>
          </w:p>
        </w:tc>
      </w:tr>
      <w:tr w:rsidR="00563DC2" w:rsidRPr="004352E9" w:rsidTr="004352E9">
        <w:tc>
          <w:tcPr>
            <w:tcW w:w="9634" w:type="dxa"/>
            <w:gridSpan w:val="5"/>
            <w:shd w:val="clear" w:color="auto" w:fill="000000" w:themeFill="text1"/>
          </w:tcPr>
          <w:p w:rsidR="00563DC2" w:rsidRPr="00267A6B" w:rsidRDefault="00563DC2" w:rsidP="004352E9">
            <w:pPr>
              <w:rPr>
                <w:b/>
                <w:sz w:val="18"/>
                <w:szCs w:val="18"/>
                <w:lang w:val="en-US"/>
              </w:rPr>
            </w:pPr>
            <w:proofErr w:type="spellStart"/>
            <w:r w:rsidRPr="00267A6B">
              <w:rPr>
                <w:b/>
                <w:sz w:val="18"/>
                <w:szCs w:val="18"/>
                <w:lang w:val="en-US"/>
              </w:rPr>
              <w:t>IgE</w:t>
            </w:r>
            <w:proofErr w:type="spellEnd"/>
          </w:p>
        </w:tc>
      </w:tr>
      <w:tr w:rsidR="00563DC2" w:rsidRPr="004352E9" w:rsidTr="004352E9">
        <w:tc>
          <w:tcPr>
            <w:tcW w:w="2972" w:type="dxa"/>
            <w:gridSpan w:val="2"/>
            <w:shd w:val="clear" w:color="auto" w:fill="BFBFBF" w:themeFill="background1" w:themeFillShade="BF"/>
          </w:tcPr>
          <w:p w:rsidR="00563DC2" w:rsidRPr="004352E9" w:rsidRDefault="00563DC2" w:rsidP="004352E9">
            <w:pPr>
              <w:rPr>
                <w:b/>
                <w:sz w:val="18"/>
                <w:szCs w:val="18"/>
                <w:lang w:val="en-US"/>
              </w:rPr>
            </w:pPr>
            <w:r w:rsidRPr="004352E9">
              <w:rPr>
                <w:b/>
                <w:sz w:val="18"/>
                <w:szCs w:val="18"/>
                <w:lang w:val="en-US"/>
              </w:rPr>
              <w:t>Role in health</w:t>
            </w:r>
          </w:p>
        </w:tc>
        <w:tc>
          <w:tcPr>
            <w:tcW w:w="2693" w:type="dxa"/>
            <w:gridSpan w:val="2"/>
            <w:shd w:val="clear" w:color="auto" w:fill="BFBFBF" w:themeFill="background1" w:themeFillShade="BF"/>
          </w:tcPr>
          <w:p w:rsidR="00563DC2" w:rsidRPr="00267A6B" w:rsidRDefault="00563DC2" w:rsidP="004352E9">
            <w:pPr>
              <w:rPr>
                <w:b/>
                <w:sz w:val="18"/>
                <w:szCs w:val="18"/>
                <w:lang w:val="en-US"/>
              </w:rPr>
            </w:pPr>
            <w:r w:rsidRPr="00267A6B">
              <w:rPr>
                <w:b/>
                <w:sz w:val="18"/>
                <w:szCs w:val="18"/>
                <w:lang w:val="en-US"/>
              </w:rPr>
              <w:t>Role in skin disease</w:t>
            </w:r>
          </w:p>
        </w:tc>
        <w:tc>
          <w:tcPr>
            <w:tcW w:w="3969" w:type="dxa"/>
            <w:shd w:val="clear" w:color="auto" w:fill="BFBFBF" w:themeFill="background1" w:themeFillShade="BF"/>
          </w:tcPr>
          <w:p w:rsidR="00563DC2" w:rsidRPr="00267A6B" w:rsidRDefault="00563DC2" w:rsidP="004352E9">
            <w:pPr>
              <w:rPr>
                <w:b/>
                <w:sz w:val="18"/>
                <w:szCs w:val="18"/>
                <w:lang w:val="en-US"/>
              </w:rPr>
            </w:pPr>
            <w:r w:rsidRPr="00267A6B">
              <w:rPr>
                <w:b/>
                <w:sz w:val="18"/>
                <w:szCs w:val="18"/>
                <w:lang w:val="en-US"/>
              </w:rPr>
              <w:t>Immunological effects</w:t>
            </w:r>
          </w:p>
        </w:tc>
      </w:tr>
      <w:tr w:rsidR="00563DC2" w:rsidRPr="00550743" w:rsidTr="004352E9">
        <w:tc>
          <w:tcPr>
            <w:tcW w:w="2972" w:type="dxa"/>
            <w:gridSpan w:val="2"/>
            <w:shd w:val="clear" w:color="auto" w:fill="auto"/>
          </w:tcPr>
          <w:p w:rsidR="00563DC2" w:rsidRPr="004352E9" w:rsidRDefault="00563DC2" w:rsidP="004352E9">
            <w:pPr>
              <w:rPr>
                <w:sz w:val="18"/>
                <w:szCs w:val="18"/>
                <w:lang w:val="en-US"/>
              </w:rPr>
            </w:pPr>
            <w:r w:rsidRPr="004352E9">
              <w:rPr>
                <w:sz w:val="18"/>
                <w:szCs w:val="18"/>
                <w:lang w:val="en-US"/>
              </w:rPr>
              <w:t xml:space="preserve">- Eradication of </w:t>
            </w:r>
            <w:r>
              <w:rPr>
                <w:sz w:val="18"/>
                <w:szCs w:val="18"/>
                <w:lang w:val="en-US"/>
              </w:rPr>
              <w:t>parasitic infections</w:t>
            </w:r>
          </w:p>
        </w:tc>
        <w:tc>
          <w:tcPr>
            <w:tcW w:w="2693" w:type="dxa"/>
            <w:gridSpan w:val="2"/>
            <w:shd w:val="clear" w:color="auto" w:fill="auto"/>
          </w:tcPr>
          <w:p w:rsidR="00563DC2" w:rsidRPr="00267A6B" w:rsidRDefault="00563DC2" w:rsidP="004352E9">
            <w:pPr>
              <w:rPr>
                <w:sz w:val="18"/>
                <w:szCs w:val="18"/>
                <w:lang w:val="en-US"/>
              </w:rPr>
            </w:pPr>
            <w:r w:rsidRPr="00267A6B">
              <w:rPr>
                <w:sz w:val="18"/>
                <w:szCs w:val="18"/>
                <w:lang w:val="en-US"/>
              </w:rPr>
              <w:t>- Allergy and urticaria</w:t>
            </w:r>
          </w:p>
          <w:p w:rsidR="00563DC2" w:rsidRPr="00267A6B" w:rsidRDefault="00563DC2" w:rsidP="004352E9">
            <w:pPr>
              <w:rPr>
                <w:sz w:val="18"/>
                <w:szCs w:val="18"/>
                <w:lang w:val="en-US"/>
              </w:rPr>
            </w:pPr>
            <w:r w:rsidRPr="00267A6B">
              <w:rPr>
                <w:sz w:val="18"/>
                <w:szCs w:val="18"/>
                <w:lang w:val="en-US"/>
              </w:rPr>
              <w:t>- Bullous pemphigoid</w:t>
            </w:r>
          </w:p>
        </w:tc>
        <w:tc>
          <w:tcPr>
            <w:tcW w:w="3969" w:type="dxa"/>
            <w:shd w:val="clear" w:color="auto" w:fill="auto"/>
          </w:tcPr>
          <w:p w:rsidR="00563DC2" w:rsidRPr="00267A6B" w:rsidRDefault="00563DC2" w:rsidP="004352E9">
            <w:pPr>
              <w:rPr>
                <w:sz w:val="18"/>
                <w:szCs w:val="18"/>
                <w:lang w:val="en-US"/>
              </w:rPr>
            </w:pPr>
            <w:r w:rsidRPr="00267A6B">
              <w:rPr>
                <w:sz w:val="18"/>
                <w:szCs w:val="18"/>
                <w:lang w:val="en-US"/>
              </w:rPr>
              <w:t>- Mast cell degranulation</w:t>
            </w:r>
          </w:p>
          <w:p w:rsidR="00563DC2" w:rsidRPr="00267A6B" w:rsidRDefault="00563DC2" w:rsidP="004352E9">
            <w:pPr>
              <w:rPr>
                <w:b/>
                <w:sz w:val="18"/>
                <w:szCs w:val="18"/>
                <w:lang w:val="en-US"/>
              </w:rPr>
            </w:pPr>
            <w:r w:rsidRPr="00267A6B">
              <w:rPr>
                <w:sz w:val="18"/>
                <w:szCs w:val="18"/>
                <w:lang w:val="en-US"/>
              </w:rPr>
              <w:t>- Eosinophil chemotaxis</w:t>
            </w:r>
          </w:p>
        </w:tc>
      </w:tr>
      <w:tr w:rsidR="00563DC2" w:rsidRPr="004352E9" w:rsidTr="004352E9">
        <w:tc>
          <w:tcPr>
            <w:tcW w:w="1491" w:type="dxa"/>
            <w:shd w:val="clear" w:color="auto" w:fill="F2F2F2" w:themeFill="background1" w:themeFillShade="F2"/>
          </w:tcPr>
          <w:p w:rsidR="00563DC2" w:rsidRPr="004352E9" w:rsidRDefault="00563DC2" w:rsidP="004352E9">
            <w:pPr>
              <w:rPr>
                <w:sz w:val="18"/>
                <w:szCs w:val="18"/>
                <w:lang w:val="en-US"/>
              </w:rPr>
            </w:pPr>
            <w:r w:rsidRPr="004352E9">
              <w:rPr>
                <w:sz w:val="18"/>
                <w:szCs w:val="18"/>
                <w:lang w:val="en-US"/>
              </w:rPr>
              <w:t>Biologic</w:t>
            </w:r>
          </w:p>
        </w:tc>
        <w:tc>
          <w:tcPr>
            <w:tcW w:w="3324" w:type="dxa"/>
            <w:gridSpan w:val="2"/>
            <w:shd w:val="clear" w:color="auto" w:fill="F2F2F2" w:themeFill="background1" w:themeFillShade="F2"/>
          </w:tcPr>
          <w:p w:rsidR="00563DC2" w:rsidRPr="00267A6B" w:rsidRDefault="00563DC2" w:rsidP="004352E9">
            <w:pPr>
              <w:rPr>
                <w:sz w:val="18"/>
                <w:szCs w:val="18"/>
                <w:lang w:val="en-US"/>
              </w:rPr>
            </w:pPr>
            <w:r w:rsidRPr="00267A6B">
              <w:rPr>
                <w:sz w:val="18"/>
                <w:szCs w:val="18"/>
                <w:lang w:val="en-US"/>
              </w:rPr>
              <w:t>Type</w:t>
            </w:r>
          </w:p>
        </w:tc>
        <w:tc>
          <w:tcPr>
            <w:tcW w:w="4819" w:type="dxa"/>
            <w:gridSpan w:val="2"/>
            <w:shd w:val="clear" w:color="auto" w:fill="F2F2F2" w:themeFill="background1" w:themeFillShade="F2"/>
          </w:tcPr>
          <w:p w:rsidR="00563DC2" w:rsidRPr="00267A6B" w:rsidRDefault="00563DC2" w:rsidP="004352E9">
            <w:pPr>
              <w:rPr>
                <w:sz w:val="18"/>
                <w:szCs w:val="18"/>
                <w:lang w:val="en-US"/>
              </w:rPr>
            </w:pPr>
            <w:r w:rsidRPr="00267A6B">
              <w:rPr>
                <w:sz w:val="18"/>
                <w:szCs w:val="18"/>
                <w:lang w:val="en-US"/>
              </w:rPr>
              <w:t>Differences between biologics</w:t>
            </w:r>
          </w:p>
        </w:tc>
      </w:tr>
      <w:tr w:rsidR="00563DC2" w:rsidRPr="00550743" w:rsidTr="004352E9">
        <w:tc>
          <w:tcPr>
            <w:tcW w:w="1491" w:type="dxa"/>
          </w:tcPr>
          <w:p w:rsidR="00563DC2" w:rsidRPr="004352E9" w:rsidRDefault="00563DC2" w:rsidP="004352E9">
            <w:pPr>
              <w:rPr>
                <w:sz w:val="18"/>
                <w:szCs w:val="18"/>
                <w:lang w:val="en-US"/>
              </w:rPr>
            </w:pPr>
            <w:r w:rsidRPr="004352E9">
              <w:rPr>
                <w:sz w:val="18"/>
                <w:szCs w:val="18"/>
                <w:lang w:val="en-US"/>
              </w:rPr>
              <w:t>Omalizumab</w:t>
            </w:r>
          </w:p>
        </w:tc>
        <w:tc>
          <w:tcPr>
            <w:tcW w:w="3324" w:type="dxa"/>
            <w:gridSpan w:val="2"/>
          </w:tcPr>
          <w:p w:rsidR="00563DC2" w:rsidRPr="00267A6B" w:rsidRDefault="00563DC2" w:rsidP="004352E9">
            <w:pPr>
              <w:rPr>
                <w:sz w:val="18"/>
                <w:szCs w:val="18"/>
                <w:lang w:val="en-US"/>
              </w:rPr>
            </w:pPr>
            <w:proofErr w:type="spellStart"/>
            <w:r w:rsidRPr="00267A6B">
              <w:rPr>
                <w:sz w:val="18"/>
                <w:szCs w:val="18"/>
                <w:lang w:val="en-US"/>
              </w:rPr>
              <w:t>MoAb</w:t>
            </w:r>
            <w:proofErr w:type="spellEnd"/>
            <w:r w:rsidRPr="00267A6B">
              <w:rPr>
                <w:sz w:val="18"/>
                <w:szCs w:val="18"/>
                <w:lang w:val="en-US"/>
              </w:rPr>
              <w:t xml:space="preserve"> against </w:t>
            </w:r>
            <w:proofErr w:type="spellStart"/>
            <w:r w:rsidRPr="00267A6B">
              <w:rPr>
                <w:sz w:val="18"/>
                <w:szCs w:val="18"/>
                <w:lang w:val="en-US"/>
              </w:rPr>
              <w:t>IgE</w:t>
            </w:r>
            <w:proofErr w:type="spellEnd"/>
          </w:p>
        </w:tc>
        <w:tc>
          <w:tcPr>
            <w:tcW w:w="4819" w:type="dxa"/>
            <w:gridSpan w:val="2"/>
          </w:tcPr>
          <w:p w:rsidR="00563DC2" w:rsidRPr="00267A6B" w:rsidRDefault="00563DC2" w:rsidP="004352E9">
            <w:pPr>
              <w:rPr>
                <w:sz w:val="18"/>
                <w:szCs w:val="18"/>
                <w:lang w:val="en-US"/>
              </w:rPr>
            </w:pPr>
            <w:r w:rsidRPr="00267A6B">
              <w:rPr>
                <w:sz w:val="18"/>
                <w:szCs w:val="18"/>
                <w:lang w:val="en-US"/>
              </w:rPr>
              <w:t xml:space="preserve">- Omalizumab binds stronger to free </w:t>
            </w:r>
            <w:proofErr w:type="spellStart"/>
            <w:r w:rsidRPr="00267A6B">
              <w:rPr>
                <w:sz w:val="18"/>
                <w:szCs w:val="18"/>
                <w:lang w:val="en-US"/>
              </w:rPr>
              <w:t>IgE</w:t>
            </w:r>
            <w:proofErr w:type="spellEnd"/>
            <w:r w:rsidRPr="00267A6B">
              <w:rPr>
                <w:sz w:val="18"/>
                <w:szCs w:val="18"/>
                <w:lang w:val="en-US"/>
              </w:rPr>
              <w:t xml:space="preserve"> than the high affinity </w:t>
            </w:r>
            <w:proofErr w:type="spellStart"/>
            <w:r w:rsidRPr="00267A6B">
              <w:rPr>
                <w:sz w:val="18"/>
                <w:szCs w:val="18"/>
                <w:lang w:val="en-US"/>
              </w:rPr>
              <w:t>IgE</w:t>
            </w:r>
            <w:proofErr w:type="spellEnd"/>
            <w:r w:rsidRPr="00267A6B">
              <w:rPr>
                <w:sz w:val="18"/>
                <w:szCs w:val="18"/>
                <w:lang w:val="en-US"/>
              </w:rPr>
              <w:t xml:space="preserve"> receptor </w:t>
            </w:r>
            <w:r w:rsidRPr="00267A6B">
              <w:rPr>
                <w:sz w:val="18"/>
                <w:szCs w:val="18"/>
                <w:highlight w:val="yellow"/>
                <w:lang w:val="en-US"/>
              </w:rPr>
              <w:fldChar w:fldCharType="begin"/>
            </w:r>
            <w:r w:rsidR="00550743">
              <w:rPr>
                <w:sz w:val="18"/>
                <w:szCs w:val="18"/>
                <w:highlight w:val="yellow"/>
                <w:lang w:val="en-US"/>
              </w:rPr>
              <w:instrText xml:space="preserve"> ADDIN ZOTERO_ITEM CSL_CITATION {"citationID":"al41o8mf91","properties":{"formattedCitation":"(13)","plainCitation":"(13)","noteIndex":0},"citationItems":[{"id":31828,"uris":["http://zotero.org/users/2689656/items/2U2ICDJA"],"uri":["http://zotero.org/users/2689656/items/2U2ICDJA"],"itemData":{"id":31828,"type":"article-journal","title":"Omalizumab: A Monoclonal Anti-IgE Antibody","container-title":"Medscape General Medicine","page":"27","volume":"7","issue":"1","source":"PubMed Central","abstract":"Abstract\nnull\n\nIntroduction\nDiseases such as asthma and allergic rhinitis have a significant societal impact. These conditions affect a substantial population of patients and impose a burden in terms of treatment costs, productivity loss, and reduced quality of life.– Although medications are available to treat these conditions, some focus only on symptom relief, others are nonspecific in their mechanism of action (and, therefore, produce substantial side effects), and none provide symptom relief in all patients.– Because of IgE's role in the manifestation of these conditions (see discussion below), there has been interest in developing therapies that specifically target this immunoglobulin to treat allergic asthma and allergic rhinitis. The recent introduction of the monoclonal anti-IgE antibody omalizumab (Xolair, Genentech, South San Francisco, California) provides clinicians with an additional unique option for treating these conditions. This review will present information on the pathophysiology of allergic asthma and allergic rhinitis and describe the pharmacology, pharmacokinetics, pharmacodynamics, clinical efficacy data, and safety profile for omalizumab. The focus of this review is a function of the fact that most published information with omalizumab addresses its use for these conditions. However, future applications for anti-IgE therapy are likely forthcoming for other IgE-mediated conditions such as food allergies and atopic dermatitis., In particular, recent information suggests that anti-IgE therapy can prevent the manifestations of inadvertent peanut exposure in patients with peanut allergy.","ISSN":"1531-0132","note":"PMID: 16369332\nPMCID: PMC1681435","title-short":"Omalizumab","journalAbbreviation":"MedGenMed","author":[{"family":"Belliveau","given":"Paul P."}],"issued":{"date-parts":[["2005",1,27]]}}}],"schema":"https://github.com/citation-style-language/schema/raw/master/csl-citation.json"} </w:instrText>
            </w:r>
            <w:r w:rsidRPr="00267A6B">
              <w:rPr>
                <w:sz w:val="18"/>
                <w:szCs w:val="18"/>
                <w:highlight w:val="yellow"/>
                <w:lang w:val="en-US"/>
              </w:rPr>
              <w:fldChar w:fldCharType="separate"/>
            </w:r>
            <w:r w:rsidR="00550743" w:rsidRPr="00550743">
              <w:rPr>
                <w:rFonts w:ascii="Calibri" w:hAnsi="Calibri" w:cs="Calibri"/>
                <w:sz w:val="18"/>
                <w:lang w:val="en-US"/>
              </w:rPr>
              <w:t>(13)</w:t>
            </w:r>
            <w:r w:rsidRPr="00267A6B">
              <w:rPr>
                <w:sz w:val="18"/>
                <w:szCs w:val="18"/>
                <w:highlight w:val="yellow"/>
                <w:lang w:val="en-US"/>
              </w:rPr>
              <w:fldChar w:fldCharType="end"/>
            </w:r>
          </w:p>
        </w:tc>
      </w:tr>
    </w:tbl>
    <w:bookmarkEnd w:id="0"/>
    <w:p w:rsidR="00563DC2" w:rsidRPr="00563DC2" w:rsidRDefault="00563DC2" w:rsidP="00563DC2">
      <w:pPr>
        <w:rPr>
          <w:b/>
          <w:lang w:val="en-US"/>
        </w:rPr>
      </w:pPr>
      <w:r w:rsidRPr="00563DC2">
        <w:rPr>
          <w:b/>
          <w:lang w:val="en-US"/>
        </w:rPr>
        <w:lastRenderedPageBreak/>
        <w:t>References</w:t>
      </w:r>
      <w:bookmarkStart w:id="2" w:name="_GoBack"/>
      <w:bookmarkEnd w:id="2"/>
    </w:p>
    <w:p w:rsidR="0065591F" w:rsidRPr="0065591F" w:rsidRDefault="00563DC2" w:rsidP="0065591F">
      <w:pPr>
        <w:pStyle w:val="Bibliografie"/>
        <w:rPr>
          <w:rFonts w:ascii="Calibri" w:hAnsi="Calibri" w:cs="Calibri"/>
          <w:lang w:val="en-US"/>
        </w:rPr>
      </w:pPr>
      <w:r>
        <w:rPr>
          <w:lang w:val="en-US"/>
        </w:rPr>
        <w:fldChar w:fldCharType="begin"/>
      </w:r>
      <w:r w:rsidR="0065591F">
        <w:rPr>
          <w:lang w:val="en-US"/>
        </w:rPr>
        <w:instrText xml:space="preserve"> ADDIN ZOTERO_BIBL {"uncited":[],"omitted":[],"custom":[]} CSL_BIBLIOGRAPHY </w:instrText>
      </w:r>
      <w:r>
        <w:rPr>
          <w:lang w:val="en-US"/>
        </w:rPr>
        <w:fldChar w:fldCharType="separate"/>
      </w:r>
      <w:r w:rsidR="0065591F" w:rsidRPr="0065591F">
        <w:rPr>
          <w:rFonts w:ascii="Calibri" w:hAnsi="Calibri" w:cs="Calibri"/>
          <w:lang w:val="en-US"/>
        </w:rPr>
        <w:t xml:space="preserve">1. </w:t>
      </w:r>
      <w:r w:rsidR="0065591F" w:rsidRPr="0065591F">
        <w:rPr>
          <w:rFonts w:ascii="Calibri" w:hAnsi="Calibri" w:cs="Calibri"/>
          <w:lang w:val="en-US"/>
        </w:rPr>
        <w:tab/>
        <w:t xml:space="preserve">Weber A, Wasiliew P, Kracht M. Interleukin-1 (IL-1) pathway. </w:t>
      </w:r>
      <w:r w:rsidR="0065591F" w:rsidRPr="0065591F">
        <w:rPr>
          <w:rFonts w:ascii="Calibri" w:hAnsi="Calibri" w:cs="Calibri"/>
          <w:i/>
          <w:iCs/>
          <w:lang w:val="en-US"/>
        </w:rPr>
        <w:t>Sci Signal</w:t>
      </w:r>
      <w:r w:rsidR="0065591F" w:rsidRPr="0065591F">
        <w:rPr>
          <w:rFonts w:ascii="Calibri" w:hAnsi="Calibri" w:cs="Calibri"/>
          <w:lang w:val="en-US"/>
        </w:rPr>
        <w:t xml:space="preserve"> (2010) </w:t>
      </w:r>
      <w:r w:rsidR="0065591F" w:rsidRPr="0065591F">
        <w:rPr>
          <w:rFonts w:ascii="Calibri" w:hAnsi="Calibri" w:cs="Calibri"/>
          <w:b/>
          <w:bCs/>
          <w:lang w:val="en-US"/>
        </w:rPr>
        <w:t>3</w:t>
      </w:r>
      <w:r w:rsidR="0065591F" w:rsidRPr="0065591F">
        <w:rPr>
          <w:rFonts w:ascii="Calibri" w:hAnsi="Calibri" w:cs="Calibri"/>
          <w:lang w:val="en-US"/>
        </w:rPr>
        <w:t>:cm1. doi:10.1126/scisignal.3105cm1</w:t>
      </w:r>
    </w:p>
    <w:p w:rsidR="0065591F" w:rsidRPr="0065591F" w:rsidRDefault="0065591F" w:rsidP="0065591F">
      <w:pPr>
        <w:pStyle w:val="Bibliografie"/>
        <w:rPr>
          <w:rFonts w:ascii="Calibri" w:hAnsi="Calibri" w:cs="Calibri"/>
          <w:lang w:val="en-US"/>
        </w:rPr>
      </w:pPr>
      <w:r w:rsidRPr="0065591F">
        <w:rPr>
          <w:rFonts w:ascii="Calibri" w:hAnsi="Calibri" w:cs="Calibri"/>
          <w:lang w:val="en-US"/>
        </w:rPr>
        <w:t xml:space="preserve">2. </w:t>
      </w:r>
      <w:r w:rsidRPr="0065591F">
        <w:rPr>
          <w:rFonts w:ascii="Calibri" w:hAnsi="Calibri" w:cs="Calibri"/>
          <w:lang w:val="en-US"/>
        </w:rPr>
        <w:tab/>
        <w:t>Kontzias A, Efthimiou P. The Use of Canakinumab, a Novel IL-1</w:t>
      </w:r>
      <w:r w:rsidRPr="0065591F">
        <w:rPr>
          <w:rFonts w:ascii="Calibri" w:hAnsi="Calibri" w:cs="Calibri"/>
        </w:rPr>
        <w:t>β</w:t>
      </w:r>
      <w:r w:rsidRPr="0065591F">
        <w:rPr>
          <w:rFonts w:ascii="Calibri" w:hAnsi="Calibri" w:cs="Calibri"/>
          <w:lang w:val="en-US"/>
        </w:rPr>
        <w:t xml:space="preserve"> Long-Acting Inhibitor, in Refractory Adult-Onset Still’s Disease. </w:t>
      </w:r>
      <w:r w:rsidRPr="0065591F">
        <w:rPr>
          <w:rFonts w:ascii="Calibri" w:hAnsi="Calibri" w:cs="Calibri"/>
          <w:i/>
          <w:iCs/>
          <w:lang w:val="en-US"/>
        </w:rPr>
        <w:t>Seminars in Arthritis and Rheumatism</w:t>
      </w:r>
      <w:r w:rsidRPr="0065591F">
        <w:rPr>
          <w:rFonts w:ascii="Calibri" w:hAnsi="Calibri" w:cs="Calibri"/>
          <w:lang w:val="en-US"/>
        </w:rPr>
        <w:t xml:space="preserve"> (2012) </w:t>
      </w:r>
      <w:r w:rsidRPr="0065591F">
        <w:rPr>
          <w:rFonts w:ascii="Calibri" w:hAnsi="Calibri" w:cs="Calibri"/>
          <w:b/>
          <w:bCs/>
          <w:lang w:val="en-US"/>
        </w:rPr>
        <w:t>42</w:t>
      </w:r>
      <w:r w:rsidRPr="0065591F">
        <w:rPr>
          <w:rFonts w:ascii="Calibri" w:hAnsi="Calibri" w:cs="Calibri"/>
          <w:lang w:val="en-US"/>
        </w:rPr>
        <w:t>:201–205. doi:10.1016/j.semarthrit.2012.03.004</w:t>
      </w:r>
    </w:p>
    <w:p w:rsidR="0065591F" w:rsidRPr="0065591F" w:rsidRDefault="0065591F" w:rsidP="0065591F">
      <w:pPr>
        <w:pStyle w:val="Bibliografie"/>
        <w:rPr>
          <w:rFonts w:ascii="Calibri" w:hAnsi="Calibri" w:cs="Calibri"/>
          <w:lang w:val="en-US"/>
        </w:rPr>
      </w:pPr>
      <w:r w:rsidRPr="0065591F">
        <w:rPr>
          <w:rFonts w:ascii="Calibri" w:hAnsi="Calibri" w:cs="Calibri"/>
          <w:lang w:val="en-US"/>
        </w:rPr>
        <w:t xml:space="preserve">3. </w:t>
      </w:r>
      <w:r w:rsidRPr="0065591F">
        <w:rPr>
          <w:rFonts w:ascii="Calibri" w:hAnsi="Calibri" w:cs="Calibri"/>
          <w:lang w:val="en-US"/>
        </w:rPr>
        <w:tab/>
        <w:t xml:space="preserve">Amatya N, Childs EE, Cruz JA, Aggor FEY, Garg AV, Berman AJ, Gudjonsson JE, Atasoy U, Gaffen SL. IL-17 integrates multiple self-reinforcing, feed-forward mechanisms through the RNA binding protein Arid5a. </w:t>
      </w:r>
      <w:r w:rsidRPr="0065591F">
        <w:rPr>
          <w:rFonts w:ascii="Calibri" w:hAnsi="Calibri" w:cs="Calibri"/>
          <w:i/>
          <w:iCs/>
          <w:lang w:val="en-US"/>
        </w:rPr>
        <w:t>Sci Signal</w:t>
      </w:r>
      <w:r w:rsidRPr="0065591F">
        <w:rPr>
          <w:rFonts w:ascii="Calibri" w:hAnsi="Calibri" w:cs="Calibri"/>
          <w:lang w:val="en-US"/>
        </w:rPr>
        <w:t xml:space="preserve"> (2018) </w:t>
      </w:r>
      <w:r w:rsidRPr="0065591F">
        <w:rPr>
          <w:rFonts w:ascii="Calibri" w:hAnsi="Calibri" w:cs="Calibri"/>
          <w:b/>
          <w:bCs/>
          <w:lang w:val="en-US"/>
        </w:rPr>
        <w:t>11</w:t>
      </w:r>
      <w:r w:rsidRPr="0065591F">
        <w:rPr>
          <w:rFonts w:ascii="Calibri" w:hAnsi="Calibri" w:cs="Calibri"/>
          <w:lang w:val="en-US"/>
        </w:rPr>
        <w:t>: doi:10.1126/scisignal.aat4617</w:t>
      </w:r>
    </w:p>
    <w:p w:rsidR="0065591F" w:rsidRPr="0065591F" w:rsidRDefault="0065591F" w:rsidP="0065591F">
      <w:pPr>
        <w:pStyle w:val="Bibliografie"/>
        <w:rPr>
          <w:rFonts w:ascii="Calibri" w:hAnsi="Calibri" w:cs="Calibri"/>
          <w:lang w:val="en-US"/>
        </w:rPr>
      </w:pPr>
      <w:r w:rsidRPr="0065591F">
        <w:rPr>
          <w:rFonts w:ascii="Calibri" w:hAnsi="Calibri" w:cs="Calibri"/>
          <w:lang w:val="en-US"/>
        </w:rPr>
        <w:t xml:space="preserve">4. </w:t>
      </w:r>
      <w:r w:rsidRPr="0065591F">
        <w:rPr>
          <w:rFonts w:ascii="Calibri" w:hAnsi="Calibri" w:cs="Calibri"/>
          <w:lang w:val="en-US"/>
        </w:rPr>
        <w:tab/>
        <w:t xml:space="preserve">Veldhoen M. Interleukin 17 is a chief orchestrator of immunity. </w:t>
      </w:r>
      <w:r w:rsidRPr="0065591F">
        <w:rPr>
          <w:rFonts w:ascii="Calibri" w:hAnsi="Calibri" w:cs="Calibri"/>
          <w:i/>
          <w:iCs/>
          <w:lang w:val="en-US"/>
        </w:rPr>
        <w:t>Nat Immunol</w:t>
      </w:r>
      <w:r w:rsidRPr="0065591F">
        <w:rPr>
          <w:rFonts w:ascii="Calibri" w:hAnsi="Calibri" w:cs="Calibri"/>
          <w:lang w:val="en-US"/>
        </w:rPr>
        <w:t xml:space="preserve"> (2017) </w:t>
      </w:r>
      <w:r w:rsidRPr="0065591F">
        <w:rPr>
          <w:rFonts w:ascii="Calibri" w:hAnsi="Calibri" w:cs="Calibri"/>
          <w:b/>
          <w:bCs/>
          <w:lang w:val="en-US"/>
        </w:rPr>
        <w:t>18</w:t>
      </w:r>
      <w:r w:rsidRPr="0065591F">
        <w:rPr>
          <w:rFonts w:ascii="Calibri" w:hAnsi="Calibri" w:cs="Calibri"/>
          <w:lang w:val="en-US"/>
        </w:rPr>
        <w:t>:612–621. doi:10.1038/ni.3742</w:t>
      </w:r>
    </w:p>
    <w:p w:rsidR="0065591F" w:rsidRPr="0065591F" w:rsidRDefault="0065591F" w:rsidP="0065591F">
      <w:pPr>
        <w:pStyle w:val="Bibliografie"/>
        <w:rPr>
          <w:rFonts w:ascii="Calibri" w:hAnsi="Calibri" w:cs="Calibri"/>
          <w:lang w:val="en-US"/>
        </w:rPr>
      </w:pPr>
      <w:r w:rsidRPr="0065591F">
        <w:rPr>
          <w:rFonts w:ascii="Calibri" w:hAnsi="Calibri" w:cs="Calibri"/>
          <w:lang w:val="en-US"/>
        </w:rPr>
        <w:t xml:space="preserve">5. </w:t>
      </w:r>
      <w:r w:rsidRPr="0065591F">
        <w:rPr>
          <w:rFonts w:ascii="Calibri" w:hAnsi="Calibri" w:cs="Calibri"/>
          <w:lang w:val="en-US"/>
        </w:rPr>
        <w:tab/>
        <w:t xml:space="preserve">Yawalkar N, Karlen S, Hunger R, Brand CU, Braathen LR. Expression of interleukin-12 is increased in psoriatic skin. </w:t>
      </w:r>
      <w:r w:rsidRPr="0065591F">
        <w:rPr>
          <w:rFonts w:ascii="Calibri" w:hAnsi="Calibri" w:cs="Calibri"/>
          <w:i/>
          <w:iCs/>
          <w:lang w:val="en-US"/>
        </w:rPr>
        <w:t>J Invest Dermatol</w:t>
      </w:r>
      <w:r w:rsidRPr="0065591F">
        <w:rPr>
          <w:rFonts w:ascii="Calibri" w:hAnsi="Calibri" w:cs="Calibri"/>
          <w:lang w:val="en-US"/>
        </w:rPr>
        <w:t xml:space="preserve"> (1998) </w:t>
      </w:r>
      <w:r w:rsidRPr="0065591F">
        <w:rPr>
          <w:rFonts w:ascii="Calibri" w:hAnsi="Calibri" w:cs="Calibri"/>
          <w:b/>
          <w:bCs/>
          <w:lang w:val="en-US"/>
        </w:rPr>
        <w:t>111</w:t>
      </w:r>
      <w:r w:rsidRPr="0065591F">
        <w:rPr>
          <w:rFonts w:ascii="Calibri" w:hAnsi="Calibri" w:cs="Calibri"/>
          <w:lang w:val="en-US"/>
        </w:rPr>
        <w:t>:1053–1057. doi:10.1046/j.1523-1747.1998.00446.x</w:t>
      </w:r>
    </w:p>
    <w:p w:rsidR="0065591F" w:rsidRPr="0065591F" w:rsidRDefault="0065591F" w:rsidP="0065591F">
      <w:pPr>
        <w:pStyle w:val="Bibliografie"/>
        <w:rPr>
          <w:rFonts w:ascii="Calibri" w:hAnsi="Calibri" w:cs="Calibri"/>
          <w:lang w:val="en-US"/>
        </w:rPr>
      </w:pPr>
      <w:r w:rsidRPr="0065591F">
        <w:rPr>
          <w:rFonts w:ascii="Calibri" w:hAnsi="Calibri" w:cs="Calibri"/>
          <w:lang w:val="en-US"/>
        </w:rPr>
        <w:t xml:space="preserve">6. </w:t>
      </w:r>
      <w:r w:rsidRPr="0065591F">
        <w:rPr>
          <w:rFonts w:ascii="Calibri" w:hAnsi="Calibri" w:cs="Calibri"/>
          <w:lang w:val="en-US"/>
        </w:rPr>
        <w:tab/>
        <w:t xml:space="preserve">Kulig P, Musiol S, Freiberger SN, Schreiner B, Gyülveszi G, Russo G, Pantelyushin S, Kishihara K, Alessandrini F, Kündig T, et al. IL-12 protects from psoriasiform skin inflammation. </w:t>
      </w:r>
      <w:r w:rsidRPr="0065591F">
        <w:rPr>
          <w:rFonts w:ascii="Calibri" w:hAnsi="Calibri" w:cs="Calibri"/>
          <w:i/>
          <w:iCs/>
          <w:lang w:val="en-US"/>
        </w:rPr>
        <w:t>Nat Commun</w:t>
      </w:r>
      <w:r w:rsidRPr="0065591F">
        <w:rPr>
          <w:rFonts w:ascii="Calibri" w:hAnsi="Calibri" w:cs="Calibri"/>
          <w:lang w:val="en-US"/>
        </w:rPr>
        <w:t xml:space="preserve"> (2016) </w:t>
      </w:r>
      <w:r w:rsidRPr="0065591F">
        <w:rPr>
          <w:rFonts w:ascii="Calibri" w:hAnsi="Calibri" w:cs="Calibri"/>
          <w:b/>
          <w:bCs/>
          <w:lang w:val="en-US"/>
        </w:rPr>
        <w:t>7</w:t>
      </w:r>
      <w:r w:rsidRPr="0065591F">
        <w:rPr>
          <w:rFonts w:ascii="Calibri" w:hAnsi="Calibri" w:cs="Calibri"/>
          <w:lang w:val="en-US"/>
        </w:rPr>
        <w:t>:13466. doi:10.1038/ncomms13466</w:t>
      </w:r>
    </w:p>
    <w:p w:rsidR="0065591F" w:rsidRPr="0065591F" w:rsidRDefault="0065591F" w:rsidP="0065591F">
      <w:pPr>
        <w:pStyle w:val="Bibliografie"/>
        <w:rPr>
          <w:rFonts w:ascii="Calibri" w:hAnsi="Calibri" w:cs="Calibri"/>
          <w:lang w:val="en-US"/>
        </w:rPr>
      </w:pPr>
      <w:r w:rsidRPr="0065591F">
        <w:rPr>
          <w:rFonts w:ascii="Calibri" w:hAnsi="Calibri" w:cs="Calibri"/>
          <w:lang w:val="en-US"/>
        </w:rPr>
        <w:t xml:space="preserve">7. </w:t>
      </w:r>
      <w:r w:rsidRPr="0065591F">
        <w:rPr>
          <w:rFonts w:ascii="Calibri" w:hAnsi="Calibri" w:cs="Calibri"/>
          <w:lang w:val="en-US"/>
        </w:rPr>
        <w:tab/>
        <w:t xml:space="preserve">Vignali DAA, Kuchroo VK. IL-12 family cytokines: immunological playmakers. </w:t>
      </w:r>
      <w:r w:rsidRPr="0065591F">
        <w:rPr>
          <w:rFonts w:ascii="Calibri" w:hAnsi="Calibri" w:cs="Calibri"/>
          <w:i/>
          <w:iCs/>
          <w:lang w:val="en-US"/>
        </w:rPr>
        <w:t>Nat Immunol</w:t>
      </w:r>
      <w:r w:rsidRPr="0065591F">
        <w:rPr>
          <w:rFonts w:ascii="Calibri" w:hAnsi="Calibri" w:cs="Calibri"/>
          <w:lang w:val="en-US"/>
        </w:rPr>
        <w:t xml:space="preserve"> (2012) </w:t>
      </w:r>
      <w:r w:rsidRPr="0065591F">
        <w:rPr>
          <w:rFonts w:ascii="Calibri" w:hAnsi="Calibri" w:cs="Calibri"/>
          <w:b/>
          <w:bCs/>
          <w:lang w:val="en-US"/>
        </w:rPr>
        <w:t>13</w:t>
      </w:r>
      <w:r w:rsidRPr="0065591F">
        <w:rPr>
          <w:rFonts w:ascii="Calibri" w:hAnsi="Calibri" w:cs="Calibri"/>
          <w:lang w:val="en-US"/>
        </w:rPr>
        <w:t>:722–728. doi:10.1038/ni.2366</w:t>
      </w:r>
    </w:p>
    <w:p w:rsidR="0065591F" w:rsidRPr="0065591F" w:rsidRDefault="0065591F" w:rsidP="0065591F">
      <w:pPr>
        <w:pStyle w:val="Bibliografie"/>
        <w:rPr>
          <w:rFonts w:ascii="Calibri" w:hAnsi="Calibri" w:cs="Calibri"/>
          <w:lang w:val="en-US"/>
        </w:rPr>
      </w:pPr>
      <w:r w:rsidRPr="0065591F">
        <w:rPr>
          <w:rFonts w:ascii="Calibri" w:hAnsi="Calibri" w:cs="Calibri"/>
          <w:lang w:val="en-US"/>
        </w:rPr>
        <w:t xml:space="preserve">8. </w:t>
      </w:r>
      <w:r w:rsidRPr="0065591F">
        <w:rPr>
          <w:rFonts w:ascii="Calibri" w:hAnsi="Calibri" w:cs="Calibri"/>
          <w:lang w:val="en-US"/>
        </w:rPr>
        <w:tab/>
        <w:t xml:space="preserve">Tonini A, Gualtieri B, Panduri S, Romanelli M, Chiricozzi A. A new class of biologic agents facing the therapeutic paradigm in psoriasis: anti-IL-23 agents. </w:t>
      </w:r>
      <w:r w:rsidRPr="0065591F">
        <w:rPr>
          <w:rFonts w:ascii="Calibri" w:hAnsi="Calibri" w:cs="Calibri"/>
          <w:i/>
          <w:iCs/>
          <w:lang w:val="en-US"/>
        </w:rPr>
        <w:t>Expert Opin Biol Ther</w:t>
      </w:r>
      <w:r w:rsidRPr="0065591F">
        <w:rPr>
          <w:rFonts w:ascii="Calibri" w:hAnsi="Calibri" w:cs="Calibri"/>
          <w:lang w:val="en-US"/>
        </w:rPr>
        <w:t xml:space="preserve"> (2018) </w:t>
      </w:r>
      <w:r w:rsidRPr="0065591F">
        <w:rPr>
          <w:rFonts w:ascii="Calibri" w:hAnsi="Calibri" w:cs="Calibri"/>
          <w:b/>
          <w:bCs/>
          <w:lang w:val="en-US"/>
        </w:rPr>
        <w:t>18</w:t>
      </w:r>
      <w:r w:rsidRPr="0065591F">
        <w:rPr>
          <w:rFonts w:ascii="Calibri" w:hAnsi="Calibri" w:cs="Calibri"/>
          <w:lang w:val="en-US"/>
        </w:rPr>
        <w:t>:135–148. doi:10.1080/14712598.2018.1398729</w:t>
      </w:r>
    </w:p>
    <w:p w:rsidR="0065591F" w:rsidRPr="0065591F" w:rsidRDefault="0065591F" w:rsidP="0065591F">
      <w:pPr>
        <w:pStyle w:val="Bibliografie"/>
        <w:rPr>
          <w:rFonts w:ascii="Calibri" w:hAnsi="Calibri" w:cs="Calibri"/>
          <w:lang w:val="en-US"/>
        </w:rPr>
      </w:pPr>
      <w:r w:rsidRPr="0065591F">
        <w:rPr>
          <w:rFonts w:ascii="Calibri" w:hAnsi="Calibri" w:cs="Calibri"/>
          <w:lang w:val="en-US"/>
        </w:rPr>
        <w:t xml:space="preserve">9. </w:t>
      </w:r>
      <w:r w:rsidRPr="0065591F">
        <w:rPr>
          <w:rFonts w:ascii="Calibri" w:hAnsi="Calibri" w:cs="Calibri"/>
          <w:lang w:val="en-US"/>
        </w:rPr>
        <w:tab/>
        <w:t>Murdaca G, Spanò F, Contatore M, Guastalla A, Penza E, Magnani O, Puppo F. Infection risk associated with anti-TNF-</w:t>
      </w:r>
      <w:r w:rsidRPr="0065591F">
        <w:rPr>
          <w:rFonts w:ascii="Calibri" w:hAnsi="Calibri" w:cs="Calibri"/>
        </w:rPr>
        <w:t>α</w:t>
      </w:r>
      <w:r w:rsidRPr="0065591F">
        <w:rPr>
          <w:rFonts w:ascii="Calibri" w:hAnsi="Calibri" w:cs="Calibri"/>
          <w:lang w:val="en-US"/>
        </w:rPr>
        <w:t xml:space="preserve"> agents: a review. </w:t>
      </w:r>
      <w:r w:rsidRPr="0065591F">
        <w:rPr>
          <w:rFonts w:ascii="Calibri" w:hAnsi="Calibri" w:cs="Calibri"/>
          <w:i/>
          <w:iCs/>
          <w:lang w:val="en-US"/>
        </w:rPr>
        <w:t>Expert Opin Drug Saf</w:t>
      </w:r>
      <w:r w:rsidRPr="0065591F">
        <w:rPr>
          <w:rFonts w:ascii="Calibri" w:hAnsi="Calibri" w:cs="Calibri"/>
          <w:lang w:val="en-US"/>
        </w:rPr>
        <w:t xml:space="preserve"> (2015) </w:t>
      </w:r>
      <w:r w:rsidRPr="0065591F">
        <w:rPr>
          <w:rFonts w:ascii="Calibri" w:hAnsi="Calibri" w:cs="Calibri"/>
          <w:b/>
          <w:bCs/>
          <w:lang w:val="en-US"/>
        </w:rPr>
        <w:t>14</w:t>
      </w:r>
      <w:r w:rsidRPr="0065591F">
        <w:rPr>
          <w:rFonts w:ascii="Calibri" w:hAnsi="Calibri" w:cs="Calibri"/>
          <w:lang w:val="en-US"/>
        </w:rPr>
        <w:t>:571–582. doi:10.1517/14740338.2015.1009036</w:t>
      </w:r>
    </w:p>
    <w:p w:rsidR="0065591F" w:rsidRPr="0065591F" w:rsidRDefault="0065591F" w:rsidP="0065591F">
      <w:pPr>
        <w:pStyle w:val="Bibliografie"/>
        <w:rPr>
          <w:rFonts w:ascii="Calibri" w:hAnsi="Calibri" w:cs="Calibri"/>
          <w:lang w:val="en-US"/>
        </w:rPr>
      </w:pPr>
      <w:r w:rsidRPr="0065591F">
        <w:rPr>
          <w:rFonts w:ascii="Calibri" w:hAnsi="Calibri" w:cs="Calibri"/>
          <w:lang w:val="en-US"/>
        </w:rPr>
        <w:t xml:space="preserve">10. </w:t>
      </w:r>
      <w:r w:rsidRPr="0065591F">
        <w:rPr>
          <w:rFonts w:ascii="Calibri" w:hAnsi="Calibri" w:cs="Calibri"/>
          <w:lang w:val="en-US"/>
        </w:rPr>
        <w:tab/>
        <w:t xml:space="preserve">Goldberg M, Nadiv O, Luknar-Gabor N, Agar G, Beer Y, Katz Y. Synergism between tumor necrosis factor alpha and interleukin-17 to induce IL-23 p19 expression in fibroblast-like synoviocytes. </w:t>
      </w:r>
      <w:r w:rsidRPr="0065591F">
        <w:rPr>
          <w:rFonts w:ascii="Calibri" w:hAnsi="Calibri" w:cs="Calibri"/>
          <w:i/>
          <w:iCs/>
          <w:lang w:val="en-US"/>
        </w:rPr>
        <w:t>Molecular Immunology</w:t>
      </w:r>
      <w:r w:rsidRPr="0065591F">
        <w:rPr>
          <w:rFonts w:ascii="Calibri" w:hAnsi="Calibri" w:cs="Calibri"/>
          <w:lang w:val="en-US"/>
        </w:rPr>
        <w:t xml:space="preserve"> (2009) </w:t>
      </w:r>
      <w:r w:rsidRPr="0065591F">
        <w:rPr>
          <w:rFonts w:ascii="Calibri" w:hAnsi="Calibri" w:cs="Calibri"/>
          <w:b/>
          <w:bCs/>
          <w:lang w:val="en-US"/>
        </w:rPr>
        <w:t>46</w:t>
      </w:r>
      <w:r w:rsidRPr="0065591F">
        <w:rPr>
          <w:rFonts w:ascii="Calibri" w:hAnsi="Calibri" w:cs="Calibri"/>
          <w:lang w:val="en-US"/>
        </w:rPr>
        <w:t>:1854–1859. doi:10.1016/j.molimm.2009.01.004</w:t>
      </w:r>
    </w:p>
    <w:p w:rsidR="0065591F" w:rsidRPr="0065591F" w:rsidRDefault="0065591F" w:rsidP="0065591F">
      <w:pPr>
        <w:pStyle w:val="Bibliografie"/>
        <w:rPr>
          <w:rFonts w:ascii="Calibri" w:hAnsi="Calibri" w:cs="Calibri"/>
          <w:lang w:val="en-US"/>
        </w:rPr>
      </w:pPr>
      <w:r w:rsidRPr="0065591F">
        <w:rPr>
          <w:rFonts w:ascii="Calibri" w:hAnsi="Calibri" w:cs="Calibri"/>
          <w:lang w:val="en-US"/>
        </w:rPr>
        <w:t xml:space="preserve">11. </w:t>
      </w:r>
      <w:r w:rsidRPr="0065591F">
        <w:rPr>
          <w:rFonts w:ascii="Calibri" w:hAnsi="Calibri" w:cs="Calibri"/>
          <w:lang w:val="en-US"/>
        </w:rPr>
        <w:tab/>
        <w:t>Mehta NN, Teague HL, Swindell WR, Baumer Y, Ward NL, Xing X, Baugous B, Johnston A, Joshi AA, Silverman J, et al. IFN-</w:t>
      </w:r>
      <w:r w:rsidRPr="0065591F">
        <w:rPr>
          <w:rFonts w:ascii="Calibri" w:hAnsi="Calibri" w:cs="Calibri"/>
        </w:rPr>
        <w:t>γ</w:t>
      </w:r>
      <w:r w:rsidRPr="0065591F">
        <w:rPr>
          <w:rFonts w:ascii="Calibri" w:hAnsi="Calibri" w:cs="Calibri"/>
          <w:lang w:val="en-US"/>
        </w:rPr>
        <w:t xml:space="preserve"> and TNF-</w:t>
      </w:r>
      <w:r w:rsidRPr="0065591F">
        <w:rPr>
          <w:rFonts w:ascii="Calibri" w:hAnsi="Calibri" w:cs="Calibri"/>
        </w:rPr>
        <w:t>α</w:t>
      </w:r>
      <w:r w:rsidRPr="0065591F">
        <w:rPr>
          <w:rFonts w:ascii="Calibri" w:hAnsi="Calibri" w:cs="Calibri"/>
          <w:lang w:val="en-US"/>
        </w:rPr>
        <w:t xml:space="preserve"> synergism may provide a link between psoriasis and inflammatory atherogenesis. </w:t>
      </w:r>
      <w:r w:rsidRPr="0065591F">
        <w:rPr>
          <w:rFonts w:ascii="Calibri" w:hAnsi="Calibri" w:cs="Calibri"/>
          <w:i/>
          <w:iCs/>
          <w:lang w:val="en-US"/>
        </w:rPr>
        <w:t>Scientific Reports</w:t>
      </w:r>
      <w:r w:rsidRPr="0065591F">
        <w:rPr>
          <w:rFonts w:ascii="Calibri" w:hAnsi="Calibri" w:cs="Calibri"/>
          <w:lang w:val="en-US"/>
        </w:rPr>
        <w:t xml:space="preserve"> (2017) </w:t>
      </w:r>
      <w:r w:rsidRPr="0065591F">
        <w:rPr>
          <w:rFonts w:ascii="Calibri" w:hAnsi="Calibri" w:cs="Calibri"/>
          <w:b/>
          <w:bCs/>
          <w:lang w:val="en-US"/>
        </w:rPr>
        <w:t>7</w:t>
      </w:r>
      <w:r w:rsidRPr="0065591F">
        <w:rPr>
          <w:rFonts w:ascii="Calibri" w:hAnsi="Calibri" w:cs="Calibri"/>
          <w:lang w:val="en-US"/>
        </w:rPr>
        <w:t>:13831. doi:10.1038/s41598-017-14365-1</w:t>
      </w:r>
    </w:p>
    <w:p w:rsidR="0065591F" w:rsidRPr="0065591F" w:rsidRDefault="0065591F" w:rsidP="0065591F">
      <w:pPr>
        <w:pStyle w:val="Bibliografie"/>
        <w:rPr>
          <w:rFonts w:ascii="Calibri" w:hAnsi="Calibri" w:cs="Calibri"/>
          <w:lang w:val="en-US"/>
        </w:rPr>
      </w:pPr>
      <w:r w:rsidRPr="0065591F">
        <w:rPr>
          <w:rFonts w:ascii="Calibri" w:hAnsi="Calibri" w:cs="Calibri"/>
          <w:lang w:val="en-US"/>
        </w:rPr>
        <w:t xml:space="preserve">12. </w:t>
      </w:r>
      <w:r w:rsidRPr="0065591F">
        <w:rPr>
          <w:rFonts w:ascii="Calibri" w:hAnsi="Calibri" w:cs="Calibri"/>
          <w:lang w:val="en-US"/>
        </w:rPr>
        <w:tab/>
        <w:t xml:space="preserve">Goel N, Stephens S. Certolizumab pegol. </w:t>
      </w:r>
      <w:r w:rsidRPr="0065591F">
        <w:rPr>
          <w:rFonts w:ascii="Calibri" w:hAnsi="Calibri" w:cs="Calibri"/>
          <w:i/>
          <w:iCs/>
          <w:lang w:val="en-US"/>
        </w:rPr>
        <w:t>MAbs</w:t>
      </w:r>
      <w:r w:rsidRPr="0065591F">
        <w:rPr>
          <w:rFonts w:ascii="Calibri" w:hAnsi="Calibri" w:cs="Calibri"/>
          <w:lang w:val="en-US"/>
        </w:rPr>
        <w:t xml:space="preserve"> (2010) </w:t>
      </w:r>
      <w:r w:rsidRPr="0065591F">
        <w:rPr>
          <w:rFonts w:ascii="Calibri" w:hAnsi="Calibri" w:cs="Calibri"/>
          <w:b/>
          <w:bCs/>
          <w:lang w:val="en-US"/>
        </w:rPr>
        <w:t>2</w:t>
      </w:r>
      <w:r w:rsidRPr="0065591F">
        <w:rPr>
          <w:rFonts w:ascii="Calibri" w:hAnsi="Calibri" w:cs="Calibri"/>
          <w:lang w:val="en-US"/>
        </w:rPr>
        <w:t>:137–147.</w:t>
      </w:r>
    </w:p>
    <w:p w:rsidR="0065591F" w:rsidRPr="0065591F" w:rsidRDefault="0065591F" w:rsidP="0065591F">
      <w:pPr>
        <w:pStyle w:val="Bibliografie"/>
        <w:rPr>
          <w:rFonts w:ascii="Calibri" w:hAnsi="Calibri" w:cs="Calibri"/>
        </w:rPr>
      </w:pPr>
      <w:r w:rsidRPr="0065591F">
        <w:rPr>
          <w:rFonts w:ascii="Calibri" w:hAnsi="Calibri" w:cs="Calibri"/>
          <w:lang w:val="en-US"/>
        </w:rPr>
        <w:t xml:space="preserve">13. </w:t>
      </w:r>
      <w:r w:rsidRPr="0065591F">
        <w:rPr>
          <w:rFonts w:ascii="Calibri" w:hAnsi="Calibri" w:cs="Calibri"/>
          <w:lang w:val="en-US"/>
        </w:rPr>
        <w:tab/>
        <w:t xml:space="preserve">Belliveau PP. Omalizumab: A Monoclonal Anti-IgE Antibody. </w:t>
      </w:r>
      <w:proofErr w:type="spellStart"/>
      <w:r w:rsidRPr="0065591F">
        <w:rPr>
          <w:rFonts w:ascii="Calibri" w:hAnsi="Calibri" w:cs="Calibri"/>
          <w:i/>
          <w:iCs/>
        </w:rPr>
        <w:t>MedGenMed</w:t>
      </w:r>
      <w:proofErr w:type="spellEnd"/>
      <w:r w:rsidRPr="0065591F">
        <w:rPr>
          <w:rFonts w:ascii="Calibri" w:hAnsi="Calibri" w:cs="Calibri"/>
        </w:rPr>
        <w:t xml:space="preserve"> (2005) </w:t>
      </w:r>
      <w:r w:rsidRPr="0065591F">
        <w:rPr>
          <w:rFonts w:ascii="Calibri" w:hAnsi="Calibri" w:cs="Calibri"/>
          <w:b/>
          <w:bCs/>
        </w:rPr>
        <w:t>7</w:t>
      </w:r>
      <w:r w:rsidRPr="0065591F">
        <w:rPr>
          <w:rFonts w:ascii="Calibri" w:hAnsi="Calibri" w:cs="Calibri"/>
        </w:rPr>
        <w:t>:27.</w:t>
      </w:r>
    </w:p>
    <w:p w:rsidR="00563DC2" w:rsidRDefault="00563DC2" w:rsidP="00563DC2">
      <w:pPr>
        <w:rPr>
          <w:lang w:val="en-US"/>
        </w:rPr>
      </w:pPr>
      <w:r>
        <w:rPr>
          <w:lang w:val="en-US"/>
        </w:rPr>
        <w:fldChar w:fldCharType="end"/>
      </w:r>
    </w:p>
    <w:p w:rsidR="00876945" w:rsidRPr="00563DC2" w:rsidRDefault="00876945">
      <w:pPr>
        <w:rPr>
          <w:lang w:val="en-US"/>
        </w:rPr>
      </w:pPr>
    </w:p>
    <w:sectPr w:rsidR="00876945" w:rsidRPr="00563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C2"/>
    <w:rsid w:val="001F7FDB"/>
    <w:rsid w:val="00267A6B"/>
    <w:rsid w:val="004452CC"/>
    <w:rsid w:val="00550743"/>
    <w:rsid w:val="00563DC2"/>
    <w:rsid w:val="0065591F"/>
    <w:rsid w:val="00876945"/>
    <w:rsid w:val="008E7C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790F"/>
  <w15:chartTrackingRefBased/>
  <w15:docId w15:val="{A330109F-F96C-4CF3-B29B-89F126E2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63DC2"/>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63DC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e">
    <w:name w:val="Bibliography"/>
    <w:basedOn w:val="Standaard"/>
    <w:next w:val="Standaard"/>
    <w:uiPriority w:val="37"/>
    <w:unhideWhenUsed/>
    <w:rsid w:val="00563DC2"/>
    <w:pPr>
      <w:tabs>
        <w:tab w:val="left" w:pos="504"/>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5522</Words>
  <Characters>30374</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Speeckaert</dc:creator>
  <cp:keywords/>
  <dc:description/>
  <cp:lastModifiedBy>Reinhart Speeckaert</cp:lastModifiedBy>
  <cp:revision>4</cp:revision>
  <dcterms:created xsi:type="dcterms:W3CDTF">2019-07-13T10:13:00Z</dcterms:created>
  <dcterms:modified xsi:type="dcterms:W3CDTF">2019-07-13T17:10:00Z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zotero-version="5.0.70"&gt;&lt;session id="MsBsn0G4"/&gt;&lt;style id="http://www.zotero.org/styles/frontiers-in-immunology" hasBibliography="1" bibliographyStyleHasBeenSet="1"/&gt;&lt;prefs&gt;&lt;pref name="fieldType" value="Field"/&gt;&lt;/prefs&gt;&lt;/data&gt;</vt:lpwstr>
  </property>
</Properties>
</file>