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081F" w14:textId="20619348" w:rsidR="00356EAF" w:rsidRPr="00611D5F" w:rsidRDefault="00356EAF" w:rsidP="00356EAF">
      <w:pPr>
        <w:rPr>
          <w:rFonts w:cs="Times New Roman"/>
          <w:b/>
          <w:szCs w:val="24"/>
        </w:rPr>
      </w:pPr>
      <w:r w:rsidRPr="00611D5F">
        <w:rPr>
          <w:rFonts w:cs="Times New Roman"/>
          <w:b/>
          <w:szCs w:val="24"/>
        </w:rPr>
        <w:t xml:space="preserve">Table </w:t>
      </w:r>
      <w:r w:rsidR="00F239BB">
        <w:rPr>
          <w:rFonts w:cs="Times New Roman"/>
          <w:b/>
          <w:szCs w:val="24"/>
        </w:rPr>
        <w:t>S</w:t>
      </w:r>
      <w:r>
        <w:rPr>
          <w:rFonts w:cs="Times New Roman"/>
          <w:b/>
          <w:szCs w:val="24"/>
        </w:rPr>
        <w:t>1</w:t>
      </w:r>
      <w:r w:rsidRPr="00611D5F">
        <w:rPr>
          <w:rFonts w:cs="Times New Roman"/>
          <w:b/>
          <w:szCs w:val="24"/>
        </w:rPr>
        <w:t xml:space="preserve">. </w:t>
      </w:r>
      <w:r w:rsidRPr="00611D5F">
        <w:rPr>
          <w:rFonts w:cs="Times New Roman"/>
          <w:szCs w:val="24"/>
        </w:rPr>
        <w:t xml:space="preserve">Inconsistent reports regarding the moderating effects of sex on psychopathology associated with CM. Abbreviations: disorder (d/o), CSA- (childhood sexual abuse), Childhood trauma questionnaire (CTQ), Department of children and families (DCF), chronically institutionalized group (CIG), Institutionalized adopted group (IAG), Never-institutionalized group (NIG). </w:t>
      </w:r>
      <w:r w:rsidRPr="00611D5F">
        <w:rPr>
          <w:rFonts w:cs="Times New Roman"/>
          <w:b/>
          <w:szCs w:val="24"/>
        </w:rPr>
        <w:t xml:space="preserve"> </w:t>
      </w:r>
    </w:p>
    <w:tbl>
      <w:tblPr>
        <w:tblStyle w:val="TableGrid"/>
        <w:tblW w:w="12595" w:type="dxa"/>
        <w:tblLook w:val="04A0" w:firstRow="1" w:lastRow="0" w:firstColumn="1" w:lastColumn="0" w:noHBand="0" w:noVBand="1"/>
      </w:tblPr>
      <w:tblGrid>
        <w:gridCol w:w="1795"/>
        <w:gridCol w:w="2590"/>
        <w:gridCol w:w="2590"/>
        <w:gridCol w:w="2020"/>
        <w:gridCol w:w="3600"/>
      </w:tblGrid>
      <w:tr w:rsidR="00356EAF" w:rsidRPr="003E6712" w14:paraId="3F5F1394" w14:textId="77777777" w:rsidTr="008763B9">
        <w:tc>
          <w:tcPr>
            <w:tcW w:w="12595" w:type="dxa"/>
            <w:gridSpan w:val="5"/>
            <w:shd w:val="clear" w:color="auto" w:fill="F2F2F2" w:themeFill="background1" w:themeFillShade="F2"/>
          </w:tcPr>
          <w:p w14:paraId="63BF5CFC" w14:textId="77777777" w:rsidR="00356EAF" w:rsidRPr="00611D5F" w:rsidRDefault="00356EAF" w:rsidP="008763B9">
            <w:pPr>
              <w:jc w:val="center"/>
              <w:rPr>
                <w:rFonts w:cs="Times New Roman"/>
                <w:szCs w:val="24"/>
              </w:rPr>
            </w:pPr>
            <w:r w:rsidRPr="00611D5F">
              <w:rPr>
                <w:rFonts w:cs="Times New Roman"/>
                <w:szCs w:val="24"/>
              </w:rPr>
              <w:t>Systematic reviews</w:t>
            </w:r>
            <w:r>
              <w:rPr>
                <w:rFonts w:cs="Times New Roman"/>
                <w:szCs w:val="24"/>
              </w:rPr>
              <w:t xml:space="preserve"> &amp; </w:t>
            </w:r>
            <w:r w:rsidRPr="00611D5F">
              <w:rPr>
                <w:rFonts w:cs="Times New Roman"/>
                <w:szCs w:val="24"/>
              </w:rPr>
              <w:t>Meta-Analyses</w:t>
            </w:r>
          </w:p>
        </w:tc>
      </w:tr>
      <w:tr w:rsidR="00356EAF" w:rsidRPr="003E6712" w14:paraId="3B3357CA" w14:textId="77777777" w:rsidTr="008763B9">
        <w:tc>
          <w:tcPr>
            <w:tcW w:w="1795" w:type="dxa"/>
            <w:shd w:val="clear" w:color="auto" w:fill="EEECE1" w:themeFill="background2"/>
          </w:tcPr>
          <w:p w14:paraId="3D7EDB0D" w14:textId="77777777" w:rsidR="00356EAF" w:rsidRPr="00611D5F" w:rsidRDefault="00356EAF" w:rsidP="008763B9">
            <w:pPr>
              <w:rPr>
                <w:rFonts w:cs="Times New Roman"/>
                <w:szCs w:val="24"/>
              </w:rPr>
            </w:pPr>
            <w:r w:rsidRPr="00611D5F">
              <w:rPr>
                <w:rFonts w:cs="Times New Roman"/>
                <w:szCs w:val="24"/>
              </w:rPr>
              <w:t>Reference</w:t>
            </w:r>
          </w:p>
        </w:tc>
        <w:tc>
          <w:tcPr>
            <w:tcW w:w="2590" w:type="dxa"/>
            <w:shd w:val="clear" w:color="auto" w:fill="EEECE1" w:themeFill="background2"/>
          </w:tcPr>
          <w:p w14:paraId="46A643BC" w14:textId="77777777" w:rsidR="00356EAF" w:rsidRPr="00611D5F" w:rsidRDefault="00356EAF" w:rsidP="008763B9">
            <w:pPr>
              <w:rPr>
                <w:rFonts w:cs="Times New Roman"/>
                <w:szCs w:val="24"/>
              </w:rPr>
            </w:pPr>
            <w:r w:rsidRPr="00611D5F">
              <w:rPr>
                <w:rFonts w:cs="Times New Roman"/>
                <w:szCs w:val="24"/>
              </w:rPr>
              <w:t>Sample description</w:t>
            </w:r>
          </w:p>
        </w:tc>
        <w:tc>
          <w:tcPr>
            <w:tcW w:w="2590" w:type="dxa"/>
            <w:shd w:val="clear" w:color="auto" w:fill="EEECE1" w:themeFill="background2"/>
          </w:tcPr>
          <w:p w14:paraId="73815E1B" w14:textId="77777777" w:rsidR="00356EAF" w:rsidRPr="00611D5F" w:rsidRDefault="00356EAF" w:rsidP="008763B9">
            <w:pPr>
              <w:rPr>
                <w:rFonts w:cs="Times New Roman"/>
                <w:szCs w:val="24"/>
              </w:rPr>
            </w:pPr>
            <w:r w:rsidRPr="00611D5F">
              <w:rPr>
                <w:rFonts w:cs="Times New Roman"/>
                <w:szCs w:val="24"/>
              </w:rPr>
              <w:t>Assessments</w:t>
            </w:r>
          </w:p>
        </w:tc>
        <w:tc>
          <w:tcPr>
            <w:tcW w:w="2020" w:type="dxa"/>
            <w:shd w:val="clear" w:color="auto" w:fill="EEECE1" w:themeFill="background2"/>
          </w:tcPr>
          <w:p w14:paraId="450437B5" w14:textId="77777777" w:rsidR="00356EAF" w:rsidRPr="00611D5F" w:rsidRDefault="00356EAF" w:rsidP="008763B9">
            <w:pPr>
              <w:rPr>
                <w:rFonts w:cs="Times New Roman"/>
                <w:szCs w:val="24"/>
              </w:rPr>
            </w:pPr>
            <w:r w:rsidRPr="00611D5F">
              <w:rPr>
                <w:rFonts w:cs="Times New Roman"/>
                <w:szCs w:val="24"/>
              </w:rPr>
              <w:t>Types of maltreatment</w:t>
            </w:r>
          </w:p>
        </w:tc>
        <w:tc>
          <w:tcPr>
            <w:tcW w:w="3600" w:type="dxa"/>
            <w:shd w:val="clear" w:color="auto" w:fill="EEECE1" w:themeFill="background2"/>
          </w:tcPr>
          <w:p w14:paraId="4DD9E502" w14:textId="77777777" w:rsidR="00356EAF" w:rsidRPr="00611D5F" w:rsidRDefault="00356EAF" w:rsidP="008763B9">
            <w:pPr>
              <w:rPr>
                <w:rFonts w:cs="Times New Roman"/>
                <w:szCs w:val="24"/>
              </w:rPr>
            </w:pPr>
            <w:r w:rsidRPr="00611D5F">
              <w:rPr>
                <w:rFonts w:cs="Times New Roman"/>
                <w:szCs w:val="24"/>
              </w:rPr>
              <w:t>Main Findings</w:t>
            </w:r>
          </w:p>
        </w:tc>
      </w:tr>
      <w:tr w:rsidR="00356EAF" w:rsidRPr="003E6712" w14:paraId="6FDB2211" w14:textId="77777777" w:rsidTr="008763B9">
        <w:tc>
          <w:tcPr>
            <w:tcW w:w="1795" w:type="dxa"/>
          </w:tcPr>
          <w:p w14:paraId="3BBBC6F6" w14:textId="77777777" w:rsidR="00356EAF" w:rsidRPr="00611D5F" w:rsidRDefault="00356EAF" w:rsidP="008763B9">
            <w:pPr>
              <w:rPr>
                <w:rFonts w:cs="Times New Roman"/>
                <w:szCs w:val="24"/>
              </w:rPr>
            </w:pPr>
            <w:r w:rsidRPr="00611D5F">
              <w:rPr>
                <w:rFonts w:cs="Times New Roman"/>
                <w:szCs w:val="24"/>
              </w:rPr>
              <w:t xml:space="preserve">Jumper 1995 </w:t>
            </w:r>
          </w:p>
        </w:tc>
        <w:tc>
          <w:tcPr>
            <w:tcW w:w="2590" w:type="dxa"/>
          </w:tcPr>
          <w:p w14:paraId="2DCC9865" w14:textId="77777777" w:rsidR="00356EAF" w:rsidRPr="00611D5F" w:rsidRDefault="00356EAF" w:rsidP="008763B9">
            <w:pPr>
              <w:rPr>
                <w:rFonts w:cs="Times New Roman"/>
                <w:szCs w:val="24"/>
              </w:rPr>
            </w:pPr>
            <w:r w:rsidRPr="00611D5F">
              <w:rPr>
                <w:rFonts w:cs="Times New Roman"/>
                <w:szCs w:val="24"/>
              </w:rPr>
              <w:t>Meta-analysis of 23 studies, with a total n= 6,878 adult subjects</w:t>
            </w:r>
          </w:p>
          <w:p w14:paraId="1CFF2A0B" w14:textId="77777777" w:rsidR="00356EAF" w:rsidRPr="00611D5F" w:rsidRDefault="00356EAF" w:rsidP="008763B9">
            <w:pPr>
              <w:rPr>
                <w:rFonts w:cs="Times New Roman"/>
                <w:szCs w:val="24"/>
              </w:rPr>
            </w:pPr>
          </w:p>
        </w:tc>
        <w:tc>
          <w:tcPr>
            <w:tcW w:w="2590" w:type="dxa"/>
          </w:tcPr>
          <w:p w14:paraId="03FCA930" w14:textId="77777777" w:rsidR="00356EAF" w:rsidRPr="00611D5F" w:rsidRDefault="00356EAF" w:rsidP="008763B9">
            <w:pPr>
              <w:rPr>
                <w:rFonts w:cs="Times New Roman"/>
                <w:szCs w:val="24"/>
              </w:rPr>
            </w:pPr>
            <w:r w:rsidRPr="00611D5F">
              <w:rPr>
                <w:rFonts w:cs="Times New Roman"/>
                <w:szCs w:val="24"/>
              </w:rPr>
              <w:t>Depression, self-esteem, psychological symptomatology (e.g. anxiety, somatic d/o, psychosis, etc.)</w:t>
            </w:r>
          </w:p>
        </w:tc>
        <w:tc>
          <w:tcPr>
            <w:tcW w:w="2020" w:type="dxa"/>
          </w:tcPr>
          <w:p w14:paraId="0EF34AF7"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268FA5DF" w14:textId="77777777" w:rsidR="00356EAF" w:rsidRPr="00611D5F" w:rsidRDefault="00356EAF" w:rsidP="008763B9">
            <w:pPr>
              <w:rPr>
                <w:rFonts w:cs="Times New Roman"/>
                <w:szCs w:val="24"/>
              </w:rPr>
            </w:pPr>
            <w:r w:rsidRPr="00611D5F">
              <w:rPr>
                <w:rFonts w:cs="Times New Roman"/>
                <w:szCs w:val="24"/>
              </w:rPr>
              <w:t>Sexual abuse is associated with increased risk for depression, low self-esteem and psychological symptomatology. No significant sex differences emerged in any of the measurements.</w:t>
            </w:r>
          </w:p>
        </w:tc>
      </w:tr>
      <w:tr w:rsidR="00356EAF" w:rsidRPr="003E6712" w14:paraId="1A727A4C" w14:textId="77777777" w:rsidTr="008763B9">
        <w:tc>
          <w:tcPr>
            <w:tcW w:w="1795" w:type="dxa"/>
          </w:tcPr>
          <w:p w14:paraId="44B6E002" w14:textId="77777777" w:rsidR="00356EAF" w:rsidRPr="00611D5F" w:rsidRDefault="00356EAF" w:rsidP="008763B9">
            <w:pPr>
              <w:rPr>
                <w:rFonts w:cs="Times New Roman"/>
                <w:szCs w:val="24"/>
              </w:rPr>
            </w:pPr>
            <w:proofErr w:type="spellStart"/>
            <w:r w:rsidRPr="00611D5F">
              <w:rPr>
                <w:rFonts w:cs="Times New Roman"/>
                <w:szCs w:val="24"/>
              </w:rPr>
              <w:t>Paolucci</w:t>
            </w:r>
            <w:proofErr w:type="spellEnd"/>
            <w:r w:rsidRPr="00611D5F">
              <w:rPr>
                <w:rFonts w:cs="Times New Roman"/>
                <w:szCs w:val="24"/>
              </w:rPr>
              <w:t xml:space="preserve"> 2001 </w:t>
            </w:r>
          </w:p>
        </w:tc>
        <w:tc>
          <w:tcPr>
            <w:tcW w:w="2590" w:type="dxa"/>
          </w:tcPr>
          <w:p w14:paraId="36BC940E" w14:textId="77777777" w:rsidR="00356EAF" w:rsidRPr="00611D5F" w:rsidRDefault="00356EAF" w:rsidP="008763B9">
            <w:pPr>
              <w:rPr>
                <w:rFonts w:cs="Times New Roman"/>
                <w:szCs w:val="24"/>
              </w:rPr>
            </w:pPr>
            <w:r w:rsidRPr="00611D5F">
              <w:rPr>
                <w:rFonts w:cs="Times New Roman"/>
                <w:szCs w:val="24"/>
              </w:rPr>
              <w:t>Meta-analysis of 37 studies, with a total n= 25,367 adult subjects</w:t>
            </w:r>
          </w:p>
          <w:p w14:paraId="7B88A311" w14:textId="77777777" w:rsidR="00356EAF" w:rsidRPr="00611D5F" w:rsidRDefault="00356EAF" w:rsidP="008763B9">
            <w:pPr>
              <w:rPr>
                <w:rFonts w:cs="Times New Roman"/>
                <w:szCs w:val="24"/>
              </w:rPr>
            </w:pPr>
          </w:p>
        </w:tc>
        <w:tc>
          <w:tcPr>
            <w:tcW w:w="2590" w:type="dxa"/>
          </w:tcPr>
          <w:p w14:paraId="43E4B60A" w14:textId="77777777" w:rsidR="00356EAF" w:rsidRPr="00611D5F" w:rsidRDefault="00356EAF" w:rsidP="008763B9">
            <w:pPr>
              <w:rPr>
                <w:rFonts w:cs="Times New Roman"/>
                <w:szCs w:val="24"/>
              </w:rPr>
            </w:pPr>
            <w:r w:rsidRPr="00611D5F">
              <w:rPr>
                <w:rFonts w:cs="Times New Roman"/>
                <w:szCs w:val="24"/>
              </w:rPr>
              <w:t>PTSD, suicide, sexual promiscuity, victimization, academic performance</w:t>
            </w:r>
          </w:p>
        </w:tc>
        <w:tc>
          <w:tcPr>
            <w:tcW w:w="2020" w:type="dxa"/>
          </w:tcPr>
          <w:p w14:paraId="38288901"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061CD05F" w14:textId="77777777" w:rsidR="00356EAF" w:rsidRPr="00611D5F" w:rsidRDefault="00356EAF" w:rsidP="008763B9">
            <w:pPr>
              <w:rPr>
                <w:rFonts w:cs="Times New Roman"/>
                <w:szCs w:val="24"/>
              </w:rPr>
            </w:pPr>
            <w:r w:rsidRPr="00611D5F">
              <w:rPr>
                <w:rFonts w:cs="Times New Roman"/>
                <w:szCs w:val="24"/>
              </w:rPr>
              <w:t xml:space="preserve">Sexual abuse is associated with increased risk for all outcomes measured, with no </w:t>
            </w:r>
            <w:r>
              <w:rPr>
                <w:rFonts w:cs="Times New Roman"/>
                <w:szCs w:val="24"/>
              </w:rPr>
              <w:t xml:space="preserve">significant </w:t>
            </w:r>
            <w:r w:rsidRPr="00611D5F">
              <w:rPr>
                <w:rFonts w:cs="Times New Roman"/>
                <w:szCs w:val="24"/>
              </w:rPr>
              <w:t>difference</w:t>
            </w:r>
            <w:r>
              <w:rPr>
                <w:rFonts w:cs="Times New Roman"/>
                <w:szCs w:val="24"/>
              </w:rPr>
              <w:t>s</w:t>
            </w:r>
            <w:r w:rsidRPr="00611D5F">
              <w:rPr>
                <w:rFonts w:cs="Times New Roman"/>
                <w:szCs w:val="24"/>
              </w:rPr>
              <w:t xml:space="preserve"> between males and females.</w:t>
            </w:r>
          </w:p>
        </w:tc>
      </w:tr>
      <w:tr w:rsidR="00356EAF" w:rsidRPr="003E6712" w14:paraId="15AC6A02" w14:textId="77777777" w:rsidTr="008763B9">
        <w:tc>
          <w:tcPr>
            <w:tcW w:w="1795" w:type="dxa"/>
          </w:tcPr>
          <w:p w14:paraId="34CA6869" w14:textId="77777777" w:rsidR="00356EAF" w:rsidRPr="00611D5F" w:rsidRDefault="00356EAF" w:rsidP="008763B9">
            <w:pPr>
              <w:rPr>
                <w:rFonts w:cs="Times New Roman"/>
                <w:szCs w:val="24"/>
              </w:rPr>
            </w:pPr>
            <w:r w:rsidRPr="00611D5F">
              <w:rPr>
                <w:rFonts w:cs="Times New Roman"/>
                <w:szCs w:val="24"/>
              </w:rPr>
              <w:t xml:space="preserve">Gershon 2008 </w:t>
            </w:r>
          </w:p>
        </w:tc>
        <w:tc>
          <w:tcPr>
            <w:tcW w:w="2590" w:type="dxa"/>
          </w:tcPr>
          <w:p w14:paraId="541463D4" w14:textId="77777777" w:rsidR="00356EAF" w:rsidRPr="00611D5F" w:rsidRDefault="00356EAF" w:rsidP="008763B9">
            <w:pPr>
              <w:rPr>
                <w:rFonts w:cs="Times New Roman"/>
                <w:szCs w:val="24"/>
              </w:rPr>
            </w:pPr>
            <w:r w:rsidRPr="00611D5F">
              <w:rPr>
                <w:rFonts w:cs="Times New Roman"/>
                <w:szCs w:val="24"/>
              </w:rPr>
              <w:t xml:space="preserve">Systematic review of 30 studies that formally assessed for sex X CM interaction, with separate analyses for adolescents and adults  </w:t>
            </w:r>
          </w:p>
        </w:tc>
        <w:tc>
          <w:tcPr>
            <w:tcW w:w="2590" w:type="dxa"/>
          </w:tcPr>
          <w:p w14:paraId="2D469422" w14:textId="5779E6F4" w:rsidR="00356EAF" w:rsidRPr="00611D5F" w:rsidRDefault="00877FCE" w:rsidP="008763B9">
            <w:pPr>
              <w:rPr>
                <w:rFonts w:cs="Times New Roman"/>
                <w:szCs w:val="24"/>
              </w:rPr>
            </w:pPr>
            <w:r>
              <w:rPr>
                <w:rFonts w:cs="Times New Roman"/>
                <w:szCs w:val="24"/>
              </w:rPr>
              <w:t>Multiple psychopathologies including anxiety, depression, and substance abuse.</w:t>
            </w:r>
          </w:p>
        </w:tc>
        <w:tc>
          <w:tcPr>
            <w:tcW w:w="2020" w:type="dxa"/>
          </w:tcPr>
          <w:p w14:paraId="07ADA735" w14:textId="77777777" w:rsidR="00356EAF" w:rsidRPr="00611D5F" w:rsidRDefault="00356EAF" w:rsidP="008763B9">
            <w:pPr>
              <w:rPr>
                <w:rFonts w:cs="Times New Roman"/>
                <w:szCs w:val="24"/>
              </w:rPr>
            </w:pPr>
            <w:r w:rsidRPr="00611D5F">
              <w:rPr>
                <w:rFonts w:cs="Times New Roman"/>
                <w:szCs w:val="24"/>
              </w:rPr>
              <w:t>Sexual abuse, physical abuse, peer victimization</w:t>
            </w:r>
          </w:p>
        </w:tc>
        <w:tc>
          <w:tcPr>
            <w:tcW w:w="3600" w:type="dxa"/>
          </w:tcPr>
          <w:p w14:paraId="2BF46157" w14:textId="77777777" w:rsidR="00356EAF" w:rsidRPr="00611D5F" w:rsidRDefault="00356EAF" w:rsidP="008763B9">
            <w:pPr>
              <w:rPr>
                <w:rFonts w:cs="Times New Roman"/>
                <w:szCs w:val="24"/>
              </w:rPr>
            </w:pPr>
            <w:r w:rsidRPr="00611D5F">
              <w:rPr>
                <w:rFonts w:cs="Times New Roman"/>
                <w:szCs w:val="24"/>
              </w:rPr>
              <w:t xml:space="preserve">CM is associated with worse outcomes in male adolescents with no clear sex differences in adulthood </w:t>
            </w:r>
          </w:p>
          <w:p w14:paraId="59470C36" w14:textId="77777777" w:rsidR="00356EAF" w:rsidRPr="00611D5F" w:rsidRDefault="00356EAF" w:rsidP="008763B9">
            <w:pPr>
              <w:rPr>
                <w:rFonts w:cs="Times New Roman"/>
                <w:szCs w:val="24"/>
              </w:rPr>
            </w:pPr>
          </w:p>
        </w:tc>
      </w:tr>
      <w:tr w:rsidR="00356EAF" w:rsidRPr="003E6712" w14:paraId="7ACDFEB4" w14:textId="77777777" w:rsidTr="008763B9">
        <w:tc>
          <w:tcPr>
            <w:tcW w:w="1795" w:type="dxa"/>
          </w:tcPr>
          <w:p w14:paraId="126B81E8" w14:textId="77777777" w:rsidR="00356EAF" w:rsidRPr="00611D5F" w:rsidRDefault="00356EAF" w:rsidP="008763B9">
            <w:pPr>
              <w:rPr>
                <w:rFonts w:cs="Times New Roman"/>
                <w:szCs w:val="24"/>
              </w:rPr>
            </w:pPr>
            <w:r w:rsidRPr="00611D5F">
              <w:rPr>
                <w:rFonts w:cs="Times New Roman"/>
                <w:szCs w:val="24"/>
              </w:rPr>
              <w:t>Chen 2010</w:t>
            </w:r>
          </w:p>
          <w:p w14:paraId="41635714" w14:textId="77777777" w:rsidR="00356EAF" w:rsidRPr="00611D5F" w:rsidRDefault="00356EAF" w:rsidP="008763B9">
            <w:pPr>
              <w:rPr>
                <w:rFonts w:cs="Times New Roman"/>
                <w:szCs w:val="24"/>
              </w:rPr>
            </w:pPr>
          </w:p>
        </w:tc>
        <w:tc>
          <w:tcPr>
            <w:tcW w:w="2590" w:type="dxa"/>
          </w:tcPr>
          <w:p w14:paraId="1B108424" w14:textId="77777777" w:rsidR="00356EAF" w:rsidRPr="00611D5F" w:rsidRDefault="00356EAF" w:rsidP="008763B9">
            <w:pPr>
              <w:rPr>
                <w:rFonts w:cs="Times New Roman"/>
                <w:szCs w:val="24"/>
              </w:rPr>
            </w:pPr>
            <w:r w:rsidRPr="00611D5F">
              <w:rPr>
                <w:rFonts w:cs="Times New Roman"/>
                <w:szCs w:val="24"/>
              </w:rPr>
              <w:lastRenderedPageBreak/>
              <w:t xml:space="preserve">Large meta-analysis using 37 studies (17 </w:t>
            </w:r>
            <w:r w:rsidRPr="00611D5F">
              <w:rPr>
                <w:rFonts w:cs="Times New Roman"/>
                <w:szCs w:val="24"/>
              </w:rPr>
              <w:lastRenderedPageBreak/>
              <w:t>case-control studies and 20 cohorts) with a total n= 3,162,318 participants</w:t>
            </w:r>
          </w:p>
        </w:tc>
        <w:tc>
          <w:tcPr>
            <w:tcW w:w="2590" w:type="dxa"/>
          </w:tcPr>
          <w:p w14:paraId="63AA25CE" w14:textId="77777777" w:rsidR="00356EAF" w:rsidRPr="00611D5F" w:rsidRDefault="00356EAF" w:rsidP="008763B9">
            <w:pPr>
              <w:rPr>
                <w:rFonts w:cs="Times New Roman"/>
                <w:szCs w:val="24"/>
              </w:rPr>
            </w:pPr>
            <w:r w:rsidRPr="00611D5F">
              <w:rPr>
                <w:rFonts w:cs="Times New Roman"/>
                <w:szCs w:val="24"/>
              </w:rPr>
              <w:lastRenderedPageBreak/>
              <w:t xml:space="preserve">Anxiety, depression, eating </w:t>
            </w:r>
            <w:r>
              <w:rPr>
                <w:rFonts w:cs="Times New Roman"/>
                <w:szCs w:val="24"/>
              </w:rPr>
              <w:t>d/o</w:t>
            </w:r>
            <w:r w:rsidRPr="00611D5F">
              <w:rPr>
                <w:rFonts w:cs="Times New Roman"/>
                <w:szCs w:val="24"/>
              </w:rPr>
              <w:t>, PTSD, sleep</w:t>
            </w:r>
            <w:r>
              <w:rPr>
                <w:rFonts w:cs="Times New Roman"/>
                <w:szCs w:val="24"/>
              </w:rPr>
              <w:t xml:space="preserve"> </w:t>
            </w:r>
            <w:r>
              <w:rPr>
                <w:rFonts w:cs="Times New Roman"/>
                <w:szCs w:val="24"/>
              </w:rPr>
              <w:lastRenderedPageBreak/>
              <w:t>d/o</w:t>
            </w:r>
            <w:r w:rsidRPr="00611D5F">
              <w:rPr>
                <w:rFonts w:cs="Times New Roman"/>
                <w:szCs w:val="24"/>
              </w:rPr>
              <w:t>, somatization d</w:t>
            </w:r>
            <w:r>
              <w:rPr>
                <w:rFonts w:cs="Times New Roman"/>
                <w:szCs w:val="24"/>
              </w:rPr>
              <w:t>/o</w:t>
            </w:r>
            <w:r w:rsidRPr="00611D5F">
              <w:rPr>
                <w:rFonts w:cs="Times New Roman"/>
                <w:szCs w:val="24"/>
              </w:rPr>
              <w:t>, schizophrenia and suicide attempts.</w:t>
            </w:r>
          </w:p>
        </w:tc>
        <w:tc>
          <w:tcPr>
            <w:tcW w:w="2020" w:type="dxa"/>
          </w:tcPr>
          <w:p w14:paraId="117929AE" w14:textId="77777777" w:rsidR="00356EAF" w:rsidRPr="00611D5F" w:rsidRDefault="00356EAF" w:rsidP="008763B9">
            <w:pPr>
              <w:rPr>
                <w:rFonts w:cs="Times New Roman"/>
                <w:szCs w:val="24"/>
              </w:rPr>
            </w:pPr>
            <w:r w:rsidRPr="00611D5F">
              <w:rPr>
                <w:rFonts w:cs="Times New Roman"/>
                <w:szCs w:val="24"/>
              </w:rPr>
              <w:lastRenderedPageBreak/>
              <w:t>Sexual abuse</w:t>
            </w:r>
          </w:p>
        </w:tc>
        <w:tc>
          <w:tcPr>
            <w:tcW w:w="3600" w:type="dxa"/>
          </w:tcPr>
          <w:p w14:paraId="7040A384" w14:textId="77777777" w:rsidR="00356EAF" w:rsidRPr="00611D5F" w:rsidRDefault="00356EAF" w:rsidP="008763B9">
            <w:pPr>
              <w:rPr>
                <w:rFonts w:cs="Times New Roman"/>
                <w:szCs w:val="24"/>
              </w:rPr>
            </w:pPr>
            <w:r>
              <w:rPr>
                <w:rFonts w:cs="Times New Roman"/>
                <w:szCs w:val="24"/>
              </w:rPr>
              <w:t>S</w:t>
            </w:r>
            <w:r w:rsidRPr="00611D5F">
              <w:rPr>
                <w:rFonts w:cs="Times New Roman"/>
                <w:szCs w:val="24"/>
              </w:rPr>
              <w:t>exual abuse increases the risk for anxiety d</w:t>
            </w:r>
            <w:r>
              <w:rPr>
                <w:rFonts w:cs="Times New Roman"/>
                <w:szCs w:val="24"/>
              </w:rPr>
              <w:t>/o</w:t>
            </w:r>
            <w:r w:rsidRPr="00611D5F">
              <w:rPr>
                <w:rFonts w:cs="Times New Roman"/>
                <w:szCs w:val="24"/>
              </w:rPr>
              <w:t>, depression, eating d</w:t>
            </w:r>
            <w:r>
              <w:rPr>
                <w:rFonts w:cs="Times New Roman"/>
                <w:szCs w:val="24"/>
              </w:rPr>
              <w:t>/o</w:t>
            </w:r>
            <w:r w:rsidRPr="00611D5F">
              <w:rPr>
                <w:rFonts w:cs="Times New Roman"/>
                <w:szCs w:val="24"/>
              </w:rPr>
              <w:t xml:space="preserve">, </w:t>
            </w:r>
            <w:r w:rsidRPr="00611D5F">
              <w:rPr>
                <w:rFonts w:cs="Times New Roman"/>
                <w:szCs w:val="24"/>
              </w:rPr>
              <w:lastRenderedPageBreak/>
              <w:t>PTSD, sle</w:t>
            </w:r>
            <w:r>
              <w:rPr>
                <w:rFonts w:cs="Times New Roman"/>
                <w:szCs w:val="24"/>
              </w:rPr>
              <w:t>ep d/o</w:t>
            </w:r>
            <w:r w:rsidRPr="00611D5F">
              <w:rPr>
                <w:rFonts w:cs="Times New Roman"/>
                <w:szCs w:val="24"/>
              </w:rPr>
              <w:t xml:space="preserve"> and suicide attempts in both men and women (no interaction between sex and sexual abuse). History of rape was associated with increased risk for psychopathology.</w:t>
            </w:r>
          </w:p>
        </w:tc>
      </w:tr>
      <w:tr w:rsidR="00356EAF" w:rsidRPr="003E6712" w14:paraId="6826CFE1" w14:textId="77777777" w:rsidTr="008763B9">
        <w:tc>
          <w:tcPr>
            <w:tcW w:w="12595" w:type="dxa"/>
            <w:gridSpan w:val="5"/>
            <w:shd w:val="clear" w:color="auto" w:fill="EEECE1" w:themeFill="background2"/>
          </w:tcPr>
          <w:p w14:paraId="4BB1340E" w14:textId="545A1F89" w:rsidR="00356EAF" w:rsidRPr="00611D5F" w:rsidRDefault="00356EAF" w:rsidP="008763B9">
            <w:pPr>
              <w:jc w:val="center"/>
              <w:rPr>
                <w:rFonts w:cs="Times New Roman"/>
                <w:szCs w:val="24"/>
              </w:rPr>
            </w:pPr>
            <w:r w:rsidRPr="00611D5F">
              <w:rPr>
                <w:rFonts w:cs="Times New Roman"/>
                <w:szCs w:val="24"/>
              </w:rPr>
              <w:lastRenderedPageBreak/>
              <w:t>Multiple forms of maltreatment</w:t>
            </w:r>
            <w:r w:rsidR="00F95893">
              <w:rPr>
                <w:rFonts w:cs="Times New Roman"/>
                <w:szCs w:val="24"/>
              </w:rPr>
              <w:t>- cumulative risk</w:t>
            </w:r>
          </w:p>
        </w:tc>
      </w:tr>
      <w:tr w:rsidR="00356EAF" w:rsidRPr="003E6712" w14:paraId="39C106DF" w14:textId="77777777" w:rsidTr="008763B9">
        <w:tc>
          <w:tcPr>
            <w:tcW w:w="1795" w:type="dxa"/>
            <w:shd w:val="clear" w:color="auto" w:fill="EEECE1" w:themeFill="background2"/>
          </w:tcPr>
          <w:p w14:paraId="3401DFED" w14:textId="77777777" w:rsidR="00356EAF" w:rsidRPr="00611D5F" w:rsidRDefault="00356EAF" w:rsidP="008763B9">
            <w:pPr>
              <w:rPr>
                <w:rFonts w:cs="Times New Roman"/>
                <w:szCs w:val="24"/>
              </w:rPr>
            </w:pPr>
            <w:r w:rsidRPr="00611D5F">
              <w:rPr>
                <w:rFonts w:cs="Times New Roman"/>
                <w:szCs w:val="24"/>
              </w:rPr>
              <w:t>Reference</w:t>
            </w:r>
          </w:p>
        </w:tc>
        <w:tc>
          <w:tcPr>
            <w:tcW w:w="2590" w:type="dxa"/>
            <w:shd w:val="clear" w:color="auto" w:fill="EEECE1" w:themeFill="background2"/>
          </w:tcPr>
          <w:p w14:paraId="46F8643C" w14:textId="77777777" w:rsidR="00356EAF" w:rsidRPr="00611D5F" w:rsidRDefault="00356EAF" w:rsidP="008763B9">
            <w:pPr>
              <w:rPr>
                <w:rFonts w:cs="Times New Roman"/>
                <w:szCs w:val="24"/>
              </w:rPr>
            </w:pPr>
            <w:r w:rsidRPr="00611D5F">
              <w:rPr>
                <w:rFonts w:cs="Times New Roman"/>
                <w:szCs w:val="24"/>
              </w:rPr>
              <w:t>Sample description</w:t>
            </w:r>
          </w:p>
        </w:tc>
        <w:tc>
          <w:tcPr>
            <w:tcW w:w="2590" w:type="dxa"/>
            <w:shd w:val="clear" w:color="auto" w:fill="EEECE1" w:themeFill="background2"/>
          </w:tcPr>
          <w:p w14:paraId="422A232B" w14:textId="77777777" w:rsidR="00356EAF" w:rsidRPr="00611D5F" w:rsidRDefault="00356EAF" w:rsidP="008763B9">
            <w:pPr>
              <w:rPr>
                <w:rFonts w:cs="Times New Roman"/>
                <w:szCs w:val="24"/>
              </w:rPr>
            </w:pPr>
            <w:r w:rsidRPr="00611D5F">
              <w:rPr>
                <w:rFonts w:cs="Times New Roman"/>
                <w:szCs w:val="24"/>
              </w:rPr>
              <w:t>Assessments</w:t>
            </w:r>
          </w:p>
        </w:tc>
        <w:tc>
          <w:tcPr>
            <w:tcW w:w="2020" w:type="dxa"/>
            <w:shd w:val="clear" w:color="auto" w:fill="EEECE1" w:themeFill="background2"/>
          </w:tcPr>
          <w:p w14:paraId="65940C80" w14:textId="77777777" w:rsidR="00356EAF" w:rsidRPr="00611D5F" w:rsidRDefault="00356EAF" w:rsidP="008763B9">
            <w:pPr>
              <w:rPr>
                <w:rFonts w:cs="Times New Roman"/>
                <w:szCs w:val="24"/>
              </w:rPr>
            </w:pPr>
            <w:r w:rsidRPr="00611D5F">
              <w:rPr>
                <w:rFonts w:cs="Times New Roman"/>
                <w:szCs w:val="24"/>
              </w:rPr>
              <w:t>Types of maltreatment</w:t>
            </w:r>
          </w:p>
        </w:tc>
        <w:tc>
          <w:tcPr>
            <w:tcW w:w="3600" w:type="dxa"/>
            <w:shd w:val="clear" w:color="auto" w:fill="EEECE1" w:themeFill="background2"/>
          </w:tcPr>
          <w:p w14:paraId="7BB06935" w14:textId="77777777" w:rsidR="00356EAF" w:rsidRPr="00611D5F" w:rsidRDefault="00356EAF" w:rsidP="008763B9">
            <w:pPr>
              <w:rPr>
                <w:rFonts w:cs="Times New Roman"/>
                <w:szCs w:val="24"/>
              </w:rPr>
            </w:pPr>
            <w:r w:rsidRPr="00611D5F">
              <w:rPr>
                <w:rFonts w:cs="Times New Roman"/>
                <w:szCs w:val="24"/>
              </w:rPr>
              <w:t>Main Findings</w:t>
            </w:r>
          </w:p>
        </w:tc>
      </w:tr>
      <w:tr w:rsidR="00356EAF" w:rsidRPr="003E6712" w14:paraId="228D6028" w14:textId="77777777" w:rsidTr="008763B9">
        <w:tc>
          <w:tcPr>
            <w:tcW w:w="1795" w:type="dxa"/>
          </w:tcPr>
          <w:p w14:paraId="3D317327" w14:textId="77777777" w:rsidR="00356EAF" w:rsidRPr="00611D5F" w:rsidRDefault="00356EAF" w:rsidP="008763B9">
            <w:pPr>
              <w:rPr>
                <w:rFonts w:cs="Times New Roman"/>
                <w:szCs w:val="24"/>
                <w:highlight w:val="yellow"/>
              </w:rPr>
            </w:pPr>
            <w:r w:rsidRPr="00611D5F">
              <w:rPr>
                <w:rFonts w:cs="Times New Roman"/>
                <w:szCs w:val="24"/>
              </w:rPr>
              <w:t xml:space="preserve">Keyes 2012 </w:t>
            </w:r>
          </w:p>
        </w:tc>
        <w:tc>
          <w:tcPr>
            <w:tcW w:w="2590" w:type="dxa"/>
          </w:tcPr>
          <w:p w14:paraId="2D1B665A" w14:textId="77777777" w:rsidR="00356EAF" w:rsidRPr="00611D5F" w:rsidRDefault="00356EAF" w:rsidP="008763B9">
            <w:pPr>
              <w:rPr>
                <w:rFonts w:cs="Times New Roman"/>
                <w:szCs w:val="24"/>
              </w:rPr>
            </w:pPr>
            <w:r w:rsidRPr="00611D5F">
              <w:rPr>
                <w:rFonts w:cs="Times New Roman"/>
                <w:szCs w:val="24"/>
              </w:rPr>
              <w:t xml:space="preserve">General population sample of 34,653 adults living in the USA, 52% men  </w:t>
            </w:r>
          </w:p>
        </w:tc>
        <w:tc>
          <w:tcPr>
            <w:tcW w:w="2590" w:type="dxa"/>
          </w:tcPr>
          <w:p w14:paraId="0F32539B" w14:textId="77777777" w:rsidR="00356EAF" w:rsidRPr="00611D5F" w:rsidRDefault="00356EAF" w:rsidP="008763B9">
            <w:pPr>
              <w:rPr>
                <w:rFonts w:cs="Times New Roman"/>
                <w:szCs w:val="24"/>
              </w:rPr>
            </w:pPr>
            <w:r w:rsidRPr="00611D5F">
              <w:rPr>
                <w:rFonts w:cs="Times New Roman"/>
                <w:szCs w:val="24"/>
              </w:rPr>
              <w:t>Internalizing and externalizing dimensions of psychopathology. Used</w:t>
            </w:r>
            <w:r>
              <w:rPr>
                <w:rFonts w:cs="Times New Roman"/>
                <w:szCs w:val="24"/>
              </w:rPr>
              <w:t xml:space="preserve"> </w:t>
            </w:r>
            <w:r w:rsidRPr="00611D5F">
              <w:rPr>
                <w:rFonts w:cs="Times New Roman"/>
                <w:szCs w:val="24"/>
              </w:rPr>
              <w:t>structured interview and a 19-item questionnaire from the Conflict Tactics Scale and the Childhood Trauma Questionnaire.</w:t>
            </w:r>
          </w:p>
          <w:p w14:paraId="18BE0AAC" w14:textId="77777777" w:rsidR="00356EAF" w:rsidRPr="00611D5F" w:rsidRDefault="00356EAF" w:rsidP="008763B9">
            <w:pPr>
              <w:rPr>
                <w:rFonts w:cs="Times New Roman"/>
                <w:szCs w:val="24"/>
              </w:rPr>
            </w:pPr>
          </w:p>
        </w:tc>
        <w:tc>
          <w:tcPr>
            <w:tcW w:w="2020" w:type="dxa"/>
          </w:tcPr>
          <w:p w14:paraId="4DAC2626" w14:textId="77777777" w:rsidR="00356EAF" w:rsidRPr="00611D5F" w:rsidRDefault="00356EAF" w:rsidP="008763B9">
            <w:pPr>
              <w:rPr>
                <w:rFonts w:cs="Times New Roman"/>
                <w:szCs w:val="24"/>
              </w:rPr>
            </w:pPr>
            <w:r w:rsidRPr="00611D5F">
              <w:rPr>
                <w:rFonts w:cs="Times New Roman"/>
                <w:szCs w:val="24"/>
              </w:rPr>
              <w:t>Sexual abuse, physical abuse, emotional abuse, physical neglect, emotional neglect</w:t>
            </w:r>
          </w:p>
        </w:tc>
        <w:tc>
          <w:tcPr>
            <w:tcW w:w="3600" w:type="dxa"/>
          </w:tcPr>
          <w:p w14:paraId="60406C73" w14:textId="77777777" w:rsidR="00356EAF" w:rsidRPr="00611D5F" w:rsidRDefault="00356EAF" w:rsidP="008763B9">
            <w:pPr>
              <w:rPr>
                <w:rFonts w:cs="Times New Roman"/>
                <w:szCs w:val="24"/>
              </w:rPr>
            </w:pPr>
            <w:r w:rsidRPr="00611D5F">
              <w:rPr>
                <w:rFonts w:cs="Times New Roman"/>
                <w:szCs w:val="24"/>
              </w:rPr>
              <w:t>Different forms of maltreatment lead to different vulnerabilities to internalizing and externalizing dimensions, with different effects of sex in some but not all forms of abuse. For example, sexual abuse increased risk for both internalizing and externalizing psychopathology in males and females, while physical abuse caused a significant increase in externalizing dimension in males and internalizing dimension in females.</w:t>
            </w:r>
          </w:p>
        </w:tc>
      </w:tr>
      <w:tr w:rsidR="00356EAF" w:rsidRPr="003E6712" w14:paraId="4A98AC73" w14:textId="77777777" w:rsidTr="008763B9">
        <w:tc>
          <w:tcPr>
            <w:tcW w:w="1795" w:type="dxa"/>
          </w:tcPr>
          <w:p w14:paraId="24AE92FC" w14:textId="77777777" w:rsidR="00356EAF" w:rsidRPr="00611D5F" w:rsidRDefault="00356EAF" w:rsidP="008763B9">
            <w:pPr>
              <w:rPr>
                <w:rFonts w:cs="Times New Roman"/>
                <w:szCs w:val="24"/>
              </w:rPr>
            </w:pPr>
            <w:r w:rsidRPr="00611D5F">
              <w:rPr>
                <w:rFonts w:cs="Times New Roman"/>
                <w:szCs w:val="24"/>
              </w:rPr>
              <w:t>MacMillan 2001</w:t>
            </w:r>
          </w:p>
          <w:p w14:paraId="584986B7" w14:textId="77777777" w:rsidR="00356EAF" w:rsidRPr="00611D5F" w:rsidRDefault="00356EAF" w:rsidP="008763B9">
            <w:pPr>
              <w:rPr>
                <w:rFonts w:cs="Times New Roman"/>
                <w:szCs w:val="24"/>
              </w:rPr>
            </w:pPr>
          </w:p>
        </w:tc>
        <w:tc>
          <w:tcPr>
            <w:tcW w:w="2590" w:type="dxa"/>
          </w:tcPr>
          <w:p w14:paraId="17C20B07" w14:textId="77777777" w:rsidR="00356EAF" w:rsidRPr="00611D5F" w:rsidRDefault="00356EAF" w:rsidP="008763B9">
            <w:pPr>
              <w:rPr>
                <w:rFonts w:cs="Times New Roman"/>
                <w:szCs w:val="24"/>
              </w:rPr>
            </w:pPr>
            <w:r w:rsidRPr="00611D5F">
              <w:rPr>
                <w:rFonts w:cs="Times New Roman"/>
                <w:szCs w:val="24"/>
              </w:rPr>
              <w:t xml:space="preserve">General population sample of 7,016 Ontario Canada residents, ages 15-64, 47% men  </w:t>
            </w:r>
          </w:p>
        </w:tc>
        <w:tc>
          <w:tcPr>
            <w:tcW w:w="2590" w:type="dxa"/>
          </w:tcPr>
          <w:p w14:paraId="0A2DB847" w14:textId="77777777" w:rsidR="00356EAF" w:rsidRPr="00611D5F" w:rsidRDefault="00356EAF" w:rsidP="008763B9">
            <w:pPr>
              <w:rPr>
                <w:rFonts w:cs="Times New Roman"/>
                <w:szCs w:val="24"/>
              </w:rPr>
            </w:pPr>
            <w:r w:rsidRPr="00611D5F">
              <w:rPr>
                <w:rFonts w:cs="Times New Roman"/>
                <w:szCs w:val="24"/>
              </w:rPr>
              <w:t>Anxiety d</w:t>
            </w:r>
            <w:r>
              <w:rPr>
                <w:rFonts w:cs="Times New Roman"/>
                <w:szCs w:val="24"/>
              </w:rPr>
              <w:t>/o</w:t>
            </w:r>
            <w:r w:rsidRPr="00611D5F">
              <w:rPr>
                <w:rFonts w:cs="Times New Roman"/>
                <w:szCs w:val="24"/>
              </w:rPr>
              <w:t>, major depression, alcohol use d</w:t>
            </w:r>
            <w:r>
              <w:rPr>
                <w:rFonts w:cs="Times New Roman"/>
                <w:szCs w:val="24"/>
              </w:rPr>
              <w:t>/o</w:t>
            </w:r>
            <w:r w:rsidRPr="00611D5F">
              <w:rPr>
                <w:rFonts w:cs="Times New Roman"/>
                <w:szCs w:val="24"/>
              </w:rPr>
              <w:t xml:space="preserve">, illicit drug abuse/dependence, antisocial personality </w:t>
            </w:r>
            <w:r w:rsidRPr="00611D5F">
              <w:rPr>
                <w:rFonts w:cs="Times New Roman"/>
                <w:szCs w:val="24"/>
              </w:rPr>
              <w:lastRenderedPageBreak/>
              <w:t>d</w:t>
            </w:r>
            <w:r>
              <w:rPr>
                <w:rFonts w:cs="Times New Roman"/>
                <w:szCs w:val="24"/>
              </w:rPr>
              <w:t>/o</w:t>
            </w:r>
            <w:r w:rsidRPr="00611D5F">
              <w:rPr>
                <w:rFonts w:cs="Times New Roman"/>
                <w:szCs w:val="24"/>
              </w:rPr>
              <w:t>, and any psychiatric diagnosis. Used diagnostic Interview and The Child Maltreatment History Self-Report.</w:t>
            </w:r>
          </w:p>
        </w:tc>
        <w:tc>
          <w:tcPr>
            <w:tcW w:w="2020" w:type="dxa"/>
          </w:tcPr>
          <w:p w14:paraId="17034021" w14:textId="77777777" w:rsidR="00356EAF" w:rsidRPr="00611D5F" w:rsidRDefault="00356EAF" w:rsidP="008763B9">
            <w:pPr>
              <w:rPr>
                <w:rFonts w:cs="Times New Roman"/>
                <w:szCs w:val="24"/>
              </w:rPr>
            </w:pPr>
            <w:r w:rsidRPr="00611D5F">
              <w:rPr>
                <w:rFonts w:cs="Times New Roman"/>
                <w:szCs w:val="24"/>
              </w:rPr>
              <w:lastRenderedPageBreak/>
              <w:t>Physical and sexual abuse</w:t>
            </w:r>
          </w:p>
        </w:tc>
        <w:tc>
          <w:tcPr>
            <w:tcW w:w="3600" w:type="dxa"/>
          </w:tcPr>
          <w:p w14:paraId="72BFFEA3" w14:textId="77777777" w:rsidR="00356EAF" w:rsidRPr="00611D5F" w:rsidRDefault="00356EAF" w:rsidP="008763B9">
            <w:pPr>
              <w:rPr>
                <w:rFonts w:cs="Times New Roman"/>
                <w:szCs w:val="24"/>
              </w:rPr>
            </w:pPr>
            <w:r w:rsidRPr="00611D5F">
              <w:rPr>
                <w:rFonts w:cs="Times New Roman"/>
                <w:szCs w:val="24"/>
              </w:rPr>
              <w:t>Both physical and sexual abuse increase the risk for many psychiatri</w:t>
            </w:r>
            <w:r>
              <w:rPr>
                <w:rFonts w:cs="Times New Roman"/>
                <w:szCs w:val="24"/>
              </w:rPr>
              <w:t>c d/o</w:t>
            </w:r>
            <w:r w:rsidRPr="00611D5F">
              <w:rPr>
                <w:rFonts w:cs="Times New Roman"/>
                <w:szCs w:val="24"/>
              </w:rPr>
              <w:t xml:space="preserve"> and this effect was more pronounced in women across almost all diagnoses. The sample </w:t>
            </w:r>
            <w:r w:rsidRPr="00611D5F">
              <w:rPr>
                <w:rFonts w:cs="Times New Roman"/>
                <w:szCs w:val="24"/>
              </w:rPr>
              <w:lastRenderedPageBreak/>
              <w:t>size for sexual abuse in males was underpowered and there is a concern for higher rate of physical/sexual abuse in females compared to males.</w:t>
            </w:r>
          </w:p>
        </w:tc>
      </w:tr>
      <w:tr w:rsidR="00356EAF" w:rsidRPr="003E6712" w14:paraId="21CC98CC" w14:textId="77777777" w:rsidTr="008763B9">
        <w:tc>
          <w:tcPr>
            <w:tcW w:w="1795" w:type="dxa"/>
          </w:tcPr>
          <w:p w14:paraId="5E1C8DB8" w14:textId="77777777" w:rsidR="00356EAF" w:rsidRPr="00611D5F" w:rsidRDefault="00356EAF" w:rsidP="008763B9">
            <w:pPr>
              <w:rPr>
                <w:rFonts w:cs="Times New Roman"/>
                <w:szCs w:val="24"/>
              </w:rPr>
            </w:pPr>
            <w:r w:rsidRPr="00611D5F">
              <w:rPr>
                <w:rFonts w:cs="Times New Roman"/>
                <w:szCs w:val="24"/>
              </w:rPr>
              <w:lastRenderedPageBreak/>
              <w:t xml:space="preserve">Kessler 1997 </w:t>
            </w:r>
          </w:p>
        </w:tc>
        <w:tc>
          <w:tcPr>
            <w:tcW w:w="2590" w:type="dxa"/>
          </w:tcPr>
          <w:p w14:paraId="0875B2CD" w14:textId="77777777" w:rsidR="00356EAF" w:rsidRPr="00611D5F" w:rsidRDefault="00356EAF" w:rsidP="008763B9">
            <w:pPr>
              <w:rPr>
                <w:rFonts w:cs="Times New Roman"/>
                <w:szCs w:val="24"/>
              </w:rPr>
            </w:pPr>
            <w:r w:rsidRPr="00611D5F">
              <w:rPr>
                <w:rFonts w:cs="Times New Roman"/>
                <w:szCs w:val="24"/>
              </w:rPr>
              <w:t>National comorbidity Survey that include 5877 respondents, ages 15-54, representative of the US population</w:t>
            </w:r>
          </w:p>
          <w:p w14:paraId="2659059E" w14:textId="77777777" w:rsidR="00356EAF" w:rsidRPr="00611D5F" w:rsidRDefault="00356EAF" w:rsidP="008763B9">
            <w:pPr>
              <w:rPr>
                <w:rFonts w:cs="Times New Roman"/>
                <w:szCs w:val="24"/>
              </w:rPr>
            </w:pPr>
          </w:p>
        </w:tc>
        <w:tc>
          <w:tcPr>
            <w:tcW w:w="2590" w:type="dxa"/>
          </w:tcPr>
          <w:p w14:paraId="40393924" w14:textId="77777777" w:rsidR="00356EAF" w:rsidRPr="00611D5F" w:rsidRDefault="00356EAF" w:rsidP="008763B9">
            <w:pPr>
              <w:rPr>
                <w:rFonts w:cs="Times New Roman"/>
                <w:szCs w:val="24"/>
              </w:rPr>
            </w:pPr>
            <w:r w:rsidRPr="00611D5F">
              <w:rPr>
                <w:rFonts w:cs="Times New Roman"/>
                <w:szCs w:val="24"/>
              </w:rPr>
              <w:t>Assessed the relationship between 26 early adversities and adult psychopathology.</w:t>
            </w:r>
          </w:p>
        </w:tc>
        <w:tc>
          <w:tcPr>
            <w:tcW w:w="2020" w:type="dxa"/>
          </w:tcPr>
          <w:p w14:paraId="6E520380" w14:textId="77777777" w:rsidR="00356EAF" w:rsidRPr="00611D5F" w:rsidRDefault="00356EAF" w:rsidP="008763B9">
            <w:pPr>
              <w:rPr>
                <w:rFonts w:cs="Times New Roman"/>
                <w:szCs w:val="24"/>
              </w:rPr>
            </w:pPr>
            <w:r w:rsidRPr="00611D5F">
              <w:rPr>
                <w:rFonts w:cs="Times New Roman"/>
                <w:szCs w:val="24"/>
              </w:rPr>
              <w:t>26 early adversities</w:t>
            </w:r>
          </w:p>
        </w:tc>
        <w:tc>
          <w:tcPr>
            <w:tcW w:w="3600" w:type="dxa"/>
          </w:tcPr>
          <w:p w14:paraId="5B5D3524" w14:textId="77777777" w:rsidR="00356EAF" w:rsidRPr="00611D5F" w:rsidRDefault="00356EAF" w:rsidP="008763B9">
            <w:pPr>
              <w:rPr>
                <w:rFonts w:cs="Times New Roman"/>
                <w:szCs w:val="24"/>
              </w:rPr>
            </w:pPr>
            <w:r w:rsidRPr="00611D5F">
              <w:rPr>
                <w:rFonts w:cs="Times New Roman"/>
                <w:szCs w:val="24"/>
              </w:rPr>
              <w:t>CM is more consistently associated with onset but not persistent of psychopathologies. There is an additive nature of adversities of risk for adult psychopathology. Adversities are more likely to co-occur. The effect is not specific with regard to psychopathology. There is no consistent effect of sex.</w:t>
            </w:r>
          </w:p>
        </w:tc>
      </w:tr>
      <w:tr w:rsidR="00356EAF" w:rsidRPr="003E6712" w14:paraId="1A4ADD0C" w14:textId="77777777" w:rsidTr="008763B9">
        <w:tc>
          <w:tcPr>
            <w:tcW w:w="1795" w:type="dxa"/>
          </w:tcPr>
          <w:p w14:paraId="410E811B" w14:textId="77777777" w:rsidR="00356EAF" w:rsidRPr="00611D5F" w:rsidRDefault="00356EAF" w:rsidP="008763B9">
            <w:pPr>
              <w:rPr>
                <w:rFonts w:cs="Times New Roman"/>
                <w:szCs w:val="24"/>
              </w:rPr>
            </w:pPr>
            <w:r w:rsidRPr="00611D5F">
              <w:rPr>
                <w:rFonts w:cs="Times New Roman"/>
                <w:szCs w:val="24"/>
              </w:rPr>
              <w:t>Hibbard 1990</w:t>
            </w:r>
          </w:p>
          <w:p w14:paraId="647BCF15" w14:textId="77777777" w:rsidR="00356EAF" w:rsidRPr="00611D5F" w:rsidRDefault="00356EAF" w:rsidP="008763B9">
            <w:pPr>
              <w:rPr>
                <w:rFonts w:cs="Times New Roman"/>
                <w:szCs w:val="24"/>
              </w:rPr>
            </w:pPr>
          </w:p>
        </w:tc>
        <w:tc>
          <w:tcPr>
            <w:tcW w:w="2590" w:type="dxa"/>
          </w:tcPr>
          <w:p w14:paraId="7CC45681" w14:textId="77777777" w:rsidR="00356EAF" w:rsidRPr="00611D5F" w:rsidRDefault="00356EAF" w:rsidP="008763B9">
            <w:pPr>
              <w:rPr>
                <w:rFonts w:cs="Times New Roman"/>
                <w:szCs w:val="24"/>
              </w:rPr>
            </w:pPr>
            <w:r w:rsidRPr="00611D5F">
              <w:rPr>
                <w:rFonts w:cs="Times New Roman"/>
                <w:szCs w:val="24"/>
              </w:rPr>
              <w:t>cohort of adolescents (n= 3998), grades 7</w:t>
            </w:r>
            <w:r w:rsidRPr="00611D5F">
              <w:rPr>
                <w:rFonts w:cs="Times New Roman"/>
                <w:szCs w:val="24"/>
                <w:vertAlign w:val="superscript"/>
              </w:rPr>
              <w:t>th</w:t>
            </w:r>
            <w:r w:rsidRPr="00611D5F">
              <w:rPr>
                <w:rFonts w:cs="Times New Roman"/>
                <w:szCs w:val="24"/>
              </w:rPr>
              <w:t>-12th</w:t>
            </w:r>
          </w:p>
        </w:tc>
        <w:tc>
          <w:tcPr>
            <w:tcW w:w="2590" w:type="dxa"/>
          </w:tcPr>
          <w:p w14:paraId="13379910" w14:textId="77777777" w:rsidR="00356EAF" w:rsidRPr="00611D5F" w:rsidRDefault="00356EAF" w:rsidP="008763B9">
            <w:pPr>
              <w:rPr>
                <w:rFonts w:cs="Times New Roman"/>
                <w:szCs w:val="24"/>
              </w:rPr>
            </w:pPr>
            <w:r w:rsidRPr="00611D5F">
              <w:rPr>
                <w:rFonts w:cs="Times New Roman"/>
                <w:szCs w:val="24"/>
              </w:rPr>
              <w:t>Emotional (internalizing) and behavioral (externalizing) d/o</w:t>
            </w:r>
          </w:p>
        </w:tc>
        <w:tc>
          <w:tcPr>
            <w:tcW w:w="2020" w:type="dxa"/>
          </w:tcPr>
          <w:p w14:paraId="56F7BA93" w14:textId="77777777" w:rsidR="00356EAF" w:rsidRPr="00611D5F" w:rsidRDefault="00356EAF" w:rsidP="008763B9">
            <w:pPr>
              <w:rPr>
                <w:rFonts w:cs="Times New Roman"/>
                <w:szCs w:val="24"/>
              </w:rPr>
            </w:pPr>
            <w:r w:rsidRPr="00611D5F">
              <w:rPr>
                <w:rFonts w:cs="Times New Roman"/>
                <w:szCs w:val="24"/>
              </w:rPr>
              <w:t>Physical and/or sexual abuse</w:t>
            </w:r>
          </w:p>
        </w:tc>
        <w:tc>
          <w:tcPr>
            <w:tcW w:w="3600" w:type="dxa"/>
          </w:tcPr>
          <w:p w14:paraId="78BD8958" w14:textId="77777777" w:rsidR="00356EAF" w:rsidRPr="00611D5F" w:rsidRDefault="00356EAF" w:rsidP="008763B9">
            <w:pPr>
              <w:rPr>
                <w:rFonts w:cs="Times New Roman"/>
                <w:szCs w:val="24"/>
              </w:rPr>
            </w:pPr>
            <w:r w:rsidRPr="00611D5F">
              <w:rPr>
                <w:rFonts w:cs="Times New Roman"/>
                <w:szCs w:val="24"/>
              </w:rPr>
              <w:t xml:space="preserve">Both physical and sexual abuse were associated with increased emotional and behavioral risk, with individuals reporting both sexual and physical abuse showing the highest risk (additive risk). No significant </w:t>
            </w:r>
            <w:r>
              <w:rPr>
                <w:rFonts w:cs="Times New Roman"/>
                <w:szCs w:val="24"/>
              </w:rPr>
              <w:t>sex</w:t>
            </w:r>
            <w:r w:rsidRPr="00611D5F">
              <w:rPr>
                <w:rFonts w:cs="Times New Roman"/>
                <w:szCs w:val="24"/>
              </w:rPr>
              <w:t xml:space="preserve"> X physical abuse interaction were founds. Significant sex by sexual abuse interaction for behavioral but not emotional d/o</w:t>
            </w:r>
          </w:p>
        </w:tc>
      </w:tr>
      <w:tr w:rsidR="00356EAF" w:rsidRPr="003E6712" w14:paraId="571C1CEE" w14:textId="77777777" w:rsidTr="008763B9">
        <w:tc>
          <w:tcPr>
            <w:tcW w:w="1795" w:type="dxa"/>
          </w:tcPr>
          <w:p w14:paraId="450ED460" w14:textId="77777777" w:rsidR="00356EAF" w:rsidRPr="00611D5F" w:rsidRDefault="00356EAF" w:rsidP="008763B9">
            <w:pPr>
              <w:rPr>
                <w:rFonts w:cs="Times New Roman"/>
                <w:szCs w:val="24"/>
              </w:rPr>
            </w:pPr>
            <w:proofErr w:type="spellStart"/>
            <w:r w:rsidRPr="00611D5F">
              <w:rPr>
                <w:rFonts w:cs="Times New Roman"/>
                <w:szCs w:val="24"/>
              </w:rPr>
              <w:t>Arnow</w:t>
            </w:r>
            <w:proofErr w:type="spellEnd"/>
            <w:r w:rsidRPr="00611D5F">
              <w:rPr>
                <w:rFonts w:cs="Times New Roman"/>
                <w:szCs w:val="24"/>
              </w:rPr>
              <w:t xml:space="preserve"> 2011</w:t>
            </w:r>
          </w:p>
          <w:p w14:paraId="64F6377F" w14:textId="77777777" w:rsidR="00356EAF" w:rsidRPr="00611D5F" w:rsidRDefault="00356EAF" w:rsidP="008763B9">
            <w:pPr>
              <w:rPr>
                <w:rFonts w:cs="Times New Roman"/>
                <w:szCs w:val="24"/>
              </w:rPr>
            </w:pPr>
          </w:p>
        </w:tc>
        <w:tc>
          <w:tcPr>
            <w:tcW w:w="2590" w:type="dxa"/>
          </w:tcPr>
          <w:p w14:paraId="54BBEE0F" w14:textId="77777777" w:rsidR="00356EAF" w:rsidRPr="00611D5F" w:rsidRDefault="00356EAF" w:rsidP="008763B9">
            <w:pPr>
              <w:rPr>
                <w:rFonts w:cs="Times New Roman"/>
                <w:szCs w:val="24"/>
              </w:rPr>
            </w:pPr>
            <w:r w:rsidRPr="00611D5F">
              <w:rPr>
                <w:rFonts w:cs="Times New Roman"/>
                <w:szCs w:val="24"/>
              </w:rPr>
              <w:lastRenderedPageBreak/>
              <w:t xml:space="preserve">5,673 adults (ages 21-71), 57% women, from </w:t>
            </w:r>
            <w:r w:rsidRPr="00611D5F">
              <w:rPr>
                <w:rFonts w:cs="Times New Roman"/>
                <w:szCs w:val="24"/>
              </w:rPr>
              <w:lastRenderedPageBreak/>
              <w:t>31 clinics in North California</w:t>
            </w:r>
          </w:p>
        </w:tc>
        <w:tc>
          <w:tcPr>
            <w:tcW w:w="2590" w:type="dxa"/>
          </w:tcPr>
          <w:p w14:paraId="48A89701" w14:textId="77777777" w:rsidR="00356EAF" w:rsidRPr="00611D5F" w:rsidRDefault="00356EAF" w:rsidP="008763B9">
            <w:pPr>
              <w:rPr>
                <w:rFonts w:cs="Times New Roman"/>
                <w:szCs w:val="24"/>
              </w:rPr>
            </w:pPr>
            <w:r w:rsidRPr="00611D5F">
              <w:rPr>
                <w:rFonts w:cs="Times New Roman"/>
                <w:szCs w:val="24"/>
              </w:rPr>
              <w:lastRenderedPageBreak/>
              <w:t>Depression</w:t>
            </w:r>
            <w:r>
              <w:rPr>
                <w:rFonts w:cs="Times New Roman"/>
                <w:szCs w:val="24"/>
              </w:rPr>
              <w:t xml:space="preserve">; </w:t>
            </w:r>
            <w:r w:rsidRPr="00611D5F">
              <w:rPr>
                <w:rFonts w:cs="Times New Roman"/>
                <w:szCs w:val="24"/>
              </w:rPr>
              <w:t xml:space="preserve">Collected data on CM using CTQ </w:t>
            </w:r>
            <w:r w:rsidRPr="00611D5F">
              <w:rPr>
                <w:rFonts w:cs="Times New Roman"/>
                <w:szCs w:val="24"/>
              </w:rPr>
              <w:lastRenderedPageBreak/>
              <w:t xml:space="preserve">and depression using PHQ8. </w:t>
            </w:r>
          </w:p>
        </w:tc>
        <w:tc>
          <w:tcPr>
            <w:tcW w:w="2020" w:type="dxa"/>
          </w:tcPr>
          <w:p w14:paraId="06B5EE3D" w14:textId="77777777" w:rsidR="00356EAF" w:rsidRPr="00611D5F" w:rsidRDefault="00356EAF" w:rsidP="008763B9">
            <w:pPr>
              <w:rPr>
                <w:rFonts w:cs="Times New Roman"/>
                <w:szCs w:val="24"/>
              </w:rPr>
            </w:pPr>
            <w:r w:rsidRPr="00611D5F">
              <w:rPr>
                <w:rFonts w:cs="Times New Roman"/>
                <w:szCs w:val="24"/>
              </w:rPr>
              <w:lastRenderedPageBreak/>
              <w:t xml:space="preserve">Sexual abuse, physical abuse, emotional abuse, </w:t>
            </w:r>
            <w:r w:rsidRPr="00611D5F">
              <w:rPr>
                <w:rFonts w:cs="Times New Roman"/>
                <w:szCs w:val="24"/>
              </w:rPr>
              <w:lastRenderedPageBreak/>
              <w:t>physical neglect, emotional neglect</w:t>
            </w:r>
          </w:p>
        </w:tc>
        <w:tc>
          <w:tcPr>
            <w:tcW w:w="3600" w:type="dxa"/>
          </w:tcPr>
          <w:p w14:paraId="0C814AB8" w14:textId="77777777" w:rsidR="00356EAF" w:rsidRPr="00611D5F" w:rsidRDefault="00356EAF" w:rsidP="008763B9">
            <w:pPr>
              <w:rPr>
                <w:rFonts w:cs="Times New Roman"/>
                <w:szCs w:val="24"/>
              </w:rPr>
            </w:pPr>
            <w:r w:rsidRPr="00611D5F">
              <w:rPr>
                <w:rFonts w:cs="Times New Roman"/>
                <w:szCs w:val="24"/>
              </w:rPr>
              <w:lastRenderedPageBreak/>
              <w:t xml:space="preserve">All forms of CM increased rate of depression in a dose dependent manner. There was no significant </w:t>
            </w:r>
            <w:r w:rsidRPr="00611D5F">
              <w:rPr>
                <w:rFonts w:cs="Times New Roman"/>
                <w:szCs w:val="24"/>
              </w:rPr>
              <w:lastRenderedPageBreak/>
              <w:t>interaction between any of the maltreatments and sex. Rates of victimization and depression were higher in women.</w:t>
            </w:r>
          </w:p>
        </w:tc>
      </w:tr>
      <w:tr w:rsidR="00356EAF" w:rsidRPr="003E6712" w14:paraId="3A13DFE0" w14:textId="77777777" w:rsidTr="008763B9">
        <w:tc>
          <w:tcPr>
            <w:tcW w:w="12595" w:type="dxa"/>
            <w:gridSpan w:val="5"/>
            <w:shd w:val="clear" w:color="auto" w:fill="EEECE1" w:themeFill="background2"/>
          </w:tcPr>
          <w:p w14:paraId="6C8EB71E" w14:textId="77777777" w:rsidR="00356EAF" w:rsidRPr="00611D5F" w:rsidRDefault="00356EAF" w:rsidP="008763B9">
            <w:pPr>
              <w:jc w:val="center"/>
              <w:rPr>
                <w:rFonts w:cs="Times New Roman"/>
                <w:szCs w:val="24"/>
              </w:rPr>
            </w:pPr>
            <w:r w:rsidRPr="00611D5F">
              <w:rPr>
                <w:rFonts w:cs="Times New Roman"/>
                <w:szCs w:val="24"/>
              </w:rPr>
              <w:lastRenderedPageBreak/>
              <w:t>Sexual abuse (high threat)</w:t>
            </w:r>
          </w:p>
        </w:tc>
      </w:tr>
      <w:tr w:rsidR="00356EAF" w:rsidRPr="003E6712" w14:paraId="3C8521A2" w14:textId="77777777" w:rsidTr="008763B9">
        <w:tc>
          <w:tcPr>
            <w:tcW w:w="1795" w:type="dxa"/>
            <w:shd w:val="clear" w:color="auto" w:fill="EEECE1" w:themeFill="background2"/>
          </w:tcPr>
          <w:p w14:paraId="27807675" w14:textId="77777777" w:rsidR="00356EAF" w:rsidRPr="00611D5F" w:rsidRDefault="00356EAF" w:rsidP="008763B9">
            <w:pPr>
              <w:rPr>
                <w:rFonts w:cs="Times New Roman"/>
                <w:szCs w:val="24"/>
              </w:rPr>
            </w:pPr>
            <w:r w:rsidRPr="00611D5F">
              <w:rPr>
                <w:rFonts w:cs="Times New Roman"/>
                <w:szCs w:val="24"/>
              </w:rPr>
              <w:t>Reference</w:t>
            </w:r>
          </w:p>
        </w:tc>
        <w:tc>
          <w:tcPr>
            <w:tcW w:w="2590" w:type="dxa"/>
            <w:shd w:val="clear" w:color="auto" w:fill="EEECE1" w:themeFill="background2"/>
          </w:tcPr>
          <w:p w14:paraId="064D376E" w14:textId="77777777" w:rsidR="00356EAF" w:rsidRPr="00611D5F" w:rsidRDefault="00356EAF" w:rsidP="008763B9">
            <w:pPr>
              <w:rPr>
                <w:rFonts w:cs="Times New Roman"/>
                <w:szCs w:val="24"/>
              </w:rPr>
            </w:pPr>
            <w:r w:rsidRPr="00611D5F">
              <w:rPr>
                <w:rFonts w:cs="Times New Roman"/>
                <w:szCs w:val="24"/>
              </w:rPr>
              <w:t>Sample description</w:t>
            </w:r>
          </w:p>
        </w:tc>
        <w:tc>
          <w:tcPr>
            <w:tcW w:w="2590" w:type="dxa"/>
            <w:shd w:val="clear" w:color="auto" w:fill="EEECE1" w:themeFill="background2"/>
          </w:tcPr>
          <w:p w14:paraId="5B543107" w14:textId="77777777" w:rsidR="00356EAF" w:rsidRPr="00611D5F" w:rsidRDefault="00356EAF" w:rsidP="008763B9">
            <w:pPr>
              <w:rPr>
                <w:rFonts w:cs="Times New Roman"/>
                <w:szCs w:val="24"/>
              </w:rPr>
            </w:pPr>
            <w:r w:rsidRPr="00611D5F">
              <w:rPr>
                <w:rFonts w:cs="Times New Roman"/>
                <w:szCs w:val="24"/>
              </w:rPr>
              <w:t>Assessments</w:t>
            </w:r>
          </w:p>
        </w:tc>
        <w:tc>
          <w:tcPr>
            <w:tcW w:w="2020" w:type="dxa"/>
            <w:shd w:val="clear" w:color="auto" w:fill="EEECE1" w:themeFill="background2"/>
          </w:tcPr>
          <w:p w14:paraId="47E9D0FA" w14:textId="77777777" w:rsidR="00356EAF" w:rsidRPr="00611D5F" w:rsidRDefault="00356EAF" w:rsidP="008763B9">
            <w:pPr>
              <w:rPr>
                <w:rFonts w:cs="Times New Roman"/>
                <w:szCs w:val="24"/>
              </w:rPr>
            </w:pPr>
            <w:r w:rsidRPr="00611D5F">
              <w:rPr>
                <w:rFonts w:cs="Times New Roman"/>
                <w:szCs w:val="24"/>
              </w:rPr>
              <w:t>Types of maltreatment</w:t>
            </w:r>
          </w:p>
        </w:tc>
        <w:tc>
          <w:tcPr>
            <w:tcW w:w="3600" w:type="dxa"/>
            <w:shd w:val="clear" w:color="auto" w:fill="EEECE1" w:themeFill="background2"/>
          </w:tcPr>
          <w:p w14:paraId="7002F530" w14:textId="77777777" w:rsidR="00356EAF" w:rsidRPr="00611D5F" w:rsidRDefault="00356EAF" w:rsidP="008763B9">
            <w:pPr>
              <w:rPr>
                <w:rFonts w:cs="Times New Roman"/>
                <w:szCs w:val="24"/>
              </w:rPr>
            </w:pPr>
            <w:r w:rsidRPr="00611D5F">
              <w:rPr>
                <w:rFonts w:cs="Times New Roman"/>
                <w:szCs w:val="24"/>
              </w:rPr>
              <w:t>Main Findings</w:t>
            </w:r>
          </w:p>
        </w:tc>
      </w:tr>
      <w:tr w:rsidR="00356EAF" w:rsidRPr="003E6712" w14:paraId="72979B50" w14:textId="77777777" w:rsidTr="008763B9">
        <w:tc>
          <w:tcPr>
            <w:tcW w:w="1795" w:type="dxa"/>
          </w:tcPr>
          <w:p w14:paraId="5A680C9B" w14:textId="77777777" w:rsidR="00356EAF" w:rsidRPr="00611D5F" w:rsidRDefault="00356EAF" w:rsidP="008763B9">
            <w:pPr>
              <w:rPr>
                <w:rFonts w:cs="Times New Roman"/>
                <w:szCs w:val="24"/>
              </w:rPr>
            </w:pPr>
            <w:r w:rsidRPr="00611D5F">
              <w:rPr>
                <w:rFonts w:cs="Times New Roman"/>
                <w:szCs w:val="24"/>
              </w:rPr>
              <w:t>Gauthier-Duchesne 2017</w:t>
            </w:r>
          </w:p>
          <w:p w14:paraId="64B87E75" w14:textId="77777777" w:rsidR="00356EAF" w:rsidRPr="00611D5F" w:rsidRDefault="00356EAF" w:rsidP="008763B9">
            <w:pPr>
              <w:rPr>
                <w:rFonts w:cs="Times New Roman"/>
                <w:szCs w:val="24"/>
              </w:rPr>
            </w:pPr>
          </w:p>
        </w:tc>
        <w:tc>
          <w:tcPr>
            <w:tcW w:w="2590" w:type="dxa"/>
          </w:tcPr>
          <w:p w14:paraId="14D83AC7" w14:textId="77777777" w:rsidR="00356EAF" w:rsidRPr="00611D5F" w:rsidRDefault="00356EAF" w:rsidP="008763B9">
            <w:pPr>
              <w:rPr>
                <w:rFonts w:cs="Times New Roman"/>
                <w:szCs w:val="24"/>
              </w:rPr>
            </w:pPr>
            <w:r w:rsidRPr="00611D5F">
              <w:rPr>
                <w:rFonts w:cs="Times New Roman"/>
                <w:szCs w:val="24"/>
              </w:rPr>
              <w:t>Sample of 447 sexually abused children (319 girls, 128 boys) ages 6-12</w:t>
            </w:r>
          </w:p>
        </w:tc>
        <w:tc>
          <w:tcPr>
            <w:tcW w:w="2590" w:type="dxa"/>
          </w:tcPr>
          <w:p w14:paraId="4653A9D4" w14:textId="77777777" w:rsidR="00356EAF" w:rsidRPr="00611D5F" w:rsidRDefault="00356EAF" w:rsidP="008763B9">
            <w:pPr>
              <w:rPr>
                <w:rFonts w:cs="Times New Roman"/>
                <w:szCs w:val="24"/>
              </w:rPr>
            </w:pPr>
            <w:r w:rsidRPr="00611D5F">
              <w:rPr>
                <w:rFonts w:cs="Times New Roman"/>
                <w:szCs w:val="24"/>
              </w:rPr>
              <w:t>Conducted path analysis to assess the effects of gender, severity of sexual abuse, and guilt on rates of PTSD, internalizing and externalizing d</w:t>
            </w:r>
            <w:r>
              <w:rPr>
                <w:rFonts w:cs="Times New Roman"/>
                <w:szCs w:val="24"/>
              </w:rPr>
              <w:t>/o</w:t>
            </w:r>
            <w:r w:rsidRPr="00611D5F">
              <w:rPr>
                <w:rFonts w:cs="Times New Roman"/>
                <w:szCs w:val="24"/>
              </w:rPr>
              <w:t xml:space="preserve"> </w:t>
            </w:r>
          </w:p>
        </w:tc>
        <w:tc>
          <w:tcPr>
            <w:tcW w:w="2020" w:type="dxa"/>
          </w:tcPr>
          <w:p w14:paraId="12A6F313"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29C7D733" w14:textId="77777777" w:rsidR="00356EAF" w:rsidRPr="00611D5F" w:rsidRDefault="00356EAF" w:rsidP="008763B9">
            <w:pPr>
              <w:rPr>
                <w:rFonts w:cs="Times New Roman"/>
                <w:szCs w:val="24"/>
              </w:rPr>
            </w:pPr>
            <w:r w:rsidRPr="00611D5F">
              <w:rPr>
                <w:rFonts w:cs="Times New Roman"/>
                <w:szCs w:val="24"/>
              </w:rPr>
              <w:t xml:space="preserve">Boys experienced more severe and frequent abuse compared to girls. Boys were more likely to be abused by other teenagers while girls </w:t>
            </w:r>
            <w:r>
              <w:rPr>
                <w:rFonts w:cs="Times New Roman"/>
                <w:szCs w:val="24"/>
              </w:rPr>
              <w:t xml:space="preserve">were </w:t>
            </w:r>
            <w:r w:rsidRPr="00611D5F">
              <w:rPr>
                <w:rFonts w:cs="Times New Roman"/>
                <w:szCs w:val="24"/>
              </w:rPr>
              <w:t>more likely to be abused by adult males. Girls were more likely to likely to develop PTSD. Boys were more likely to develop externalized d/o. No sex differences on the rate of internalizing behavior</w:t>
            </w:r>
          </w:p>
        </w:tc>
      </w:tr>
      <w:tr w:rsidR="00356EAF" w:rsidRPr="003E6712" w14:paraId="654B541E" w14:textId="77777777" w:rsidTr="008763B9">
        <w:tc>
          <w:tcPr>
            <w:tcW w:w="1795" w:type="dxa"/>
          </w:tcPr>
          <w:p w14:paraId="3D2E3975" w14:textId="77777777" w:rsidR="00356EAF" w:rsidRPr="00611D5F" w:rsidRDefault="00356EAF" w:rsidP="008763B9">
            <w:pPr>
              <w:rPr>
                <w:rFonts w:cs="Times New Roman"/>
                <w:szCs w:val="24"/>
                <w:highlight w:val="yellow"/>
              </w:rPr>
            </w:pPr>
            <w:proofErr w:type="spellStart"/>
            <w:r w:rsidRPr="00611D5F">
              <w:rPr>
                <w:rFonts w:cs="Times New Roman"/>
                <w:szCs w:val="24"/>
              </w:rPr>
              <w:t>Banyard</w:t>
            </w:r>
            <w:proofErr w:type="spellEnd"/>
            <w:r w:rsidRPr="00611D5F">
              <w:rPr>
                <w:rFonts w:cs="Times New Roman"/>
                <w:szCs w:val="24"/>
              </w:rPr>
              <w:t xml:space="preserve"> 2004</w:t>
            </w:r>
          </w:p>
          <w:p w14:paraId="315F1ED6" w14:textId="77777777" w:rsidR="00356EAF" w:rsidRPr="00611D5F" w:rsidRDefault="00356EAF" w:rsidP="008763B9">
            <w:pPr>
              <w:rPr>
                <w:rFonts w:cs="Times New Roman"/>
                <w:szCs w:val="24"/>
              </w:rPr>
            </w:pPr>
          </w:p>
        </w:tc>
        <w:tc>
          <w:tcPr>
            <w:tcW w:w="2590" w:type="dxa"/>
          </w:tcPr>
          <w:p w14:paraId="292ECFB6" w14:textId="77777777" w:rsidR="00356EAF" w:rsidRPr="00611D5F" w:rsidRDefault="00356EAF" w:rsidP="008763B9">
            <w:pPr>
              <w:rPr>
                <w:rFonts w:cs="Times New Roman"/>
                <w:szCs w:val="24"/>
              </w:rPr>
            </w:pPr>
            <w:r w:rsidRPr="00611D5F">
              <w:rPr>
                <w:rFonts w:cs="Times New Roman"/>
                <w:szCs w:val="24"/>
              </w:rPr>
              <w:t xml:space="preserve"> No CSA males= 37, females= 46, CSA males= 69, females= 128. Sexual abuse occurs at ages 1-14 and interviews conducted at ages 20-30 </w:t>
            </w:r>
          </w:p>
        </w:tc>
        <w:tc>
          <w:tcPr>
            <w:tcW w:w="2590" w:type="dxa"/>
          </w:tcPr>
          <w:p w14:paraId="03E3360A" w14:textId="77777777" w:rsidR="00356EAF" w:rsidRPr="00611D5F" w:rsidRDefault="00356EAF" w:rsidP="008763B9">
            <w:pPr>
              <w:rPr>
                <w:rFonts w:cs="Times New Roman"/>
                <w:szCs w:val="24"/>
              </w:rPr>
            </w:pPr>
            <w:r w:rsidRPr="00611D5F">
              <w:rPr>
                <w:rFonts w:cs="Times New Roman"/>
                <w:szCs w:val="24"/>
              </w:rPr>
              <w:t xml:space="preserve">Raw and same-sex normalized scores for depression and anxiety </w:t>
            </w:r>
          </w:p>
        </w:tc>
        <w:tc>
          <w:tcPr>
            <w:tcW w:w="2020" w:type="dxa"/>
          </w:tcPr>
          <w:p w14:paraId="3E9CC499" w14:textId="77777777" w:rsidR="00356EAF" w:rsidRPr="00611D5F" w:rsidRDefault="00356EAF" w:rsidP="008763B9">
            <w:pPr>
              <w:rPr>
                <w:rFonts w:cs="Times New Roman"/>
                <w:szCs w:val="24"/>
              </w:rPr>
            </w:pPr>
            <w:r w:rsidRPr="00611D5F">
              <w:rPr>
                <w:rFonts w:cs="Times New Roman"/>
                <w:szCs w:val="24"/>
              </w:rPr>
              <w:t>Childhood sexual abuse (CSA)</w:t>
            </w:r>
          </w:p>
        </w:tc>
        <w:tc>
          <w:tcPr>
            <w:tcW w:w="3600" w:type="dxa"/>
          </w:tcPr>
          <w:p w14:paraId="1F2EE672" w14:textId="77777777" w:rsidR="00356EAF" w:rsidRPr="00611D5F" w:rsidRDefault="00356EAF" w:rsidP="008763B9">
            <w:pPr>
              <w:rPr>
                <w:rFonts w:cs="Times New Roman"/>
                <w:szCs w:val="24"/>
              </w:rPr>
            </w:pPr>
            <w:r w:rsidRPr="00611D5F">
              <w:rPr>
                <w:rFonts w:cs="Times New Roman"/>
                <w:szCs w:val="24"/>
              </w:rPr>
              <w:t>Exposure to CSA is associated with higher raw scores for anxiety and depression in women compared to men, but these differences were no longer present when normalized to non-abused same sex controls.</w:t>
            </w:r>
          </w:p>
        </w:tc>
      </w:tr>
      <w:tr w:rsidR="00356EAF" w:rsidRPr="003E6712" w14:paraId="513C0A42" w14:textId="77777777" w:rsidTr="008763B9">
        <w:tc>
          <w:tcPr>
            <w:tcW w:w="1795" w:type="dxa"/>
          </w:tcPr>
          <w:p w14:paraId="15E6DF4A" w14:textId="77777777" w:rsidR="00356EAF" w:rsidRPr="00611D5F" w:rsidRDefault="00356EAF" w:rsidP="008763B9">
            <w:pPr>
              <w:rPr>
                <w:rFonts w:cs="Times New Roman"/>
                <w:szCs w:val="24"/>
              </w:rPr>
            </w:pPr>
            <w:proofErr w:type="spellStart"/>
            <w:r w:rsidRPr="00611D5F">
              <w:rPr>
                <w:rFonts w:cs="Times New Roman"/>
                <w:szCs w:val="24"/>
              </w:rPr>
              <w:lastRenderedPageBreak/>
              <w:t>Coohey</w:t>
            </w:r>
            <w:proofErr w:type="spellEnd"/>
            <w:r w:rsidRPr="00611D5F">
              <w:rPr>
                <w:rFonts w:cs="Times New Roman"/>
                <w:szCs w:val="24"/>
              </w:rPr>
              <w:t xml:space="preserve"> 2010 </w:t>
            </w:r>
          </w:p>
        </w:tc>
        <w:tc>
          <w:tcPr>
            <w:tcW w:w="2590" w:type="dxa"/>
          </w:tcPr>
          <w:p w14:paraId="5510CBEF" w14:textId="77777777" w:rsidR="00356EAF" w:rsidRPr="00611D5F" w:rsidRDefault="00356EAF" w:rsidP="008763B9">
            <w:pPr>
              <w:rPr>
                <w:rFonts w:cs="Times New Roman"/>
                <w:szCs w:val="24"/>
              </w:rPr>
            </w:pPr>
            <w:r w:rsidRPr="00611D5F">
              <w:rPr>
                <w:rFonts w:cs="Times New Roman"/>
                <w:szCs w:val="24"/>
              </w:rPr>
              <w:t>A group of 158 adolescents (girls= 127, boys = 31), ages 11-14, with substantiated h/o sexual abuse.</w:t>
            </w:r>
          </w:p>
        </w:tc>
        <w:tc>
          <w:tcPr>
            <w:tcW w:w="2590" w:type="dxa"/>
          </w:tcPr>
          <w:p w14:paraId="006C768E" w14:textId="77777777" w:rsidR="00356EAF" w:rsidRPr="00611D5F" w:rsidRDefault="00356EAF" w:rsidP="008763B9">
            <w:pPr>
              <w:rPr>
                <w:rFonts w:cs="Times New Roman"/>
                <w:szCs w:val="24"/>
              </w:rPr>
            </w:pPr>
            <w:r w:rsidRPr="00611D5F">
              <w:rPr>
                <w:rFonts w:cs="Times New Roman"/>
                <w:szCs w:val="24"/>
              </w:rPr>
              <w:t>Internalizing d/o</w:t>
            </w:r>
          </w:p>
        </w:tc>
        <w:tc>
          <w:tcPr>
            <w:tcW w:w="2020" w:type="dxa"/>
          </w:tcPr>
          <w:p w14:paraId="5C0CDA2F"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741B2A8B" w14:textId="77777777" w:rsidR="00356EAF" w:rsidRPr="00611D5F" w:rsidRDefault="00356EAF" w:rsidP="008763B9">
            <w:pPr>
              <w:rPr>
                <w:rFonts w:cs="Times New Roman"/>
                <w:szCs w:val="24"/>
              </w:rPr>
            </w:pPr>
            <w:r w:rsidRPr="00611D5F">
              <w:rPr>
                <w:rFonts w:cs="Times New Roman"/>
                <w:szCs w:val="24"/>
              </w:rPr>
              <w:t>Boys showed increase</w:t>
            </w:r>
            <w:r>
              <w:rPr>
                <w:rFonts w:cs="Times New Roman"/>
                <w:szCs w:val="24"/>
              </w:rPr>
              <w:t>d</w:t>
            </w:r>
            <w:r w:rsidRPr="00611D5F">
              <w:rPr>
                <w:rFonts w:cs="Times New Roman"/>
                <w:szCs w:val="24"/>
              </w:rPr>
              <w:t xml:space="preserve"> rate of internalizing d</w:t>
            </w:r>
            <w:r>
              <w:rPr>
                <w:rFonts w:cs="Times New Roman"/>
                <w:szCs w:val="24"/>
              </w:rPr>
              <w:t>/o</w:t>
            </w:r>
            <w:r w:rsidRPr="00611D5F">
              <w:rPr>
                <w:rFonts w:cs="Times New Roman"/>
                <w:szCs w:val="24"/>
              </w:rPr>
              <w:t xml:space="preserve"> compared to girls</w:t>
            </w:r>
          </w:p>
        </w:tc>
      </w:tr>
      <w:tr w:rsidR="00356EAF" w:rsidRPr="003E6712" w14:paraId="6249E602" w14:textId="77777777" w:rsidTr="008763B9">
        <w:tc>
          <w:tcPr>
            <w:tcW w:w="1795" w:type="dxa"/>
          </w:tcPr>
          <w:p w14:paraId="0762783F" w14:textId="77777777" w:rsidR="00356EAF" w:rsidRPr="00611D5F" w:rsidRDefault="00356EAF" w:rsidP="008763B9">
            <w:pPr>
              <w:rPr>
                <w:rFonts w:cs="Times New Roman"/>
                <w:szCs w:val="24"/>
              </w:rPr>
            </w:pPr>
            <w:proofErr w:type="spellStart"/>
            <w:r w:rsidRPr="00611D5F">
              <w:rPr>
                <w:rFonts w:cs="Times New Roman"/>
                <w:szCs w:val="24"/>
              </w:rPr>
              <w:t>Maikovich</w:t>
            </w:r>
            <w:proofErr w:type="spellEnd"/>
            <w:r w:rsidRPr="00611D5F">
              <w:rPr>
                <w:rFonts w:cs="Times New Roman"/>
                <w:szCs w:val="24"/>
              </w:rPr>
              <w:t>-Fong 2010</w:t>
            </w:r>
          </w:p>
          <w:p w14:paraId="67ABBC6F" w14:textId="77777777" w:rsidR="00356EAF" w:rsidRPr="00611D5F" w:rsidRDefault="00356EAF" w:rsidP="008763B9">
            <w:pPr>
              <w:rPr>
                <w:rFonts w:cs="Times New Roman"/>
                <w:szCs w:val="24"/>
              </w:rPr>
            </w:pPr>
          </w:p>
        </w:tc>
        <w:tc>
          <w:tcPr>
            <w:tcW w:w="2590" w:type="dxa"/>
          </w:tcPr>
          <w:p w14:paraId="4268ED54" w14:textId="77777777" w:rsidR="00356EAF" w:rsidRPr="00611D5F" w:rsidRDefault="00356EAF" w:rsidP="008763B9">
            <w:pPr>
              <w:rPr>
                <w:rFonts w:cs="Times New Roman"/>
                <w:szCs w:val="24"/>
              </w:rPr>
            </w:pPr>
            <w:r w:rsidRPr="00611D5F">
              <w:rPr>
                <w:rFonts w:cs="Times New Roman"/>
                <w:szCs w:val="24"/>
              </w:rPr>
              <w:t>DCF cases (n=599) of alleged sexual abuse in children-adolescents ages 4-16, 25% males</w:t>
            </w:r>
          </w:p>
        </w:tc>
        <w:tc>
          <w:tcPr>
            <w:tcW w:w="2590" w:type="dxa"/>
          </w:tcPr>
          <w:p w14:paraId="4E6584C9" w14:textId="77777777" w:rsidR="00356EAF" w:rsidRPr="00611D5F" w:rsidRDefault="00356EAF" w:rsidP="008763B9">
            <w:pPr>
              <w:rPr>
                <w:rFonts w:cs="Times New Roman"/>
                <w:szCs w:val="24"/>
              </w:rPr>
            </w:pPr>
            <w:r w:rsidRPr="00611D5F">
              <w:rPr>
                <w:rFonts w:cs="Times New Roman"/>
                <w:szCs w:val="24"/>
              </w:rPr>
              <w:t xml:space="preserve">Internalizing and externalizing psychopathology. Caregivers were administered the Child Behavior Checklist and youths completed the Youth Self-Report questionnaire and the Trauma Symptom Checklist for Children. </w:t>
            </w:r>
          </w:p>
        </w:tc>
        <w:tc>
          <w:tcPr>
            <w:tcW w:w="2020" w:type="dxa"/>
          </w:tcPr>
          <w:p w14:paraId="27A3E19F"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551358FE" w14:textId="77777777" w:rsidR="00356EAF" w:rsidRPr="00611D5F" w:rsidRDefault="00356EAF" w:rsidP="008763B9">
            <w:pPr>
              <w:rPr>
                <w:rFonts w:cs="Times New Roman"/>
                <w:szCs w:val="24"/>
              </w:rPr>
            </w:pPr>
            <w:r w:rsidRPr="00611D5F">
              <w:rPr>
                <w:rFonts w:cs="Times New Roman"/>
                <w:szCs w:val="24"/>
              </w:rPr>
              <w:t>No differences in rates of externalizing or internalizing symptoms between male and female youth exposed to sexual trauma</w:t>
            </w:r>
          </w:p>
        </w:tc>
      </w:tr>
      <w:tr w:rsidR="00356EAF" w:rsidRPr="003E6712" w14:paraId="297B8C87" w14:textId="77777777" w:rsidTr="008763B9">
        <w:tc>
          <w:tcPr>
            <w:tcW w:w="1795" w:type="dxa"/>
          </w:tcPr>
          <w:p w14:paraId="4809BD7B" w14:textId="77777777" w:rsidR="00356EAF" w:rsidRPr="00611D5F" w:rsidRDefault="00356EAF" w:rsidP="008763B9">
            <w:pPr>
              <w:rPr>
                <w:rFonts w:cs="Times New Roman"/>
                <w:color w:val="000000" w:themeColor="text1"/>
                <w:szCs w:val="24"/>
              </w:rPr>
            </w:pPr>
            <w:r w:rsidRPr="00611D5F">
              <w:rPr>
                <w:rFonts w:cs="Times New Roman"/>
                <w:color w:val="000000" w:themeColor="text1"/>
                <w:szCs w:val="24"/>
              </w:rPr>
              <w:t>Fergusson 1996</w:t>
            </w:r>
          </w:p>
          <w:p w14:paraId="38B700F5" w14:textId="77777777" w:rsidR="00356EAF" w:rsidRPr="00611D5F" w:rsidRDefault="00356EAF" w:rsidP="008763B9">
            <w:pPr>
              <w:rPr>
                <w:rFonts w:cs="Times New Roman"/>
                <w:szCs w:val="24"/>
              </w:rPr>
            </w:pPr>
          </w:p>
        </w:tc>
        <w:tc>
          <w:tcPr>
            <w:tcW w:w="2590" w:type="dxa"/>
          </w:tcPr>
          <w:p w14:paraId="5FAC98B5" w14:textId="77777777" w:rsidR="00356EAF" w:rsidRPr="00611D5F" w:rsidRDefault="00356EAF" w:rsidP="008763B9">
            <w:pPr>
              <w:rPr>
                <w:rFonts w:cs="Times New Roman"/>
                <w:szCs w:val="24"/>
              </w:rPr>
            </w:pPr>
            <w:r w:rsidRPr="00611D5F">
              <w:rPr>
                <w:rFonts w:cs="Times New Roman"/>
                <w:szCs w:val="24"/>
              </w:rPr>
              <w:t>Birth cohort of adolescents from New Zealand (n= 1019, ages 16-18</w:t>
            </w:r>
          </w:p>
        </w:tc>
        <w:tc>
          <w:tcPr>
            <w:tcW w:w="2590" w:type="dxa"/>
          </w:tcPr>
          <w:p w14:paraId="7B6B528F" w14:textId="75CDADE0" w:rsidR="00356EAF" w:rsidRPr="00611D5F" w:rsidRDefault="00356EAF" w:rsidP="008763B9">
            <w:pPr>
              <w:rPr>
                <w:rFonts w:cs="Times New Roman"/>
                <w:szCs w:val="24"/>
              </w:rPr>
            </w:pPr>
            <w:r w:rsidRPr="00611D5F">
              <w:rPr>
                <w:rFonts w:cs="Times New Roman"/>
                <w:szCs w:val="24"/>
              </w:rPr>
              <w:t>Depression, anxiety, conduct d</w:t>
            </w:r>
            <w:r>
              <w:rPr>
                <w:rFonts w:cs="Times New Roman"/>
                <w:szCs w:val="24"/>
              </w:rPr>
              <w:t>/o</w:t>
            </w:r>
            <w:r w:rsidR="00F235BC">
              <w:rPr>
                <w:rFonts w:cs="Times New Roman"/>
                <w:szCs w:val="24"/>
              </w:rPr>
              <w:t>, alcohol use, suicide.</w:t>
            </w:r>
          </w:p>
        </w:tc>
        <w:tc>
          <w:tcPr>
            <w:tcW w:w="2020" w:type="dxa"/>
          </w:tcPr>
          <w:p w14:paraId="5F4B2CFC" w14:textId="77777777" w:rsidR="00356EAF" w:rsidRPr="00611D5F" w:rsidRDefault="00356EAF" w:rsidP="008763B9">
            <w:pPr>
              <w:rPr>
                <w:rFonts w:cs="Times New Roman"/>
                <w:szCs w:val="24"/>
              </w:rPr>
            </w:pPr>
            <w:r w:rsidRPr="00611D5F">
              <w:rPr>
                <w:rFonts w:cs="Times New Roman"/>
                <w:szCs w:val="24"/>
              </w:rPr>
              <w:t>Sexual abuse</w:t>
            </w:r>
          </w:p>
        </w:tc>
        <w:tc>
          <w:tcPr>
            <w:tcW w:w="3600" w:type="dxa"/>
          </w:tcPr>
          <w:p w14:paraId="6209B542" w14:textId="77777777" w:rsidR="00356EAF" w:rsidRPr="00611D5F" w:rsidRDefault="00356EAF" w:rsidP="008763B9">
            <w:pPr>
              <w:rPr>
                <w:rFonts w:cs="Times New Roman"/>
                <w:szCs w:val="24"/>
              </w:rPr>
            </w:pPr>
            <w:r w:rsidRPr="00611D5F">
              <w:rPr>
                <w:rFonts w:cs="Times New Roman"/>
                <w:szCs w:val="24"/>
              </w:rPr>
              <w:t>Dose dependent effect of sexual abuse on all psychopathologies tested, with individuals reporting intercourse showing the highest vulnerabilities. Sex was a significant confounder but the dose dependent effect of CSA was still significant after adjusting for sex.</w:t>
            </w:r>
          </w:p>
        </w:tc>
      </w:tr>
      <w:tr w:rsidR="00356EAF" w:rsidRPr="003E6712" w14:paraId="1BB01DF7" w14:textId="77777777" w:rsidTr="008763B9">
        <w:tc>
          <w:tcPr>
            <w:tcW w:w="12595" w:type="dxa"/>
            <w:gridSpan w:val="5"/>
            <w:shd w:val="clear" w:color="auto" w:fill="EEECE1" w:themeFill="background2"/>
          </w:tcPr>
          <w:p w14:paraId="03CAF1EF" w14:textId="77777777" w:rsidR="00356EAF" w:rsidRPr="00611D5F" w:rsidRDefault="00356EAF" w:rsidP="008763B9">
            <w:pPr>
              <w:jc w:val="center"/>
              <w:rPr>
                <w:rFonts w:cs="Times New Roman"/>
                <w:szCs w:val="24"/>
              </w:rPr>
            </w:pPr>
            <w:r w:rsidRPr="00611D5F">
              <w:rPr>
                <w:rFonts w:cs="Times New Roman"/>
                <w:szCs w:val="24"/>
              </w:rPr>
              <w:t>Bucharest Early Intervention Project (high deprivation)</w:t>
            </w:r>
          </w:p>
        </w:tc>
      </w:tr>
      <w:tr w:rsidR="00356EAF" w:rsidRPr="003E6712" w14:paraId="07C722F2" w14:textId="77777777" w:rsidTr="008763B9">
        <w:tc>
          <w:tcPr>
            <w:tcW w:w="1795" w:type="dxa"/>
            <w:shd w:val="clear" w:color="auto" w:fill="EEECE1" w:themeFill="background2"/>
          </w:tcPr>
          <w:p w14:paraId="4E7A52CA" w14:textId="77777777" w:rsidR="00356EAF" w:rsidRPr="00611D5F" w:rsidRDefault="00356EAF" w:rsidP="008763B9">
            <w:pPr>
              <w:rPr>
                <w:rFonts w:cs="Times New Roman"/>
                <w:color w:val="000000" w:themeColor="text1"/>
                <w:szCs w:val="24"/>
              </w:rPr>
            </w:pPr>
            <w:r w:rsidRPr="00611D5F">
              <w:rPr>
                <w:rFonts w:cs="Times New Roman"/>
                <w:szCs w:val="24"/>
              </w:rPr>
              <w:lastRenderedPageBreak/>
              <w:t>Reference</w:t>
            </w:r>
          </w:p>
        </w:tc>
        <w:tc>
          <w:tcPr>
            <w:tcW w:w="2590" w:type="dxa"/>
            <w:shd w:val="clear" w:color="auto" w:fill="EEECE1" w:themeFill="background2"/>
          </w:tcPr>
          <w:p w14:paraId="45C6E2DA" w14:textId="77777777" w:rsidR="00356EAF" w:rsidRPr="00611D5F" w:rsidRDefault="00356EAF" w:rsidP="008763B9">
            <w:pPr>
              <w:rPr>
                <w:rFonts w:cs="Times New Roman"/>
                <w:szCs w:val="24"/>
              </w:rPr>
            </w:pPr>
            <w:r w:rsidRPr="00611D5F">
              <w:rPr>
                <w:rFonts w:cs="Times New Roman"/>
                <w:szCs w:val="24"/>
              </w:rPr>
              <w:t>Sample description</w:t>
            </w:r>
          </w:p>
        </w:tc>
        <w:tc>
          <w:tcPr>
            <w:tcW w:w="2590" w:type="dxa"/>
            <w:shd w:val="clear" w:color="auto" w:fill="EEECE1" w:themeFill="background2"/>
          </w:tcPr>
          <w:p w14:paraId="79F9AC5E" w14:textId="77777777" w:rsidR="00356EAF" w:rsidRPr="00611D5F" w:rsidRDefault="00356EAF" w:rsidP="008763B9">
            <w:pPr>
              <w:rPr>
                <w:rFonts w:cs="Times New Roman"/>
                <w:szCs w:val="24"/>
              </w:rPr>
            </w:pPr>
            <w:r w:rsidRPr="00611D5F">
              <w:rPr>
                <w:rFonts w:cs="Times New Roman"/>
                <w:szCs w:val="24"/>
              </w:rPr>
              <w:t>Assessments</w:t>
            </w:r>
          </w:p>
        </w:tc>
        <w:tc>
          <w:tcPr>
            <w:tcW w:w="2020" w:type="dxa"/>
            <w:shd w:val="clear" w:color="auto" w:fill="EEECE1" w:themeFill="background2"/>
          </w:tcPr>
          <w:p w14:paraId="7A5696EB" w14:textId="77777777" w:rsidR="00356EAF" w:rsidRPr="00611D5F" w:rsidRDefault="00356EAF" w:rsidP="008763B9">
            <w:pPr>
              <w:rPr>
                <w:rFonts w:cs="Times New Roman"/>
                <w:szCs w:val="24"/>
              </w:rPr>
            </w:pPr>
            <w:r w:rsidRPr="00611D5F">
              <w:rPr>
                <w:rFonts w:cs="Times New Roman"/>
                <w:szCs w:val="24"/>
              </w:rPr>
              <w:t>Types of maltreatment</w:t>
            </w:r>
          </w:p>
        </w:tc>
        <w:tc>
          <w:tcPr>
            <w:tcW w:w="3600" w:type="dxa"/>
            <w:shd w:val="clear" w:color="auto" w:fill="EEECE1" w:themeFill="background2"/>
          </w:tcPr>
          <w:p w14:paraId="66E8B07A" w14:textId="77777777" w:rsidR="00356EAF" w:rsidRPr="00611D5F" w:rsidRDefault="00356EAF" w:rsidP="008763B9">
            <w:pPr>
              <w:rPr>
                <w:rFonts w:cs="Times New Roman"/>
                <w:szCs w:val="24"/>
              </w:rPr>
            </w:pPr>
            <w:r w:rsidRPr="00611D5F">
              <w:rPr>
                <w:rFonts w:cs="Times New Roman"/>
                <w:szCs w:val="24"/>
              </w:rPr>
              <w:t>Main Findings</w:t>
            </w:r>
          </w:p>
        </w:tc>
      </w:tr>
      <w:tr w:rsidR="00356EAF" w:rsidRPr="003E6712" w14:paraId="45B777EA" w14:textId="77777777" w:rsidTr="008763B9">
        <w:tc>
          <w:tcPr>
            <w:tcW w:w="1795" w:type="dxa"/>
          </w:tcPr>
          <w:p w14:paraId="7D946398" w14:textId="77777777" w:rsidR="00356EAF" w:rsidRPr="00611D5F" w:rsidRDefault="00356EAF" w:rsidP="008763B9">
            <w:pPr>
              <w:rPr>
                <w:rFonts w:cs="Times New Roman"/>
                <w:color w:val="000000" w:themeColor="text1"/>
                <w:szCs w:val="24"/>
              </w:rPr>
            </w:pPr>
            <w:r w:rsidRPr="00611D5F">
              <w:rPr>
                <w:rFonts w:cs="Times New Roman"/>
                <w:color w:val="000000" w:themeColor="text1"/>
                <w:szCs w:val="24"/>
              </w:rPr>
              <w:t>Marshall 2004</w:t>
            </w:r>
          </w:p>
          <w:p w14:paraId="40BDBB93" w14:textId="77777777" w:rsidR="00356EAF" w:rsidRPr="00611D5F" w:rsidRDefault="00356EAF" w:rsidP="008763B9">
            <w:pPr>
              <w:rPr>
                <w:rFonts w:cs="Times New Roman"/>
                <w:color w:val="000000" w:themeColor="text1"/>
                <w:szCs w:val="24"/>
              </w:rPr>
            </w:pPr>
          </w:p>
        </w:tc>
        <w:tc>
          <w:tcPr>
            <w:tcW w:w="2590" w:type="dxa"/>
          </w:tcPr>
          <w:p w14:paraId="49D1CBE5" w14:textId="77777777" w:rsidR="00356EAF" w:rsidRPr="00611D5F" w:rsidRDefault="00356EAF" w:rsidP="008763B9">
            <w:pPr>
              <w:rPr>
                <w:rFonts w:cs="Times New Roman"/>
                <w:szCs w:val="24"/>
              </w:rPr>
            </w:pPr>
            <w:r w:rsidRPr="00611D5F">
              <w:rPr>
                <w:rFonts w:cs="Times New Roman"/>
                <w:szCs w:val="24"/>
              </w:rPr>
              <w:t>Children from the Bucharest Early Intervention Project (BEIP). Ages 5-31 months from the Institutionalized group (n=104), age matched controls (n=46)</w:t>
            </w:r>
          </w:p>
        </w:tc>
        <w:tc>
          <w:tcPr>
            <w:tcW w:w="2590" w:type="dxa"/>
          </w:tcPr>
          <w:p w14:paraId="1087F3B3" w14:textId="77777777" w:rsidR="00356EAF" w:rsidRPr="00611D5F" w:rsidRDefault="00356EAF" w:rsidP="008763B9">
            <w:pPr>
              <w:rPr>
                <w:rFonts w:cs="Times New Roman"/>
                <w:szCs w:val="24"/>
              </w:rPr>
            </w:pPr>
            <w:r w:rsidRPr="00611D5F">
              <w:rPr>
                <w:rFonts w:cs="Times New Roman"/>
                <w:szCs w:val="24"/>
              </w:rPr>
              <w:t xml:space="preserve">EEG </w:t>
            </w:r>
          </w:p>
        </w:tc>
        <w:tc>
          <w:tcPr>
            <w:tcW w:w="2020" w:type="dxa"/>
          </w:tcPr>
          <w:p w14:paraId="4A9CD5E5" w14:textId="77777777" w:rsidR="00356EAF" w:rsidRPr="00611D5F" w:rsidRDefault="00356EAF" w:rsidP="008763B9">
            <w:pPr>
              <w:rPr>
                <w:rFonts w:cs="Times New Roman"/>
                <w:szCs w:val="24"/>
              </w:rPr>
            </w:pPr>
            <w:r w:rsidRPr="00611D5F">
              <w:rPr>
                <w:rFonts w:cs="Times New Roman"/>
                <w:szCs w:val="24"/>
              </w:rPr>
              <w:t>Parental deprivation/ institutionalization ages 6-31 months</w:t>
            </w:r>
          </w:p>
        </w:tc>
        <w:tc>
          <w:tcPr>
            <w:tcW w:w="3600" w:type="dxa"/>
          </w:tcPr>
          <w:p w14:paraId="7DC6910C" w14:textId="77777777" w:rsidR="00356EAF" w:rsidRPr="00611D5F" w:rsidRDefault="00356EAF" w:rsidP="008763B9">
            <w:pPr>
              <w:rPr>
                <w:rFonts w:cs="Times New Roman"/>
                <w:szCs w:val="24"/>
              </w:rPr>
            </w:pPr>
            <w:r w:rsidRPr="00611D5F">
              <w:rPr>
                <w:rFonts w:cs="Times New Roman"/>
                <w:szCs w:val="24"/>
              </w:rPr>
              <w:t>Institutionalized group showed increased low frequency, reduced high frequency, and increased hemispheric asymmetry compared to controls, with no differences between males and females.</w:t>
            </w:r>
          </w:p>
        </w:tc>
      </w:tr>
      <w:tr w:rsidR="00356EAF" w:rsidRPr="003E6712" w14:paraId="103C7A11" w14:textId="77777777" w:rsidTr="008763B9">
        <w:tc>
          <w:tcPr>
            <w:tcW w:w="1795" w:type="dxa"/>
          </w:tcPr>
          <w:p w14:paraId="2A801DE8" w14:textId="77777777" w:rsidR="00356EAF" w:rsidRPr="00611D5F" w:rsidRDefault="00356EAF" w:rsidP="008763B9">
            <w:pPr>
              <w:rPr>
                <w:rFonts w:cs="Times New Roman"/>
                <w:color w:val="000000" w:themeColor="text1"/>
                <w:szCs w:val="24"/>
              </w:rPr>
            </w:pPr>
            <w:proofErr w:type="spellStart"/>
            <w:r w:rsidRPr="00611D5F">
              <w:rPr>
                <w:rFonts w:cs="Times New Roman"/>
                <w:color w:val="000000" w:themeColor="text1"/>
                <w:szCs w:val="24"/>
              </w:rPr>
              <w:t>Zeanah</w:t>
            </w:r>
            <w:proofErr w:type="spellEnd"/>
            <w:r w:rsidRPr="00611D5F">
              <w:rPr>
                <w:rFonts w:cs="Times New Roman"/>
                <w:color w:val="000000" w:themeColor="text1"/>
                <w:szCs w:val="24"/>
              </w:rPr>
              <w:t xml:space="preserve"> 2009</w:t>
            </w:r>
          </w:p>
          <w:p w14:paraId="10081537" w14:textId="77777777" w:rsidR="00356EAF" w:rsidRPr="00611D5F" w:rsidRDefault="00356EAF" w:rsidP="008763B9">
            <w:pPr>
              <w:rPr>
                <w:rFonts w:cs="Times New Roman"/>
                <w:szCs w:val="24"/>
              </w:rPr>
            </w:pPr>
          </w:p>
        </w:tc>
        <w:tc>
          <w:tcPr>
            <w:tcW w:w="2590" w:type="dxa"/>
          </w:tcPr>
          <w:p w14:paraId="2122A0D8" w14:textId="77777777" w:rsidR="00356EAF" w:rsidRPr="00611D5F" w:rsidRDefault="00356EAF" w:rsidP="008763B9">
            <w:pPr>
              <w:rPr>
                <w:rFonts w:cs="Times New Roman"/>
                <w:szCs w:val="24"/>
              </w:rPr>
            </w:pPr>
            <w:r w:rsidRPr="00611D5F">
              <w:rPr>
                <w:rFonts w:cs="Times New Roman"/>
                <w:szCs w:val="24"/>
              </w:rPr>
              <w:t>Children from the Bucharest Early Intervention Project (BEIP). Age 2.5y, IAG</w:t>
            </w:r>
            <w:r>
              <w:rPr>
                <w:rFonts w:cs="Times New Roman"/>
                <w:szCs w:val="24"/>
              </w:rPr>
              <w:t xml:space="preserve"> </w:t>
            </w:r>
            <w:r w:rsidRPr="00611D5F">
              <w:rPr>
                <w:rFonts w:cs="Times New Roman"/>
                <w:szCs w:val="24"/>
              </w:rPr>
              <w:t xml:space="preserve">(n= 59), CIG (n= 52), NIG (n= 59). </w:t>
            </w:r>
          </w:p>
        </w:tc>
        <w:tc>
          <w:tcPr>
            <w:tcW w:w="2590" w:type="dxa"/>
          </w:tcPr>
          <w:p w14:paraId="48814B58" w14:textId="77777777" w:rsidR="00356EAF" w:rsidRPr="00611D5F" w:rsidRDefault="00356EAF" w:rsidP="008763B9">
            <w:pPr>
              <w:rPr>
                <w:rFonts w:cs="Times New Roman"/>
                <w:szCs w:val="24"/>
              </w:rPr>
            </w:pPr>
            <w:r w:rsidRPr="00611D5F">
              <w:rPr>
                <w:rFonts w:cs="Times New Roman"/>
                <w:szCs w:val="24"/>
              </w:rPr>
              <w:t>Externalizing d/o, internalizing d/o and, ADHD using the Preschool Age Psychiatric Assessment (PAPA) administered to the biological parents, foster parents, or institutional care giver and DSM IV for diagnoses</w:t>
            </w:r>
          </w:p>
        </w:tc>
        <w:tc>
          <w:tcPr>
            <w:tcW w:w="2020" w:type="dxa"/>
          </w:tcPr>
          <w:p w14:paraId="233456BF" w14:textId="77777777" w:rsidR="00356EAF" w:rsidRPr="00611D5F" w:rsidRDefault="00356EAF" w:rsidP="008763B9">
            <w:pPr>
              <w:rPr>
                <w:rFonts w:cs="Times New Roman"/>
                <w:szCs w:val="24"/>
              </w:rPr>
            </w:pPr>
            <w:r w:rsidRPr="00611D5F">
              <w:rPr>
                <w:rFonts w:cs="Times New Roman"/>
                <w:szCs w:val="24"/>
              </w:rPr>
              <w:t>Parental deprivation/ institutionalization ages 6-31 months after birth followed by randomized fostering some of the children.</w:t>
            </w:r>
          </w:p>
        </w:tc>
        <w:tc>
          <w:tcPr>
            <w:tcW w:w="3600" w:type="dxa"/>
          </w:tcPr>
          <w:p w14:paraId="29F0A6D1" w14:textId="77777777" w:rsidR="00356EAF" w:rsidRPr="00611D5F" w:rsidRDefault="00356EAF" w:rsidP="008763B9">
            <w:pPr>
              <w:rPr>
                <w:rFonts w:cs="Times New Roman"/>
                <w:szCs w:val="24"/>
              </w:rPr>
            </w:pPr>
            <w:r w:rsidRPr="00611D5F">
              <w:rPr>
                <w:rFonts w:cs="Times New Roman"/>
                <w:szCs w:val="24"/>
              </w:rPr>
              <w:t xml:space="preserve">Exposure to institutionalization caused higher levels of multiple psychopathologies in boys compared to girls. These include externalizing d/o, internalizing d/o and, ADHD. Also, while foster care reduced multiple psychiatric symptoms and impairment in females, it did not reduce psychopathology in males. </w:t>
            </w:r>
          </w:p>
        </w:tc>
      </w:tr>
      <w:tr w:rsidR="00356EAF" w:rsidRPr="003E6712" w14:paraId="538118B7" w14:textId="77777777" w:rsidTr="008763B9">
        <w:tc>
          <w:tcPr>
            <w:tcW w:w="1795" w:type="dxa"/>
          </w:tcPr>
          <w:p w14:paraId="7B23A55B" w14:textId="77777777" w:rsidR="00356EAF" w:rsidRPr="00611D5F" w:rsidRDefault="00356EAF" w:rsidP="008763B9">
            <w:pPr>
              <w:rPr>
                <w:rFonts w:cs="Times New Roman"/>
                <w:szCs w:val="24"/>
              </w:rPr>
            </w:pPr>
            <w:r w:rsidRPr="00611D5F">
              <w:rPr>
                <w:rFonts w:cs="Times New Roman"/>
                <w:szCs w:val="24"/>
              </w:rPr>
              <w:t xml:space="preserve">Humphreys 2015 </w:t>
            </w:r>
          </w:p>
        </w:tc>
        <w:tc>
          <w:tcPr>
            <w:tcW w:w="2590" w:type="dxa"/>
          </w:tcPr>
          <w:p w14:paraId="218B8354" w14:textId="77777777" w:rsidR="00356EAF" w:rsidRPr="00611D5F" w:rsidRDefault="00356EAF" w:rsidP="008763B9">
            <w:pPr>
              <w:rPr>
                <w:rFonts w:cs="Times New Roman"/>
                <w:szCs w:val="24"/>
              </w:rPr>
            </w:pPr>
            <w:r w:rsidRPr="00611D5F">
              <w:rPr>
                <w:rFonts w:cs="Times New Roman"/>
                <w:szCs w:val="24"/>
              </w:rPr>
              <w:t xml:space="preserve">Children from the Bucharest Early Intervention Project (BEIP). Age 11-15, IAG (n= 55), CIG (n= 55). NIG (n= 49) </w:t>
            </w:r>
          </w:p>
        </w:tc>
        <w:tc>
          <w:tcPr>
            <w:tcW w:w="2590" w:type="dxa"/>
          </w:tcPr>
          <w:p w14:paraId="0039FD52" w14:textId="77777777" w:rsidR="00356EAF" w:rsidRPr="00611D5F" w:rsidRDefault="00356EAF" w:rsidP="008763B9">
            <w:pPr>
              <w:rPr>
                <w:rFonts w:cs="Times New Roman"/>
                <w:szCs w:val="24"/>
              </w:rPr>
            </w:pPr>
            <w:r w:rsidRPr="00611D5F">
              <w:rPr>
                <w:rFonts w:cs="Times New Roman"/>
                <w:szCs w:val="24"/>
              </w:rPr>
              <w:t xml:space="preserve">Externalizing d/o, internalizing d/o and, ADHD using the Diagnostic Interview Schedule for Children, 4th edition (DISC-IV) with the biological parents, foster parents, </w:t>
            </w:r>
            <w:r w:rsidRPr="00611D5F">
              <w:rPr>
                <w:rFonts w:cs="Times New Roman"/>
                <w:szCs w:val="24"/>
              </w:rPr>
              <w:lastRenderedPageBreak/>
              <w:t xml:space="preserve">or institutional care giver and DSM IV for diagnosis </w:t>
            </w:r>
          </w:p>
        </w:tc>
        <w:tc>
          <w:tcPr>
            <w:tcW w:w="2020" w:type="dxa"/>
          </w:tcPr>
          <w:p w14:paraId="4BB7D10F" w14:textId="77777777" w:rsidR="00356EAF" w:rsidRPr="00611D5F" w:rsidRDefault="00356EAF" w:rsidP="008763B9">
            <w:pPr>
              <w:rPr>
                <w:rFonts w:cs="Times New Roman"/>
                <w:szCs w:val="24"/>
              </w:rPr>
            </w:pPr>
            <w:r w:rsidRPr="00611D5F">
              <w:rPr>
                <w:rFonts w:cs="Times New Roman"/>
                <w:szCs w:val="24"/>
              </w:rPr>
              <w:lastRenderedPageBreak/>
              <w:t xml:space="preserve">Social-parental deprivation/ institutionalization ages 6-31 months after birth followed by randomized </w:t>
            </w:r>
            <w:r w:rsidRPr="00611D5F">
              <w:rPr>
                <w:rFonts w:cs="Times New Roman"/>
                <w:szCs w:val="24"/>
              </w:rPr>
              <w:lastRenderedPageBreak/>
              <w:t>fostering some of the children.</w:t>
            </w:r>
          </w:p>
        </w:tc>
        <w:tc>
          <w:tcPr>
            <w:tcW w:w="3600" w:type="dxa"/>
          </w:tcPr>
          <w:p w14:paraId="65DC14F9" w14:textId="77777777" w:rsidR="00356EAF" w:rsidRPr="00611D5F" w:rsidRDefault="00356EAF" w:rsidP="008763B9">
            <w:pPr>
              <w:rPr>
                <w:rFonts w:cs="Times New Roman"/>
                <w:szCs w:val="24"/>
              </w:rPr>
            </w:pPr>
            <w:r w:rsidRPr="00611D5F">
              <w:rPr>
                <w:rFonts w:cs="Times New Roman"/>
                <w:szCs w:val="24"/>
              </w:rPr>
              <w:lastRenderedPageBreak/>
              <w:t xml:space="preserve">Exposure to institutionalization increased internalizing d/o in females but not males, with no sex differences in rates of externalizing d/o or ADHD. </w:t>
            </w:r>
          </w:p>
          <w:p w14:paraId="471D8B98" w14:textId="77777777" w:rsidR="00356EAF" w:rsidRPr="00611D5F" w:rsidRDefault="00356EAF" w:rsidP="008763B9">
            <w:pPr>
              <w:rPr>
                <w:rFonts w:cs="Times New Roman"/>
                <w:szCs w:val="24"/>
              </w:rPr>
            </w:pPr>
            <w:r w:rsidRPr="00611D5F">
              <w:rPr>
                <w:rFonts w:cs="Times New Roman"/>
                <w:szCs w:val="24"/>
              </w:rPr>
              <w:t xml:space="preserve">Adoption reduced externalizing behavior in males but not females </w:t>
            </w:r>
            <w:r w:rsidRPr="00611D5F">
              <w:rPr>
                <w:rFonts w:cs="Times New Roman"/>
                <w:szCs w:val="24"/>
              </w:rPr>
              <w:lastRenderedPageBreak/>
              <w:t>and had no effect on rates of internalizing d/o or ADHD in males and females.</w:t>
            </w:r>
          </w:p>
        </w:tc>
      </w:tr>
    </w:tbl>
    <w:p w14:paraId="1A9DFDCC" w14:textId="77777777" w:rsidR="00356EAF" w:rsidRDefault="00356EAF" w:rsidP="00356EAF">
      <w:pPr>
        <w:rPr>
          <w:rFonts w:cs="Times New Roman"/>
          <w:szCs w:val="24"/>
        </w:rPr>
      </w:pPr>
    </w:p>
    <w:p w14:paraId="6745439C" w14:textId="77777777" w:rsidR="006B5E73" w:rsidRDefault="006B5E73" w:rsidP="006B5E73">
      <w:pPr>
        <w:rPr>
          <w:rFonts w:cs="Times New Roman"/>
          <w:szCs w:val="24"/>
        </w:rPr>
      </w:pPr>
    </w:p>
    <w:p w14:paraId="673FAB95" w14:textId="77777777" w:rsidR="006B5E73" w:rsidRDefault="006B5E73" w:rsidP="006B5E73">
      <w:pPr>
        <w:rPr>
          <w:rFonts w:cs="Times New Roman"/>
          <w:szCs w:val="24"/>
        </w:rPr>
        <w:sectPr w:rsidR="006B5E73" w:rsidSect="00F239BB">
          <w:headerReference w:type="even" r:id="rId8"/>
          <w:headerReference w:type="default" r:id="rId9"/>
          <w:headerReference w:type="first" r:id="rId10"/>
          <w:pgSz w:w="15840" w:h="12240" w:orient="landscape"/>
          <w:pgMar w:top="1440" w:right="1440" w:bottom="1440" w:left="1440" w:header="283" w:footer="510" w:gutter="0"/>
          <w:cols w:space="720"/>
          <w:titlePg/>
          <w:docGrid w:linePitch="360"/>
        </w:sectPr>
      </w:pPr>
    </w:p>
    <w:p w14:paraId="10A67342" w14:textId="52304205" w:rsidR="006B5E73" w:rsidRPr="00611D5F" w:rsidRDefault="006B5E73" w:rsidP="006B5E73">
      <w:pPr>
        <w:rPr>
          <w:rFonts w:cs="Times New Roman"/>
          <w:b/>
          <w:szCs w:val="24"/>
        </w:rPr>
      </w:pPr>
      <w:r w:rsidRPr="00611D5F">
        <w:rPr>
          <w:rFonts w:cs="Times New Roman"/>
          <w:b/>
          <w:szCs w:val="24"/>
        </w:rPr>
        <w:lastRenderedPageBreak/>
        <w:t xml:space="preserve">Table </w:t>
      </w:r>
      <w:r w:rsidR="00F239BB">
        <w:rPr>
          <w:rFonts w:cs="Times New Roman"/>
          <w:b/>
          <w:szCs w:val="24"/>
        </w:rPr>
        <w:t>S</w:t>
      </w:r>
      <w:r>
        <w:rPr>
          <w:rFonts w:cs="Times New Roman"/>
          <w:b/>
          <w:szCs w:val="24"/>
        </w:rPr>
        <w:t>2</w:t>
      </w:r>
      <w:r w:rsidRPr="00611D5F">
        <w:rPr>
          <w:rFonts w:cs="Times New Roman"/>
          <w:b/>
          <w:szCs w:val="24"/>
        </w:rPr>
        <w:t xml:space="preserve">. </w:t>
      </w:r>
      <w:r w:rsidRPr="00611D5F">
        <w:rPr>
          <w:rFonts w:cs="Times New Roman"/>
          <w:szCs w:val="24"/>
        </w:rPr>
        <w:t>Robust consequences of CM in humans and their parallel findings in paradigms of postnatal stress in rodents</w:t>
      </w:r>
      <w:r>
        <w:rPr>
          <w:rFonts w:cs="Times New Roman"/>
          <w:szCs w:val="24"/>
        </w:rPr>
        <w:t>.</w:t>
      </w:r>
    </w:p>
    <w:tbl>
      <w:tblPr>
        <w:tblStyle w:val="TableGrid"/>
        <w:tblW w:w="5092" w:type="pct"/>
        <w:tblInd w:w="-8" w:type="dxa"/>
        <w:tblLook w:val="04A0" w:firstRow="1" w:lastRow="0" w:firstColumn="1" w:lastColumn="0" w:noHBand="0" w:noVBand="1"/>
      </w:tblPr>
      <w:tblGrid>
        <w:gridCol w:w="5064"/>
        <w:gridCol w:w="3817"/>
        <w:gridCol w:w="4307"/>
      </w:tblGrid>
      <w:tr w:rsidR="00A1112B" w:rsidRPr="007F7FA9" w14:paraId="371ED2B9" w14:textId="77777777" w:rsidTr="008763B9">
        <w:tc>
          <w:tcPr>
            <w:tcW w:w="1920" w:type="pct"/>
            <w:shd w:val="clear" w:color="auto" w:fill="EEECE1" w:themeFill="background2"/>
          </w:tcPr>
          <w:p w14:paraId="5CA075AE" w14:textId="77777777" w:rsidR="006B5E73" w:rsidRPr="00611D5F" w:rsidRDefault="006B5E73" w:rsidP="008763B9">
            <w:pPr>
              <w:rPr>
                <w:rFonts w:cs="Times New Roman"/>
                <w:szCs w:val="24"/>
              </w:rPr>
            </w:pPr>
            <w:r w:rsidRPr="00611D5F">
              <w:rPr>
                <w:rFonts w:cs="Times New Roman"/>
                <w:szCs w:val="24"/>
              </w:rPr>
              <w:t>Outcome</w:t>
            </w:r>
          </w:p>
        </w:tc>
        <w:tc>
          <w:tcPr>
            <w:tcW w:w="1447" w:type="pct"/>
            <w:shd w:val="clear" w:color="auto" w:fill="EEECE1" w:themeFill="background2"/>
          </w:tcPr>
          <w:p w14:paraId="12CF71B9" w14:textId="77777777" w:rsidR="006B5E73" w:rsidRPr="00611D5F" w:rsidRDefault="006B5E73" w:rsidP="008763B9">
            <w:pPr>
              <w:rPr>
                <w:rFonts w:cs="Times New Roman"/>
                <w:szCs w:val="24"/>
              </w:rPr>
            </w:pPr>
            <w:r w:rsidRPr="00611D5F">
              <w:rPr>
                <w:rFonts w:cs="Times New Roman"/>
                <w:szCs w:val="24"/>
              </w:rPr>
              <w:t>Human studies/reviews</w:t>
            </w:r>
          </w:p>
        </w:tc>
        <w:tc>
          <w:tcPr>
            <w:tcW w:w="1633" w:type="pct"/>
            <w:shd w:val="clear" w:color="auto" w:fill="EEECE1" w:themeFill="background2"/>
          </w:tcPr>
          <w:p w14:paraId="3B4A940F" w14:textId="77777777" w:rsidR="006B5E73" w:rsidRPr="00611D5F" w:rsidRDefault="006B5E73" w:rsidP="008763B9">
            <w:pPr>
              <w:rPr>
                <w:rFonts w:cs="Times New Roman"/>
                <w:szCs w:val="24"/>
              </w:rPr>
            </w:pPr>
            <w:r w:rsidRPr="00611D5F">
              <w:rPr>
                <w:rFonts w:cs="Times New Roman"/>
                <w:szCs w:val="24"/>
              </w:rPr>
              <w:t>Rodent studies/reviews</w:t>
            </w:r>
          </w:p>
        </w:tc>
      </w:tr>
      <w:tr w:rsidR="006B5E73" w:rsidRPr="007F7FA9" w14:paraId="23391F16" w14:textId="77777777" w:rsidTr="008763B9">
        <w:tc>
          <w:tcPr>
            <w:tcW w:w="1920" w:type="pct"/>
          </w:tcPr>
          <w:p w14:paraId="3486E3CA" w14:textId="77777777" w:rsidR="006B5E73" w:rsidRPr="00611D5F" w:rsidRDefault="006B5E73" w:rsidP="008763B9">
            <w:pPr>
              <w:pStyle w:val="ListParagraph"/>
              <w:numPr>
                <w:ilvl w:val="0"/>
                <w:numId w:val="27"/>
              </w:numPr>
              <w:spacing w:before="0" w:after="0"/>
            </w:pPr>
            <w:r w:rsidRPr="00611D5F">
              <w:t>CM leads to a dose-dependent increase in a large number of psychopathologies and medical conditions</w:t>
            </w:r>
          </w:p>
        </w:tc>
        <w:tc>
          <w:tcPr>
            <w:tcW w:w="1447" w:type="pct"/>
          </w:tcPr>
          <w:p w14:paraId="35DD9B65" w14:textId="77777777" w:rsidR="006B5E73" w:rsidRPr="00611D5F" w:rsidRDefault="006B5E73" w:rsidP="008763B9">
            <w:pPr>
              <w:rPr>
                <w:rFonts w:cs="Times New Roman"/>
                <w:szCs w:val="24"/>
              </w:rPr>
            </w:pPr>
            <w:r w:rsidRPr="00611D5F">
              <w:rPr>
                <w:rFonts w:cs="Times New Roman"/>
                <w:noProof/>
                <w:szCs w:val="24"/>
              </w:rPr>
              <w:t>Anda et al., 2006; Chen et al., 2010; Kaffman and Meaney, 2007; Nemeroff, 2016; Teicher and Samson, 2016</w:t>
            </w:r>
          </w:p>
        </w:tc>
        <w:tc>
          <w:tcPr>
            <w:tcW w:w="1633" w:type="pct"/>
          </w:tcPr>
          <w:p w14:paraId="119F3175" w14:textId="77777777" w:rsidR="006B5E73" w:rsidRPr="00611D5F" w:rsidRDefault="006B5E73" w:rsidP="008763B9">
            <w:pPr>
              <w:rPr>
                <w:rFonts w:cs="Times New Roman"/>
                <w:szCs w:val="24"/>
              </w:rPr>
            </w:pPr>
            <w:r w:rsidRPr="00611D5F">
              <w:rPr>
                <w:rFonts w:cs="Times New Roman"/>
                <w:noProof/>
                <w:szCs w:val="24"/>
              </w:rPr>
              <w:t>Johnson et al., 2018; Kaffman and Meaney, 2007; Murthy and Gould, 2018; Tractenberg et al., 2016; Walker et al., 2017</w:t>
            </w:r>
          </w:p>
        </w:tc>
      </w:tr>
      <w:tr w:rsidR="006B5E73" w:rsidRPr="007F7FA9" w14:paraId="1CB9CE79" w14:textId="77777777" w:rsidTr="008763B9">
        <w:tc>
          <w:tcPr>
            <w:tcW w:w="1920" w:type="pct"/>
          </w:tcPr>
          <w:p w14:paraId="616A50B4" w14:textId="77777777" w:rsidR="006B5E73" w:rsidRPr="00611D5F" w:rsidRDefault="006B5E73" w:rsidP="008763B9">
            <w:pPr>
              <w:pStyle w:val="ListParagraph"/>
              <w:numPr>
                <w:ilvl w:val="0"/>
                <w:numId w:val="27"/>
              </w:numPr>
              <w:spacing w:before="0" w:after="0"/>
            </w:pPr>
            <w:r w:rsidRPr="00611D5F">
              <w:t>Different types of ELS cause different developmental and behavioral outcomes</w:t>
            </w:r>
          </w:p>
        </w:tc>
        <w:tc>
          <w:tcPr>
            <w:tcW w:w="1447" w:type="pct"/>
          </w:tcPr>
          <w:p w14:paraId="46A6EEB2" w14:textId="77777777" w:rsidR="006B5E73" w:rsidRPr="00611D5F" w:rsidRDefault="006B5E73" w:rsidP="008763B9">
            <w:pPr>
              <w:rPr>
                <w:rFonts w:cs="Times New Roman"/>
                <w:szCs w:val="24"/>
              </w:rPr>
            </w:pPr>
            <w:r w:rsidRPr="00611D5F">
              <w:rPr>
                <w:rFonts w:cs="Times New Roman"/>
                <w:noProof/>
                <w:szCs w:val="24"/>
              </w:rPr>
              <w:t>Keyes et al., 2012; McLaughlin et al., 2014; Teicher and Samson, 2016</w:t>
            </w:r>
          </w:p>
        </w:tc>
        <w:tc>
          <w:tcPr>
            <w:tcW w:w="1633" w:type="pct"/>
          </w:tcPr>
          <w:p w14:paraId="0D1FEC52" w14:textId="77777777" w:rsidR="006B5E73" w:rsidRPr="00611D5F" w:rsidRDefault="006B5E73" w:rsidP="008763B9">
            <w:pPr>
              <w:rPr>
                <w:rFonts w:cs="Times New Roman"/>
                <w:szCs w:val="24"/>
              </w:rPr>
            </w:pPr>
            <w:r w:rsidRPr="00611D5F">
              <w:rPr>
                <w:rFonts w:cs="Times New Roman"/>
                <w:noProof/>
                <w:szCs w:val="24"/>
              </w:rPr>
              <w:t>Chen and Jackson, 2016; Johnson et al., 2018; Pena et al., 2017; Pryce and Feldon, 2003</w:t>
            </w:r>
          </w:p>
        </w:tc>
      </w:tr>
      <w:tr w:rsidR="006B5E73" w:rsidRPr="007F7FA9" w14:paraId="4BCD00B7" w14:textId="77777777" w:rsidTr="008763B9">
        <w:tc>
          <w:tcPr>
            <w:tcW w:w="1920" w:type="pct"/>
          </w:tcPr>
          <w:p w14:paraId="1F32B2C7" w14:textId="77777777" w:rsidR="006B5E73" w:rsidRPr="00611D5F" w:rsidRDefault="006B5E73" w:rsidP="008763B9">
            <w:pPr>
              <w:pStyle w:val="ListParagraph"/>
              <w:numPr>
                <w:ilvl w:val="0"/>
                <w:numId w:val="27"/>
              </w:numPr>
              <w:spacing w:before="0" w:after="0"/>
            </w:pPr>
            <w:r w:rsidRPr="00611D5F">
              <w:t>Reduced hippocampal volume in adulthood (M &gt; F)</w:t>
            </w:r>
          </w:p>
        </w:tc>
        <w:tc>
          <w:tcPr>
            <w:tcW w:w="1447" w:type="pct"/>
          </w:tcPr>
          <w:p w14:paraId="77014652" w14:textId="77777777" w:rsidR="006B5E73" w:rsidRPr="00611D5F" w:rsidRDefault="006B5E73" w:rsidP="008763B9">
            <w:pPr>
              <w:rPr>
                <w:rFonts w:cs="Times New Roman"/>
                <w:szCs w:val="24"/>
              </w:rPr>
            </w:pPr>
            <w:r w:rsidRPr="00611D5F">
              <w:rPr>
                <w:rFonts w:cs="Times New Roman"/>
                <w:noProof/>
                <w:szCs w:val="24"/>
              </w:rPr>
              <w:t>Teicher and Samson, 2016</w:t>
            </w:r>
          </w:p>
        </w:tc>
        <w:tc>
          <w:tcPr>
            <w:tcW w:w="1633" w:type="pct"/>
          </w:tcPr>
          <w:p w14:paraId="06F3A351" w14:textId="77777777" w:rsidR="006B5E73" w:rsidRPr="00611D5F" w:rsidRDefault="006B5E73" w:rsidP="008763B9">
            <w:pPr>
              <w:rPr>
                <w:rFonts w:cs="Times New Roman"/>
                <w:szCs w:val="24"/>
              </w:rPr>
            </w:pPr>
            <w:r w:rsidRPr="00611D5F">
              <w:rPr>
                <w:rFonts w:cs="Times New Roman"/>
                <w:noProof/>
                <w:szCs w:val="24"/>
              </w:rPr>
              <w:t>Bath et al., 2017; Naninck et al., 2015; Molet et al., 2016</w:t>
            </w:r>
          </w:p>
        </w:tc>
      </w:tr>
      <w:tr w:rsidR="006B5E73" w:rsidRPr="007F7FA9" w14:paraId="4D208858" w14:textId="77777777" w:rsidTr="008763B9">
        <w:tc>
          <w:tcPr>
            <w:tcW w:w="1920" w:type="pct"/>
          </w:tcPr>
          <w:p w14:paraId="12A13F5B" w14:textId="77777777" w:rsidR="006B5E73" w:rsidRPr="00611D5F" w:rsidRDefault="006B5E73" w:rsidP="008763B9">
            <w:pPr>
              <w:pStyle w:val="ListParagraph"/>
              <w:numPr>
                <w:ilvl w:val="0"/>
                <w:numId w:val="27"/>
              </w:numPr>
              <w:spacing w:before="0" w:after="0"/>
            </w:pPr>
            <w:r w:rsidRPr="00611D5F">
              <w:t>Abnormal myelination notable for reduced corpus callosum size (M &gt; F)</w:t>
            </w:r>
          </w:p>
        </w:tc>
        <w:tc>
          <w:tcPr>
            <w:tcW w:w="1447" w:type="pct"/>
          </w:tcPr>
          <w:p w14:paraId="4F08357D" w14:textId="77777777" w:rsidR="006B5E73" w:rsidRPr="00611D5F" w:rsidRDefault="006B5E73" w:rsidP="008763B9">
            <w:pPr>
              <w:rPr>
                <w:rFonts w:cs="Times New Roman"/>
                <w:szCs w:val="24"/>
              </w:rPr>
            </w:pPr>
            <w:r w:rsidRPr="00611D5F">
              <w:rPr>
                <w:rFonts w:cs="Times New Roman"/>
                <w:noProof/>
                <w:szCs w:val="24"/>
              </w:rPr>
              <w:t>Teicher and Samson, 2016</w:t>
            </w:r>
          </w:p>
        </w:tc>
        <w:tc>
          <w:tcPr>
            <w:tcW w:w="1633" w:type="pct"/>
          </w:tcPr>
          <w:p w14:paraId="08F8D56E" w14:textId="77777777" w:rsidR="006B5E73" w:rsidRPr="00611D5F" w:rsidRDefault="006B5E73" w:rsidP="008763B9">
            <w:pPr>
              <w:rPr>
                <w:rFonts w:cs="Times New Roman"/>
                <w:szCs w:val="24"/>
              </w:rPr>
            </w:pPr>
            <w:r w:rsidRPr="00611D5F">
              <w:rPr>
                <w:rFonts w:cs="Times New Roman"/>
                <w:noProof/>
                <w:szCs w:val="24"/>
              </w:rPr>
              <w:t>Berrebi et al., 1988; Bordner et al., 2011; Carlyle et al., 2012; Duque et al., 2012</w:t>
            </w:r>
          </w:p>
        </w:tc>
      </w:tr>
      <w:tr w:rsidR="006B5E73" w:rsidRPr="007F7FA9" w14:paraId="2C2F4E28" w14:textId="77777777" w:rsidTr="008763B9">
        <w:tc>
          <w:tcPr>
            <w:tcW w:w="1920" w:type="pct"/>
          </w:tcPr>
          <w:p w14:paraId="741B7853" w14:textId="77777777" w:rsidR="006B5E73" w:rsidRPr="00611D5F" w:rsidRDefault="006B5E73" w:rsidP="008763B9">
            <w:pPr>
              <w:pStyle w:val="ListParagraph"/>
              <w:numPr>
                <w:ilvl w:val="0"/>
                <w:numId w:val="27"/>
              </w:numPr>
              <w:spacing w:before="0" w:after="0"/>
            </w:pPr>
            <w:r w:rsidRPr="00611D5F">
              <w:t>Increased amygdala activation in response to threat</w:t>
            </w:r>
          </w:p>
        </w:tc>
        <w:tc>
          <w:tcPr>
            <w:tcW w:w="1447" w:type="pct"/>
          </w:tcPr>
          <w:p w14:paraId="5CE3F89E" w14:textId="77777777" w:rsidR="006B5E73" w:rsidRPr="00611D5F" w:rsidRDefault="006B5E73" w:rsidP="008763B9">
            <w:pPr>
              <w:rPr>
                <w:rFonts w:cs="Times New Roman"/>
                <w:szCs w:val="24"/>
              </w:rPr>
            </w:pPr>
            <w:r w:rsidRPr="00611D5F">
              <w:rPr>
                <w:rFonts w:cs="Times New Roman"/>
                <w:noProof/>
                <w:szCs w:val="24"/>
              </w:rPr>
              <w:t>De Bellis and Hooper, 2012; Garrett et al., 2012; Gee et al., 2013; Grant et al., 2011; Maheu et al., 2010; Malter Cohen et al., 2013; Marusak et al., 2015; McCrory et al., 2013; McLaughlin et al., 2015; Suzuki et al., 2014; Tottenham et al., 2011</w:t>
            </w:r>
          </w:p>
        </w:tc>
        <w:tc>
          <w:tcPr>
            <w:tcW w:w="1633" w:type="pct"/>
          </w:tcPr>
          <w:p w14:paraId="30C5B7F7" w14:textId="77777777" w:rsidR="006B5E73" w:rsidRPr="00611D5F" w:rsidRDefault="006B5E73" w:rsidP="008763B9">
            <w:pPr>
              <w:rPr>
                <w:rFonts w:cs="Times New Roman"/>
                <w:szCs w:val="24"/>
              </w:rPr>
            </w:pPr>
            <w:proofErr w:type="spellStart"/>
            <w:r w:rsidRPr="00611D5F">
              <w:rPr>
                <w:rFonts w:cs="Times New Roman"/>
                <w:szCs w:val="24"/>
              </w:rPr>
              <w:t>Raineki</w:t>
            </w:r>
            <w:proofErr w:type="spellEnd"/>
            <w:r w:rsidRPr="00611D5F">
              <w:rPr>
                <w:rFonts w:cs="Times New Roman"/>
                <w:szCs w:val="24"/>
              </w:rPr>
              <w:t xml:space="preserve"> 2012; </w:t>
            </w:r>
            <w:proofErr w:type="spellStart"/>
            <w:r w:rsidRPr="00611D5F">
              <w:rPr>
                <w:rFonts w:cs="Times New Roman"/>
                <w:szCs w:val="24"/>
              </w:rPr>
              <w:t>Malter</w:t>
            </w:r>
            <w:proofErr w:type="spellEnd"/>
            <w:r w:rsidRPr="00611D5F">
              <w:rPr>
                <w:rFonts w:cs="Times New Roman"/>
                <w:szCs w:val="24"/>
              </w:rPr>
              <w:t xml:space="preserve"> </w:t>
            </w:r>
            <w:proofErr w:type="spellStart"/>
            <w:r w:rsidRPr="00611D5F">
              <w:rPr>
                <w:rFonts w:cs="Times New Roman"/>
                <w:szCs w:val="24"/>
              </w:rPr>
              <w:t>cohen</w:t>
            </w:r>
            <w:proofErr w:type="spellEnd"/>
            <w:r w:rsidRPr="00611D5F">
              <w:rPr>
                <w:rFonts w:cs="Times New Roman"/>
                <w:szCs w:val="24"/>
              </w:rPr>
              <w:t xml:space="preserve"> 2013</w:t>
            </w:r>
          </w:p>
        </w:tc>
      </w:tr>
      <w:tr w:rsidR="006B5E73" w:rsidRPr="007F7FA9" w14:paraId="31896B9B" w14:textId="77777777" w:rsidTr="008763B9">
        <w:tc>
          <w:tcPr>
            <w:tcW w:w="1920" w:type="pct"/>
          </w:tcPr>
          <w:p w14:paraId="2DD61CB0" w14:textId="77777777" w:rsidR="006B5E73" w:rsidRPr="00611D5F" w:rsidRDefault="006B5E73" w:rsidP="008763B9">
            <w:pPr>
              <w:pStyle w:val="ListParagraph"/>
              <w:numPr>
                <w:ilvl w:val="0"/>
                <w:numId w:val="27"/>
              </w:numPr>
              <w:spacing w:before="0" w:after="0"/>
            </w:pPr>
            <w:r w:rsidRPr="00611D5F">
              <w:lastRenderedPageBreak/>
              <w:t>Abnormal amygdala connectivity with the PFC and the hippocampus</w:t>
            </w:r>
          </w:p>
        </w:tc>
        <w:tc>
          <w:tcPr>
            <w:tcW w:w="1447" w:type="pct"/>
          </w:tcPr>
          <w:p w14:paraId="0A1762B5" w14:textId="77777777" w:rsidR="006B5E73" w:rsidRPr="00611D5F" w:rsidRDefault="006B5E73" w:rsidP="008763B9">
            <w:pPr>
              <w:rPr>
                <w:rFonts w:cs="Times New Roman"/>
                <w:szCs w:val="24"/>
              </w:rPr>
            </w:pPr>
            <w:r w:rsidRPr="00611D5F">
              <w:rPr>
                <w:rFonts w:cs="Times New Roman"/>
                <w:noProof/>
                <w:szCs w:val="24"/>
              </w:rPr>
              <w:t xml:space="preserve">Birn et al., 2014; Herringa et al., </w:t>
            </w:r>
            <w:bookmarkStart w:id="0" w:name="_GoBack"/>
            <w:bookmarkEnd w:id="0"/>
            <w:r w:rsidRPr="00611D5F">
              <w:rPr>
                <w:rFonts w:cs="Times New Roman"/>
                <w:noProof/>
                <w:szCs w:val="24"/>
              </w:rPr>
              <w:t>2013; Wang et al., 2014;Cisler et al., 2013; Dean et al., 2014; Nicholson et al., 2015; Philip et al., 2013</w:t>
            </w:r>
          </w:p>
        </w:tc>
        <w:tc>
          <w:tcPr>
            <w:tcW w:w="1633" w:type="pct"/>
          </w:tcPr>
          <w:p w14:paraId="3E327A45" w14:textId="77777777" w:rsidR="006B5E73" w:rsidRPr="00611D5F" w:rsidRDefault="006B5E73" w:rsidP="008763B9">
            <w:pPr>
              <w:rPr>
                <w:rFonts w:cs="Times New Roman"/>
                <w:szCs w:val="24"/>
              </w:rPr>
            </w:pPr>
            <w:r w:rsidRPr="00611D5F">
              <w:rPr>
                <w:rFonts w:cs="Times New Roman"/>
                <w:noProof/>
                <w:szCs w:val="24"/>
              </w:rPr>
              <w:t>Bolton et al., 2018; Guadagno et al., 2018; Johnson et al., 2018; Yan et al., 2017</w:t>
            </w:r>
          </w:p>
        </w:tc>
      </w:tr>
      <w:tr w:rsidR="006B5E73" w:rsidRPr="007F7FA9" w14:paraId="68E3A229" w14:textId="77777777" w:rsidTr="008763B9">
        <w:tc>
          <w:tcPr>
            <w:tcW w:w="1920" w:type="pct"/>
          </w:tcPr>
          <w:p w14:paraId="7FF1D82B" w14:textId="3F6EE86F" w:rsidR="006B5E73" w:rsidRPr="00611D5F" w:rsidRDefault="006B5E73" w:rsidP="008763B9">
            <w:pPr>
              <w:pStyle w:val="ListParagraph"/>
              <w:numPr>
                <w:ilvl w:val="0"/>
                <w:numId w:val="27"/>
              </w:numPr>
              <w:spacing w:before="0" w:after="0"/>
            </w:pPr>
            <w:r w:rsidRPr="00611D5F">
              <w:t>Elevated markers of</w:t>
            </w:r>
            <w:r w:rsidR="00C5223A">
              <w:t xml:space="preserve"> peripheral immune activation (</w:t>
            </w:r>
            <w:r w:rsidRPr="00611D5F">
              <w:t>M = F)</w:t>
            </w:r>
          </w:p>
        </w:tc>
        <w:tc>
          <w:tcPr>
            <w:tcW w:w="1447" w:type="pct"/>
          </w:tcPr>
          <w:p w14:paraId="7BFEF908" w14:textId="77777777" w:rsidR="006B5E73" w:rsidRPr="00611D5F" w:rsidRDefault="006B5E73" w:rsidP="008763B9">
            <w:pPr>
              <w:rPr>
                <w:rFonts w:cs="Times New Roman"/>
                <w:szCs w:val="24"/>
              </w:rPr>
            </w:pPr>
            <w:r w:rsidRPr="00611D5F">
              <w:rPr>
                <w:rFonts w:cs="Times New Roman"/>
                <w:noProof/>
                <w:szCs w:val="24"/>
              </w:rPr>
              <w:t>Baumeister et al., 2016; Coelho et al., 2014</w:t>
            </w:r>
          </w:p>
        </w:tc>
        <w:tc>
          <w:tcPr>
            <w:tcW w:w="1633" w:type="pct"/>
          </w:tcPr>
          <w:p w14:paraId="7FA49B38" w14:textId="77777777" w:rsidR="006B5E73" w:rsidRPr="00611D5F" w:rsidRDefault="006B5E73" w:rsidP="008763B9">
            <w:pPr>
              <w:rPr>
                <w:rFonts w:cs="Times New Roman"/>
                <w:szCs w:val="24"/>
              </w:rPr>
            </w:pPr>
            <w:r w:rsidRPr="00611D5F">
              <w:rPr>
                <w:rFonts w:cs="Times New Roman"/>
                <w:noProof/>
                <w:szCs w:val="24"/>
              </w:rPr>
              <w:t>Delpech et al., 2016; Roque et al., 2015</w:t>
            </w:r>
          </w:p>
        </w:tc>
      </w:tr>
    </w:tbl>
    <w:p w14:paraId="7B43F841" w14:textId="7CD546A4" w:rsidR="006B5E73" w:rsidRDefault="006B5E73" w:rsidP="006B2D5B">
      <w:pPr>
        <w:rPr>
          <w:rFonts w:cs="Times New Roman"/>
          <w:szCs w:val="24"/>
        </w:rPr>
      </w:pPr>
    </w:p>
    <w:p w14:paraId="34490C05" w14:textId="77777777" w:rsidR="00140E16" w:rsidRDefault="00140E16" w:rsidP="006B2D5B">
      <w:pPr>
        <w:rPr>
          <w:rFonts w:cs="Times New Roman"/>
          <w:szCs w:val="24"/>
        </w:rPr>
      </w:pPr>
    </w:p>
    <w:p w14:paraId="5FD5844D" w14:textId="1C1FC781" w:rsidR="00140E16" w:rsidRDefault="00140E16" w:rsidP="006B2D5B">
      <w:pPr>
        <w:rPr>
          <w:rFonts w:cs="Times New Roman"/>
          <w:szCs w:val="24"/>
        </w:rPr>
      </w:pPr>
    </w:p>
    <w:p w14:paraId="0A3560C1" w14:textId="10144DF8" w:rsidR="00140E16" w:rsidRDefault="00140E16" w:rsidP="006B2D5B">
      <w:pPr>
        <w:rPr>
          <w:rFonts w:cs="Times New Roman"/>
          <w:szCs w:val="24"/>
        </w:rPr>
      </w:pPr>
    </w:p>
    <w:p w14:paraId="75FFEEB2" w14:textId="6B6CA9D4" w:rsidR="00140E16" w:rsidRDefault="00140E16" w:rsidP="006B2D5B">
      <w:pPr>
        <w:rPr>
          <w:rFonts w:cs="Times New Roman"/>
          <w:szCs w:val="24"/>
        </w:rPr>
      </w:pPr>
    </w:p>
    <w:p w14:paraId="42BC0A99" w14:textId="7C5150A6" w:rsidR="00140E16" w:rsidRDefault="00140E16" w:rsidP="006B2D5B">
      <w:pPr>
        <w:rPr>
          <w:rFonts w:cs="Times New Roman"/>
          <w:szCs w:val="24"/>
        </w:rPr>
      </w:pPr>
    </w:p>
    <w:p w14:paraId="568FE2F2" w14:textId="4CEB30E3" w:rsidR="00EF6700" w:rsidRDefault="00EF6700" w:rsidP="006B2D5B">
      <w:pPr>
        <w:rPr>
          <w:rFonts w:cs="Times New Roman"/>
          <w:szCs w:val="24"/>
        </w:rPr>
      </w:pPr>
    </w:p>
    <w:p w14:paraId="75BF429D" w14:textId="12CA9A44" w:rsidR="00EF6700" w:rsidRDefault="00EF6700" w:rsidP="006B2D5B">
      <w:pPr>
        <w:rPr>
          <w:rFonts w:cs="Times New Roman"/>
          <w:szCs w:val="24"/>
        </w:rPr>
      </w:pPr>
    </w:p>
    <w:p w14:paraId="018CEE63" w14:textId="7035578C" w:rsidR="00EF6700" w:rsidRDefault="00EF6700" w:rsidP="006B2D5B">
      <w:pPr>
        <w:rPr>
          <w:rFonts w:cs="Times New Roman"/>
          <w:szCs w:val="24"/>
        </w:rPr>
      </w:pPr>
    </w:p>
    <w:p w14:paraId="496C8B46" w14:textId="10E4DD98" w:rsidR="00EF6700" w:rsidRDefault="00EF6700" w:rsidP="006B2D5B">
      <w:pPr>
        <w:rPr>
          <w:rFonts w:cs="Times New Roman"/>
          <w:szCs w:val="24"/>
        </w:rPr>
      </w:pPr>
    </w:p>
    <w:p w14:paraId="3715D262" w14:textId="394109F0" w:rsidR="00EF6700" w:rsidRDefault="00EF6700" w:rsidP="006B2D5B">
      <w:pPr>
        <w:rPr>
          <w:rFonts w:cs="Times New Roman"/>
          <w:szCs w:val="24"/>
        </w:rPr>
      </w:pPr>
    </w:p>
    <w:p w14:paraId="0F2712E2" w14:textId="4170C070" w:rsidR="00EF6700" w:rsidRDefault="00EF6700" w:rsidP="006B2D5B">
      <w:pPr>
        <w:rPr>
          <w:rFonts w:cs="Times New Roman"/>
          <w:szCs w:val="24"/>
        </w:rPr>
      </w:pPr>
    </w:p>
    <w:p w14:paraId="3CCCB1FA" w14:textId="77777777" w:rsidR="00F239BB" w:rsidRDefault="00F239BB" w:rsidP="006B2D5B">
      <w:pPr>
        <w:rPr>
          <w:rFonts w:cs="Times New Roman"/>
          <w:szCs w:val="24"/>
        </w:rPr>
      </w:pPr>
    </w:p>
    <w:p w14:paraId="1B63103F" w14:textId="37546C54" w:rsidR="00140E16" w:rsidRPr="00140E16" w:rsidRDefault="00140E16" w:rsidP="006B2D5B">
      <w:pPr>
        <w:rPr>
          <w:rFonts w:cs="Times New Roman"/>
          <w:b/>
          <w:szCs w:val="24"/>
          <w:u w:val="single"/>
        </w:rPr>
      </w:pPr>
      <w:r w:rsidRPr="00140E16">
        <w:rPr>
          <w:rFonts w:cs="Times New Roman"/>
          <w:b/>
          <w:szCs w:val="24"/>
          <w:u w:val="single"/>
        </w:rPr>
        <w:lastRenderedPageBreak/>
        <w:t>REFERENCES</w:t>
      </w:r>
    </w:p>
    <w:p w14:paraId="5583B54A" w14:textId="77777777" w:rsidR="00140E16" w:rsidRPr="00140E16" w:rsidRDefault="00140E16" w:rsidP="00140E16">
      <w:pPr>
        <w:pStyle w:val="EndNoteBibliography"/>
        <w:spacing w:after="0"/>
        <w:ind w:left="720" w:hanging="720"/>
        <w:rPr>
          <w:noProof/>
        </w:rPr>
      </w:pPr>
      <w:r>
        <w:rPr>
          <w:szCs w:val="24"/>
        </w:rPr>
        <w:fldChar w:fldCharType="begin"/>
      </w:r>
      <w:r>
        <w:rPr>
          <w:szCs w:val="24"/>
        </w:rPr>
        <w:instrText xml:space="preserve"> ADDIN EN.REFLIST </w:instrText>
      </w:r>
      <w:r>
        <w:rPr>
          <w:szCs w:val="24"/>
        </w:rPr>
        <w:fldChar w:fldCharType="separate"/>
      </w:r>
      <w:r w:rsidRPr="00140E16">
        <w:rPr>
          <w:noProof/>
        </w:rPr>
        <w:t xml:space="preserve">Anda, R.F., Felitti, V.J., Bremner, J.D., Walker, J.D., Whitfield, C., Perry, B.D., Dube, S.R., and Giles, W.H. (2006). The enduring effects of abuse and related adverse experiences in childhood. A convergence of evidence from neurobiology and epidemiology. </w:t>
      </w:r>
      <w:r w:rsidRPr="00140E16">
        <w:rPr>
          <w:i/>
          <w:noProof/>
        </w:rPr>
        <w:t>Eur Arch Psychiatry Clin Neurosci</w:t>
      </w:r>
      <w:r w:rsidRPr="00140E16">
        <w:rPr>
          <w:noProof/>
        </w:rPr>
        <w:t xml:space="preserve"> 256</w:t>
      </w:r>
      <w:r w:rsidRPr="00140E16">
        <w:rPr>
          <w:b/>
          <w:noProof/>
        </w:rPr>
        <w:t>,</w:t>
      </w:r>
      <w:r w:rsidRPr="00140E16">
        <w:rPr>
          <w:noProof/>
        </w:rPr>
        <w:t xml:space="preserve"> 174-186.</w:t>
      </w:r>
    </w:p>
    <w:p w14:paraId="6E1D0583" w14:textId="77777777" w:rsidR="00140E16" w:rsidRPr="00140E16" w:rsidRDefault="00140E16" w:rsidP="00140E16">
      <w:pPr>
        <w:pStyle w:val="EndNoteBibliography"/>
        <w:spacing w:after="0"/>
        <w:ind w:left="720" w:hanging="720"/>
        <w:rPr>
          <w:noProof/>
        </w:rPr>
      </w:pPr>
      <w:r w:rsidRPr="00140E16">
        <w:rPr>
          <w:noProof/>
        </w:rPr>
        <w:t xml:space="preserve">Arnow, B.A., Blasey, C.M., Hunkeler, E.M., Lee, J., and Hayward, C. (2011). Does gender moderate the relationship between childhood maltreatment and adult depression? </w:t>
      </w:r>
      <w:r w:rsidRPr="00140E16">
        <w:rPr>
          <w:i/>
          <w:noProof/>
        </w:rPr>
        <w:t>Child Maltreat</w:t>
      </w:r>
      <w:r w:rsidRPr="00140E16">
        <w:rPr>
          <w:noProof/>
        </w:rPr>
        <w:t xml:space="preserve"> 16</w:t>
      </w:r>
      <w:r w:rsidRPr="00140E16">
        <w:rPr>
          <w:b/>
          <w:noProof/>
        </w:rPr>
        <w:t>,</w:t>
      </w:r>
      <w:r w:rsidRPr="00140E16">
        <w:rPr>
          <w:noProof/>
        </w:rPr>
        <w:t xml:space="preserve"> 175-183.</w:t>
      </w:r>
    </w:p>
    <w:p w14:paraId="436F2C00" w14:textId="77777777" w:rsidR="00140E16" w:rsidRPr="00140E16" w:rsidRDefault="00140E16" w:rsidP="00140E16">
      <w:pPr>
        <w:pStyle w:val="EndNoteBibliography"/>
        <w:spacing w:after="0"/>
        <w:ind w:left="720" w:hanging="720"/>
        <w:rPr>
          <w:noProof/>
        </w:rPr>
      </w:pPr>
      <w:r w:rsidRPr="00140E16">
        <w:rPr>
          <w:noProof/>
        </w:rPr>
        <w:t xml:space="preserve">Banyard, V.L., Williams, L.M., and Siegel, J.A. (2004). Childhood sexual abuse: a gender perspective on context and consequences. </w:t>
      </w:r>
      <w:r w:rsidRPr="00140E16">
        <w:rPr>
          <w:i/>
          <w:noProof/>
        </w:rPr>
        <w:t>Child Maltreat</w:t>
      </w:r>
      <w:r w:rsidRPr="00140E16">
        <w:rPr>
          <w:noProof/>
        </w:rPr>
        <w:t xml:space="preserve"> 9</w:t>
      </w:r>
      <w:r w:rsidRPr="00140E16">
        <w:rPr>
          <w:b/>
          <w:noProof/>
        </w:rPr>
        <w:t>,</w:t>
      </w:r>
      <w:r w:rsidRPr="00140E16">
        <w:rPr>
          <w:noProof/>
        </w:rPr>
        <w:t xml:space="preserve"> 223-238.</w:t>
      </w:r>
    </w:p>
    <w:p w14:paraId="728F9B07" w14:textId="77777777" w:rsidR="00140E16" w:rsidRPr="00140E16" w:rsidRDefault="00140E16" w:rsidP="00140E16">
      <w:pPr>
        <w:pStyle w:val="EndNoteBibliography"/>
        <w:spacing w:after="0"/>
        <w:ind w:left="720" w:hanging="720"/>
        <w:rPr>
          <w:noProof/>
        </w:rPr>
      </w:pPr>
      <w:r w:rsidRPr="00140E16">
        <w:rPr>
          <w:noProof/>
        </w:rPr>
        <w:t xml:space="preserve">Bath, K.G., Nitenson, A.S., Lichtman, E., Lopez, C., Chen, W., Gallo, M., Goodwill, H., and Manzano-Nieves, G. (2017). Early life stress leads to developmental and sex selective effects on performance in a novel object placement task. </w:t>
      </w:r>
      <w:r w:rsidRPr="00140E16">
        <w:rPr>
          <w:i/>
          <w:noProof/>
        </w:rPr>
        <w:t>Neurobiology of Stress</w:t>
      </w:r>
      <w:r w:rsidRPr="00140E16">
        <w:rPr>
          <w:noProof/>
        </w:rPr>
        <w:t xml:space="preserve"> 7</w:t>
      </w:r>
      <w:r w:rsidRPr="00140E16">
        <w:rPr>
          <w:b/>
          <w:noProof/>
        </w:rPr>
        <w:t>,</w:t>
      </w:r>
      <w:r w:rsidRPr="00140E16">
        <w:rPr>
          <w:noProof/>
        </w:rPr>
        <w:t xml:space="preserve"> 57-67.</w:t>
      </w:r>
    </w:p>
    <w:p w14:paraId="2A859641" w14:textId="77777777" w:rsidR="00140E16" w:rsidRPr="00140E16" w:rsidRDefault="00140E16" w:rsidP="00140E16">
      <w:pPr>
        <w:pStyle w:val="EndNoteBibliography"/>
        <w:spacing w:after="0"/>
        <w:ind w:left="720" w:hanging="720"/>
        <w:rPr>
          <w:noProof/>
        </w:rPr>
      </w:pPr>
      <w:r w:rsidRPr="00140E16">
        <w:rPr>
          <w:noProof/>
        </w:rPr>
        <w:t xml:space="preserve">Baumeister, D., Akhtar, R., Ciufolini, S., Pariante, C.M., and Mondelli, V. (2016). Childhood trauma and adulthood inflammation: a meta-analysis of peripheral C-reactive protein, interleukin-6 and tumour necrosis factor-alpha. </w:t>
      </w:r>
      <w:r w:rsidRPr="00140E16">
        <w:rPr>
          <w:i/>
          <w:noProof/>
        </w:rPr>
        <w:t>Mol Psychiatry</w:t>
      </w:r>
      <w:r w:rsidRPr="00140E16">
        <w:rPr>
          <w:noProof/>
        </w:rPr>
        <w:t xml:space="preserve"> 21</w:t>
      </w:r>
      <w:r w:rsidRPr="00140E16">
        <w:rPr>
          <w:b/>
          <w:noProof/>
        </w:rPr>
        <w:t>,</w:t>
      </w:r>
      <w:r w:rsidRPr="00140E16">
        <w:rPr>
          <w:noProof/>
        </w:rPr>
        <w:t xml:space="preserve"> 642-649.</w:t>
      </w:r>
    </w:p>
    <w:p w14:paraId="2EF6A04A" w14:textId="77777777" w:rsidR="00140E16" w:rsidRPr="00140E16" w:rsidRDefault="00140E16" w:rsidP="00140E16">
      <w:pPr>
        <w:pStyle w:val="EndNoteBibliography"/>
        <w:spacing w:after="0"/>
        <w:ind w:left="720" w:hanging="720"/>
        <w:rPr>
          <w:noProof/>
        </w:rPr>
      </w:pPr>
      <w:r w:rsidRPr="00140E16">
        <w:rPr>
          <w:noProof/>
        </w:rPr>
        <w:t xml:space="preserve">Berrebi, A.S., Fitch, R.H., Ralphe, D.L., Denenberg, J.O., Friedrich, V.L., Jr., and Denenberg, V.H. (1988). Corpus callosum: region-specific effects of sex, early experience and age. </w:t>
      </w:r>
      <w:r w:rsidRPr="00140E16">
        <w:rPr>
          <w:i/>
          <w:noProof/>
        </w:rPr>
        <w:t>Brain Res</w:t>
      </w:r>
      <w:r w:rsidRPr="00140E16">
        <w:rPr>
          <w:noProof/>
        </w:rPr>
        <w:t xml:space="preserve"> 438</w:t>
      </w:r>
      <w:r w:rsidRPr="00140E16">
        <w:rPr>
          <w:b/>
          <w:noProof/>
        </w:rPr>
        <w:t>,</w:t>
      </w:r>
      <w:r w:rsidRPr="00140E16">
        <w:rPr>
          <w:noProof/>
        </w:rPr>
        <w:t xml:space="preserve"> 216-224.</w:t>
      </w:r>
    </w:p>
    <w:p w14:paraId="5865AAC9" w14:textId="77777777" w:rsidR="00140E16" w:rsidRPr="00140E16" w:rsidRDefault="00140E16" w:rsidP="00140E16">
      <w:pPr>
        <w:pStyle w:val="EndNoteBibliography"/>
        <w:spacing w:after="0"/>
        <w:ind w:left="720" w:hanging="720"/>
        <w:rPr>
          <w:noProof/>
        </w:rPr>
      </w:pPr>
      <w:r w:rsidRPr="00140E16">
        <w:rPr>
          <w:noProof/>
        </w:rPr>
        <w:t xml:space="preserve">Birn, R.M., Patriat, R., Phillips, M.L., Germain, A., and Herringa, R.J. (2014). Childhood maltreatment and combat posttraumatic stress differentially predict fear-related fronto-subcortical connectivity. </w:t>
      </w:r>
      <w:r w:rsidRPr="00140E16">
        <w:rPr>
          <w:i/>
          <w:noProof/>
        </w:rPr>
        <w:t>Depress Anxiety</w:t>
      </w:r>
      <w:r w:rsidRPr="00140E16">
        <w:rPr>
          <w:noProof/>
        </w:rPr>
        <w:t xml:space="preserve"> 31</w:t>
      </w:r>
      <w:r w:rsidRPr="00140E16">
        <w:rPr>
          <w:b/>
          <w:noProof/>
        </w:rPr>
        <w:t>,</w:t>
      </w:r>
      <w:r w:rsidRPr="00140E16">
        <w:rPr>
          <w:noProof/>
        </w:rPr>
        <w:t xml:space="preserve"> 880-892.</w:t>
      </w:r>
    </w:p>
    <w:p w14:paraId="75EFB8EB" w14:textId="77777777" w:rsidR="00140E16" w:rsidRPr="00140E16" w:rsidRDefault="00140E16" w:rsidP="00140E16">
      <w:pPr>
        <w:pStyle w:val="EndNoteBibliography"/>
        <w:spacing w:after="0"/>
        <w:ind w:left="720" w:hanging="720"/>
        <w:rPr>
          <w:noProof/>
        </w:rPr>
      </w:pPr>
      <w:r w:rsidRPr="00140E16">
        <w:rPr>
          <w:noProof/>
        </w:rPr>
        <w:t xml:space="preserve">Bolton, J.L., Molet, J., Regev, L., Chen, Y., Rismanchi, N., Haddad, E., Yang, D.Z., Obenaus, A., and Baram, T.Z. (2018). Anhedonia Following Early-Life Adversity Involves Aberrant Interaction of Reward and Anxiety Circuits and Is Reversed by Partial Silencing of Amygdala Corticotropin-Releasing Hormone Gene. </w:t>
      </w:r>
      <w:r w:rsidRPr="00140E16">
        <w:rPr>
          <w:i/>
          <w:noProof/>
        </w:rPr>
        <w:t>Biol Psychiatry</w:t>
      </w:r>
      <w:r w:rsidRPr="00140E16">
        <w:rPr>
          <w:noProof/>
        </w:rPr>
        <w:t xml:space="preserve"> 83</w:t>
      </w:r>
      <w:r w:rsidRPr="00140E16">
        <w:rPr>
          <w:b/>
          <w:noProof/>
        </w:rPr>
        <w:t>,</w:t>
      </w:r>
      <w:r w:rsidRPr="00140E16">
        <w:rPr>
          <w:noProof/>
        </w:rPr>
        <w:t xml:space="preserve"> 137-147.</w:t>
      </w:r>
    </w:p>
    <w:p w14:paraId="32580607" w14:textId="77777777" w:rsidR="00140E16" w:rsidRPr="00140E16" w:rsidRDefault="00140E16" w:rsidP="00140E16">
      <w:pPr>
        <w:pStyle w:val="EndNoteBibliography"/>
        <w:spacing w:after="0"/>
        <w:ind w:left="720" w:hanging="720"/>
        <w:rPr>
          <w:noProof/>
        </w:rPr>
      </w:pPr>
      <w:r w:rsidRPr="00140E16">
        <w:rPr>
          <w:noProof/>
        </w:rPr>
        <w:t xml:space="preserve">Bordner, K.A., George, E.D., Carlyle, B.C., Duque, A., Kitchen, R.R., Lam, T.T., Colangelo, C.M., Stone, K.L., Abbott, T.B., Mane, S.M., Nairn, A.C., and Simen, A.A. (2011). Functional genomic and proteomic analysis reveals disruption of myelin-related genes and translation in a mouse model of early life neglect. </w:t>
      </w:r>
      <w:r w:rsidRPr="00140E16">
        <w:rPr>
          <w:i/>
          <w:noProof/>
        </w:rPr>
        <w:t>Front Psychiatry</w:t>
      </w:r>
      <w:r w:rsidRPr="00140E16">
        <w:rPr>
          <w:noProof/>
        </w:rPr>
        <w:t xml:space="preserve"> 2</w:t>
      </w:r>
      <w:r w:rsidRPr="00140E16">
        <w:rPr>
          <w:b/>
          <w:noProof/>
        </w:rPr>
        <w:t>,</w:t>
      </w:r>
      <w:r w:rsidRPr="00140E16">
        <w:rPr>
          <w:noProof/>
        </w:rPr>
        <w:t xml:space="preserve"> 18.</w:t>
      </w:r>
    </w:p>
    <w:p w14:paraId="52AC3CDF" w14:textId="77777777" w:rsidR="00140E16" w:rsidRPr="00140E16" w:rsidRDefault="00140E16" w:rsidP="00140E16">
      <w:pPr>
        <w:pStyle w:val="EndNoteBibliography"/>
        <w:spacing w:after="0"/>
        <w:ind w:left="720" w:hanging="720"/>
        <w:rPr>
          <w:noProof/>
        </w:rPr>
      </w:pPr>
      <w:r w:rsidRPr="00140E16">
        <w:rPr>
          <w:noProof/>
        </w:rPr>
        <w:t xml:space="preserve">Carlyle, B.C., Duque, A., Kitchen, R.R., Bordner, K.A., Coman, D., Doolittle, E., Papademetris, X., Hyder, F., Taylor, J.R., and Simen, A.A. (2012). Maternal separation with early weaning: a rodent model providing novel insights into neglect associated developmental deficits. </w:t>
      </w:r>
      <w:r w:rsidRPr="00140E16">
        <w:rPr>
          <w:i/>
          <w:noProof/>
        </w:rPr>
        <w:t>Dev Psychopathol</w:t>
      </w:r>
      <w:r w:rsidRPr="00140E16">
        <w:rPr>
          <w:noProof/>
        </w:rPr>
        <w:t xml:space="preserve"> 24</w:t>
      </w:r>
      <w:r w:rsidRPr="00140E16">
        <w:rPr>
          <w:b/>
          <w:noProof/>
        </w:rPr>
        <w:t>,</w:t>
      </w:r>
      <w:r w:rsidRPr="00140E16">
        <w:rPr>
          <w:noProof/>
        </w:rPr>
        <w:t xml:space="preserve"> 1401-1416.</w:t>
      </w:r>
    </w:p>
    <w:p w14:paraId="31BA68EA" w14:textId="77777777" w:rsidR="00140E16" w:rsidRPr="00140E16" w:rsidRDefault="00140E16" w:rsidP="00140E16">
      <w:pPr>
        <w:pStyle w:val="EndNoteBibliography"/>
        <w:spacing w:after="0"/>
        <w:ind w:left="720" w:hanging="720"/>
        <w:rPr>
          <w:noProof/>
        </w:rPr>
      </w:pPr>
      <w:r w:rsidRPr="00140E16">
        <w:rPr>
          <w:noProof/>
        </w:rPr>
        <w:t xml:space="preserve">Chen, L., and Jackson, T. (2016). Early maternal separation and responsiveness to thermal nociception in rodent offspring: A meta-analytic review. </w:t>
      </w:r>
      <w:r w:rsidRPr="00140E16">
        <w:rPr>
          <w:i/>
          <w:noProof/>
        </w:rPr>
        <w:t>Behav Brain Res</w:t>
      </w:r>
      <w:r w:rsidRPr="00140E16">
        <w:rPr>
          <w:noProof/>
        </w:rPr>
        <w:t xml:space="preserve"> 299</w:t>
      </w:r>
      <w:r w:rsidRPr="00140E16">
        <w:rPr>
          <w:b/>
          <w:noProof/>
        </w:rPr>
        <w:t>,</w:t>
      </w:r>
      <w:r w:rsidRPr="00140E16">
        <w:rPr>
          <w:noProof/>
        </w:rPr>
        <w:t xml:space="preserve"> 42-50.</w:t>
      </w:r>
    </w:p>
    <w:p w14:paraId="768C4ED0" w14:textId="77777777" w:rsidR="00140E16" w:rsidRPr="00140E16" w:rsidRDefault="00140E16" w:rsidP="00140E16">
      <w:pPr>
        <w:pStyle w:val="EndNoteBibliography"/>
        <w:spacing w:after="0"/>
        <w:ind w:left="720" w:hanging="720"/>
        <w:rPr>
          <w:noProof/>
        </w:rPr>
      </w:pPr>
      <w:r w:rsidRPr="00140E16">
        <w:rPr>
          <w:noProof/>
        </w:rPr>
        <w:lastRenderedPageBreak/>
        <w:t xml:space="preserve">Chen, L.P., Murad, M.H., Paras, M.L., Colbenson, K.M., Sattler, A.L., Goranson, E.N., Elamin, M.B., Seime, R.J., Shinozaki, G., Prokop, L.J., and Zirakzadeh, A. (2010). Sexual abuse and lifetime diagnosis of psychiatric disorders: systematic review and meta-analysis. </w:t>
      </w:r>
      <w:r w:rsidRPr="00140E16">
        <w:rPr>
          <w:i/>
          <w:noProof/>
        </w:rPr>
        <w:t>Mayo Clin Proc</w:t>
      </w:r>
      <w:r w:rsidRPr="00140E16">
        <w:rPr>
          <w:noProof/>
        </w:rPr>
        <w:t xml:space="preserve"> 85</w:t>
      </w:r>
      <w:r w:rsidRPr="00140E16">
        <w:rPr>
          <w:b/>
          <w:noProof/>
        </w:rPr>
        <w:t>,</w:t>
      </w:r>
      <w:r w:rsidRPr="00140E16">
        <w:rPr>
          <w:noProof/>
        </w:rPr>
        <w:t xml:space="preserve"> 618-629.</w:t>
      </w:r>
    </w:p>
    <w:p w14:paraId="10A3B945" w14:textId="77777777" w:rsidR="00140E16" w:rsidRPr="00140E16" w:rsidRDefault="00140E16" w:rsidP="00140E16">
      <w:pPr>
        <w:pStyle w:val="EndNoteBibliography"/>
        <w:spacing w:after="0"/>
        <w:ind w:left="720" w:hanging="720"/>
        <w:rPr>
          <w:noProof/>
        </w:rPr>
      </w:pPr>
      <w:r w:rsidRPr="00140E16">
        <w:rPr>
          <w:noProof/>
        </w:rPr>
        <w:t xml:space="preserve">Cisler, J.M., James, G.A., Tripathi, S., Mletzko, T., Heim, C., Hu, X.P., Mayberg, H.S., Nemeroff, C.B., and Kilts, C.D. (2013). Differential functional connectivity within an emotion regulation neural network among individuals resilient and susceptible to the depressogenic effects of early life stress. </w:t>
      </w:r>
      <w:r w:rsidRPr="00140E16">
        <w:rPr>
          <w:i/>
          <w:noProof/>
        </w:rPr>
        <w:t>Psychological Medicine</w:t>
      </w:r>
      <w:r w:rsidRPr="00140E16">
        <w:rPr>
          <w:noProof/>
        </w:rPr>
        <w:t xml:space="preserve"> 43</w:t>
      </w:r>
      <w:r w:rsidRPr="00140E16">
        <w:rPr>
          <w:b/>
          <w:noProof/>
        </w:rPr>
        <w:t>,</w:t>
      </w:r>
      <w:r w:rsidRPr="00140E16">
        <w:rPr>
          <w:noProof/>
        </w:rPr>
        <w:t xml:space="preserve"> 507-518.</w:t>
      </w:r>
    </w:p>
    <w:p w14:paraId="0A14C6B6" w14:textId="77777777" w:rsidR="00140E16" w:rsidRPr="00140E16" w:rsidRDefault="00140E16" w:rsidP="00140E16">
      <w:pPr>
        <w:pStyle w:val="EndNoteBibliography"/>
        <w:spacing w:after="0"/>
        <w:ind w:left="720" w:hanging="720"/>
        <w:rPr>
          <w:noProof/>
        </w:rPr>
      </w:pPr>
      <w:r w:rsidRPr="00140E16">
        <w:rPr>
          <w:noProof/>
        </w:rPr>
        <w:t xml:space="preserve">Coelho, R., Viola, T.W., Walss-Bass, C., Brietzke, E., and Grassi-Oliveira, R. (2014). Childhood maltreatment and inflammatory markers: a systematic review. </w:t>
      </w:r>
      <w:r w:rsidRPr="00140E16">
        <w:rPr>
          <w:i/>
          <w:noProof/>
        </w:rPr>
        <w:t>Acta Psychiatr Scand</w:t>
      </w:r>
      <w:r w:rsidRPr="00140E16">
        <w:rPr>
          <w:noProof/>
        </w:rPr>
        <w:t xml:space="preserve"> 129</w:t>
      </w:r>
      <w:r w:rsidRPr="00140E16">
        <w:rPr>
          <w:b/>
          <w:noProof/>
        </w:rPr>
        <w:t>,</w:t>
      </w:r>
      <w:r w:rsidRPr="00140E16">
        <w:rPr>
          <w:noProof/>
        </w:rPr>
        <w:t xml:space="preserve"> 180-192.</w:t>
      </w:r>
    </w:p>
    <w:p w14:paraId="6047F8F8" w14:textId="77777777" w:rsidR="00140E16" w:rsidRPr="00140E16" w:rsidRDefault="00140E16" w:rsidP="00140E16">
      <w:pPr>
        <w:pStyle w:val="EndNoteBibliography"/>
        <w:spacing w:after="0"/>
        <w:ind w:left="720" w:hanging="720"/>
        <w:rPr>
          <w:noProof/>
        </w:rPr>
      </w:pPr>
      <w:r w:rsidRPr="00140E16">
        <w:rPr>
          <w:noProof/>
        </w:rPr>
        <w:t xml:space="preserve">Coohey, C. (2010). Gender differences in internalizing problems among sexually abused early adolescents. </w:t>
      </w:r>
      <w:r w:rsidRPr="00140E16">
        <w:rPr>
          <w:i/>
          <w:noProof/>
        </w:rPr>
        <w:t>Child Abuse Negl</w:t>
      </w:r>
      <w:r w:rsidRPr="00140E16">
        <w:rPr>
          <w:noProof/>
        </w:rPr>
        <w:t xml:space="preserve"> 34</w:t>
      </w:r>
      <w:r w:rsidRPr="00140E16">
        <w:rPr>
          <w:b/>
          <w:noProof/>
        </w:rPr>
        <w:t>,</w:t>
      </w:r>
      <w:r w:rsidRPr="00140E16">
        <w:rPr>
          <w:noProof/>
        </w:rPr>
        <w:t xml:space="preserve"> 856-862.</w:t>
      </w:r>
    </w:p>
    <w:p w14:paraId="129D68A6" w14:textId="77777777" w:rsidR="00140E16" w:rsidRPr="00140E16" w:rsidRDefault="00140E16" w:rsidP="00140E16">
      <w:pPr>
        <w:pStyle w:val="EndNoteBibliography"/>
        <w:spacing w:after="0"/>
        <w:ind w:left="720" w:hanging="720"/>
        <w:rPr>
          <w:noProof/>
        </w:rPr>
      </w:pPr>
      <w:r w:rsidRPr="00140E16">
        <w:rPr>
          <w:noProof/>
        </w:rPr>
        <w:t xml:space="preserve">De Bellis, M.D., and Hooper, S.R. (2012). Neural substrates for processing task-irrelevant emotional distracters in maltreated adolescents with depressive disorders: a pilot study. </w:t>
      </w:r>
      <w:r w:rsidRPr="00140E16">
        <w:rPr>
          <w:i/>
          <w:noProof/>
        </w:rPr>
        <w:t>J Trauma Stress</w:t>
      </w:r>
      <w:r w:rsidRPr="00140E16">
        <w:rPr>
          <w:noProof/>
        </w:rPr>
        <w:t xml:space="preserve"> 25</w:t>
      </w:r>
      <w:r w:rsidRPr="00140E16">
        <w:rPr>
          <w:b/>
          <w:noProof/>
        </w:rPr>
        <w:t>,</w:t>
      </w:r>
      <w:r w:rsidRPr="00140E16">
        <w:rPr>
          <w:noProof/>
        </w:rPr>
        <w:t xml:space="preserve"> 198-202.</w:t>
      </w:r>
    </w:p>
    <w:p w14:paraId="7762FA68" w14:textId="77777777" w:rsidR="00140E16" w:rsidRPr="00140E16" w:rsidRDefault="00140E16" w:rsidP="00140E16">
      <w:pPr>
        <w:pStyle w:val="EndNoteBibliography"/>
        <w:spacing w:after="0"/>
        <w:ind w:left="720" w:hanging="720"/>
        <w:rPr>
          <w:noProof/>
        </w:rPr>
      </w:pPr>
      <w:r w:rsidRPr="00140E16">
        <w:rPr>
          <w:noProof/>
        </w:rPr>
        <w:t xml:space="preserve">Dean, A.C., Kohno, M., Hellemann, G., and London, E.D. (2014). Childhood maltreatment and amygdala connectivity in methamphetamine dependence: a pilot study. </w:t>
      </w:r>
      <w:r w:rsidRPr="00140E16">
        <w:rPr>
          <w:i/>
          <w:noProof/>
        </w:rPr>
        <w:t>Brain and Behavior</w:t>
      </w:r>
      <w:r w:rsidRPr="00140E16">
        <w:rPr>
          <w:noProof/>
        </w:rPr>
        <w:t xml:space="preserve"> 4</w:t>
      </w:r>
      <w:r w:rsidRPr="00140E16">
        <w:rPr>
          <w:b/>
          <w:noProof/>
        </w:rPr>
        <w:t>,</w:t>
      </w:r>
      <w:r w:rsidRPr="00140E16">
        <w:rPr>
          <w:noProof/>
        </w:rPr>
        <w:t xml:space="preserve"> 867-876.</w:t>
      </w:r>
    </w:p>
    <w:p w14:paraId="241E2DF1" w14:textId="77777777" w:rsidR="00140E16" w:rsidRPr="00140E16" w:rsidRDefault="00140E16" w:rsidP="00140E16">
      <w:pPr>
        <w:pStyle w:val="EndNoteBibliography"/>
        <w:spacing w:after="0"/>
        <w:ind w:left="720" w:hanging="720"/>
        <w:rPr>
          <w:noProof/>
        </w:rPr>
      </w:pPr>
      <w:r w:rsidRPr="00140E16">
        <w:rPr>
          <w:noProof/>
        </w:rPr>
        <w:t xml:space="preserve">Delpech, J.C., Wei, L., Hao, J., Yu, X., Madore, C., Butovsky, O., and Kaffman, A. (2016). Early life stress perturbs the maturation of microglia in the developing hippocampus. </w:t>
      </w:r>
      <w:r w:rsidRPr="00140E16">
        <w:rPr>
          <w:i/>
          <w:noProof/>
        </w:rPr>
        <w:t>Brain Behav Immun</w:t>
      </w:r>
      <w:r w:rsidRPr="00140E16">
        <w:rPr>
          <w:noProof/>
        </w:rPr>
        <w:t>.</w:t>
      </w:r>
    </w:p>
    <w:p w14:paraId="752C6D00" w14:textId="77777777" w:rsidR="00140E16" w:rsidRPr="00140E16" w:rsidRDefault="00140E16" w:rsidP="00140E16">
      <w:pPr>
        <w:pStyle w:val="EndNoteBibliography"/>
        <w:spacing w:after="0"/>
        <w:ind w:left="720" w:hanging="720"/>
        <w:rPr>
          <w:noProof/>
        </w:rPr>
      </w:pPr>
      <w:r w:rsidRPr="00140E16">
        <w:rPr>
          <w:noProof/>
        </w:rPr>
        <w:t xml:space="preserve">Duque, A., Coman, D., Carlyle, B.C., Bordner, K.A., George, E.D., Papademetris, X., Hyder, F., and Simen, A.A. (2012). Neuroanatomical changes in a mouse model of early life neglect. </w:t>
      </w:r>
      <w:r w:rsidRPr="00140E16">
        <w:rPr>
          <w:i/>
          <w:noProof/>
        </w:rPr>
        <w:t>Brain Struct Funct</w:t>
      </w:r>
      <w:r w:rsidRPr="00140E16">
        <w:rPr>
          <w:noProof/>
        </w:rPr>
        <w:t xml:space="preserve"> 217</w:t>
      </w:r>
      <w:r w:rsidRPr="00140E16">
        <w:rPr>
          <w:b/>
          <w:noProof/>
        </w:rPr>
        <w:t>,</w:t>
      </w:r>
      <w:r w:rsidRPr="00140E16">
        <w:rPr>
          <w:noProof/>
        </w:rPr>
        <w:t xml:space="preserve"> 459-472.</w:t>
      </w:r>
    </w:p>
    <w:p w14:paraId="33747568" w14:textId="77777777" w:rsidR="00140E16" w:rsidRPr="00140E16" w:rsidRDefault="00140E16" w:rsidP="00140E16">
      <w:pPr>
        <w:pStyle w:val="EndNoteBibliography"/>
        <w:spacing w:after="0"/>
        <w:ind w:left="720" w:hanging="720"/>
        <w:rPr>
          <w:noProof/>
        </w:rPr>
      </w:pPr>
      <w:r w:rsidRPr="00140E16">
        <w:rPr>
          <w:noProof/>
        </w:rPr>
        <w:t xml:space="preserve">Fergusson, D.M., Horwood, L.J., and Lynskey, M.T. (1996). Childhood sexual abuse and psychiatric disorder in young adulthood: II. Psychiatric outcomes of childhood sexual abuse. </w:t>
      </w:r>
      <w:r w:rsidRPr="00140E16">
        <w:rPr>
          <w:i/>
          <w:noProof/>
        </w:rPr>
        <w:t>J Am Acad Child Adolesc Psychiatry</w:t>
      </w:r>
      <w:r w:rsidRPr="00140E16">
        <w:rPr>
          <w:noProof/>
        </w:rPr>
        <w:t xml:space="preserve"> 35</w:t>
      </w:r>
      <w:r w:rsidRPr="00140E16">
        <w:rPr>
          <w:b/>
          <w:noProof/>
        </w:rPr>
        <w:t>,</w:t>
      </w:r>
      <w:r w:rsidRPr="00140E16">
        <w:rPr>
          <w:noProof/>
        </w:rPr>
        <w:t xml:space="preserve"> 1365-1374.</w:t>
      </w:r>
    </w:p>
    <w:p w14:paraId="3CC51DE6" w14:textId="77777777" w:rsidR="00140E16" w:rsidRPr="00140E16" w:rsidRDefault="00140E16" w:rsidP="00140E16">
      <w:pPr>
        <w:pStyle w:val="EndNoteBibliography"/>
        <w:spacing w:after="0"/>
        <w:ind w:left="720" w:hanging="720"/>
        <w:rPr>
          <w:noProof/>
        </w:rPr>
      </w:pPr>
      <w:r w:rsidRPr="00140E16">
        <w:rPr>
          <w:noProof/>
        </w:rPr>
        <w:t xml:space="preserve">Garrett, A.S., Carrion, V., Kletter, H., Karchemskiy, A., Weems, C.F., and Reiss, A. (2012). Brain activation to facial expressions in youth with PTSD symptoms. </w:t>
      </w:r>
      <w:r w:rsidRPr="00140E16">
        <w:rPr>
          <w:i/>
          <w:noProof/>
        </w:rPr>
        <w:t>Depress Anxiety</w:t>
      </w:r>
      <w:r w:rsidRPr="00140E16">
        <w:rPr>
          <w:noProof/>
        </w:rPr>
        <w:t xml:space="preserve"> 29</w:t>
      </w:r>
      <w:r w:rsidRPr="00140E16">
        <w:rPr>
          <w:b/>
          <w:noProof/>
        </w:rPr>
        <w:t>,</w:t>
      </w:r>
      <w:r w:rsidRPr="00140E16">
        <w:rPr>
          <w:noProof/>
        </w:rPr>
        <w:t xml:space="preserve"> 449-459.</w:t>
      </w:r>
    </w:p>
    <w:p w14:paraId="429B8823" w14:textId="77777777" w:rsidR="00140E16" w:rsidRPr="00140E16" w:rsidRDefault="00140E16" w:rsidP="00140E16">
      <w:pPr>
        <w:pStyle w:val="EndNoteBibliography"/>
        <w:spacing w:after="0"/>
        <w:ind w:left="720" w:hanging="720"/>
        <w:rPr>
          <w:noProof/>
        </w:rPr>
      </w:pPr>
      <w:r w:rsidRPr="00140E16">
        <w:rPr>
          <w:noProof/>
        </w:rPr>
        <w:t xml:space="preserve">Gauthier-Duchesne, A., Hebert, M., and Daspe, M.E. (2017). Gender as a predictor of posttraumatic stress symptoms and externalizing behavior problems in sexually abused children. </w:t>
      </w:r>
      <w:r w:rsidRPr="00140E16">
        <w:rPr>
          <w:i/>
          <w:noProof/>
        </w:rPr>
        <w:t>Child Abuse Negl</w:t>
      </w:r>
      <w:r w:rsidRPr="00140E16">
        <w:rPr>
          <w:noProof/>
        </w:rPr>
        <w:t xml:space="preserve"> 64</w:t>
      </w:r>
      <w:r w:rsidRPr="00140E16">
        <w:rPr>
          <w:b/>
          <w:noProof/>
        </w:rPr>
        <w:t>,</w:t>
      </w:r>
      <w:r w:rsidRPr="00140E16">
        <w:rPr>
          <w:noProof/>
        </w:rPr>
        <w:t xml:space="preserve"> 79-88.</w:t>
      </w:r>
    </w:p>
    <w:p w14:paraId="1988299C" w14:textId="77777777" w:rsidR="00140E16" w:rsidRPr="00140E16" w:rsidRDefault="00140E16" w:rsidP="00140E16">
      <w:pPr>
        <w:pStyle w:val="EndNoteBibliography"/>
        <w:spacing w:after="0"/>
        <w:ind w:left="720" w:hanging="720"/>
        <w:rPr>
          <w:noProof/>
        </w:rPr>
      </w:pPr>
      <w:r w:rsidRPr="00140E16">
        <w:rPr>
          <w:noProof/>
        </w:rPr>
        <w:t xml:space="preserve">Gee, D.G., Gabard-Durnam, L.J., Flannery, J., Goff, B., Humphreys, K.L., Telzer, E.H., Hare, T.A., Bookheimer, S.Y., and Tottenham, N. (2013). Early developmental emergence of human amygdala-prefrontal connectivity after maternal deprivation. </w:t>
      </w:r>
      <w:r w:rsidRPr="00140E16">
        <w:rPr>
          <w:i/>
          <w:noProof/>
        </w:rPr>
        <w:t>Proc Natl Acad Sci U S A</w:t>
      </w:r>
      <w:r w:rsidRPr="00140E16">
        <w:rPr>
          <w:noProof/>
        </w:rPr>
        <w:t xml:space="preserve"> 110</w:t>
      </w:r>
      <w:r w:rsidRPr="00140E16">
        <w:rPr>
          <w:b/>
          <w:noProof/>
        </w:rPr>
        <w:t>,</w:t>
      </w:r>
      <w:r w:rsidRPr="00140E16">
        <w:rPr>
          <w:noProof/>
        </w:rPr>
        <w:t xml:space="preserve"> 15638-15643.</w:t>
      </w:r>
    </w:p>
    <w:p w14:paraId="7B69F770" w14:textId="77777777" w:rsidR="00140E16" w:rsidRPr="00140E16" w:rsidRDefault="00140E16" w:rsidP="00140E16">
      <w:pPr>
        <w:pStyle w:val="EndNoteBibliography"/>
        <w:spacing w:after="0"/>
        <w:ind w:left="720" w:hanging="720"/>
        <w:rPr>
          <w:noProof/>
        </w:rPr>
      </w:pPr>
      <w:r w:rsidRPr="00140E16">
        <w:rPr>
          <w:noProof/>
        </w:rPr>
        <w:t xml:space="preserve">Gershon, A., Minor, K., and Hayward, C. (2008). Gender, victimization, and psychiatric outcomes. </w:t>
      </w:r>
      <w:r w:rsidRPr="00140E16">
        <w:rPr>
          <w:i/>
          <w:noProof/>
        </w:rPr>
        <w:t>Psychol Med</w:t>
      </w:r>
      <w:r w:rsidRPr="00140E16">
        <w:rPr>
          <w:noProof/>
        </w:rPr>
        <w:t xml:space="preserve"> 38</w:t>
      </w:r>
      <w:r w:rsidRPr="00140E16">
        <w:rPr>
          <w:b/>
          <w:noProof/>
        </w:rPr>
        <w:t>,</w:t>
      </w:r>
      <w:r w:rsidRPr="00140E16">
        <w:rPr>
          <w:noProof/>
        </w:rPr>
        <w:t xml:space="preserve"> 1377-1391.</w:t>
      </w:r>
    </w:p>
    <w:p w14:paraId="28D79B8C" w14:textId="77777777" w:rsidR="00140E16" w:rsidRPr="00140E16" w:rsidRDefault="00140E16" w:rsidP="00140E16">
      <w:pPr>
        <w:pStyle w:val="EndNoteBibliography"/>
        <w:spacing w:after="0"/>
        <w:ind w:left="720" w:hanging="720"/>
        <w:rPr>
          <w:noProof/>
        </w:rPr>
      </w:pPr>
      <w:r w:rsidRPr="00140E16">
        <w:rPr>
          <w:noProof/>
        </w:rPr>
        <w:lastRenderedPageBreak/>
        <w:t xml:space="preserve">Grant, M.M., Cannistraci, C., Hollon, S.D., Gore, J., and Shelton, R. (2011). Childhood trauma history differentiates amygdala response to sad faces within MDD. </w:t>
      </w:r>
      <w:r w:rsidRPr="00140E16">
        <w:rPr>
          <w:i/>
          <w:noProof/>
        </w:rPr>
        <w:t>J Psychiatr Res</w:t>
      </w:r>
      <w:r w:rsidRPr="00140E16">
        <w:rPr>
          <w:noProof/>
        </w:rPr>
        <w:t xml:space="preserve"> 45</w:t>
      </w:r>
      <w:r w:rsidRPr="00140E16">
        <w:rPr>
          <w:b/>
          <w:noProof/>
        </w:rPr>
        <w:t>,</w:t>
      </w:r>
      <w:r w:rsidRPr="00140E16">
        <w:rPr>
          <w:noProof/>
        </w:rPr>
        <w:t xml:space="preserve"> 886-895.</w:t>
      </w:r>
    </w:p>
    <w:p w14:paraId="7075966D" w14:textId="77777777" w:rsidR="00140E16" w:rsidRPr="00140E16" w:rsidRDefault="00140E16" w:rsidP="00140E16">
      <w:pPr>
        <w:pStyle w:val="EndNoteBibliography"/>
        <w:spacing w:after="0"/>
        <w:ind w:left="720" w:hanging="720"/>
        <w:rPr>
          <w:noProof/>
        </w:rPr>
      </w:pPr>
      <w:r w:rsidRPr="00140E16">
        <w:rPr>
          <w:noProof/>
        </w:rPr>
        <w:t xml:space="preserve">Guadagno, A., Wong, T.P., and Walker, C.D. (2018). Morphological and functional changes in the preweaning basolateral amygdala induced by early chronic stress associate with anxiety and fear behavior in adult male, but not female rats. </w:t>
      </w:r>
      <w:r w:rsidRPr="00140E16">
        <w:rPr>
          <w:i/>
          <w:noProof/>
        </w:rPr>
        <w:t>Prog Neuropsychopharmacol Biol Psychiatry</w:t>
      </w:r>
      <w:r w:rsidRPr="00140E16">
        <w:rPr>
          <w:noProof/>
        </w:rPr>
        <w:t xml:space="preserve"> 81</w:t>
      </w:r>
      <w:r w:rsidRPr="00140E16">
        <w:rPr>
          <w:b/>
          <w:noProof/>
        </w:rPr>
        <w:t>,</w:t>
      </w:r>
      <w:r w:rsidRPr="00140E16">
        <w:rPr>
          <w:noProof/>
        </w:rPr>
        <w:t xml:space="preserve"> 25-37.</w:t>
      </w:r>
    </w:p>
    <w:p w14:paraId="3491628B" w14:textId="77777777" w:rsidR="00140E16" w:rsidRPr="00140E16" w:rsidRDefault="00140E16" w:rsidP="00140E16">
      <w:pPr>
        <w:pStyle w:val="EndNoteBibliography"/>
        <w:spacing w:after="0"/>
        <w:ind w:left="720" w:hanging="720"/>
        <w:rPr>
          <w:noProof/>
        </w:rPr>
      </w:pPr>
      <w:r w:rsidRPr="00140E16">
        <w:rPr>
          <w:noProof/>
        </w:rPr>
        <w:t xml:space="preserve">Herringa, R.J., Phillips, M.L., Fournier, J.C., Kronhaus, D.M., and Germain, A. (2013). Childhood and adult trauma both correlate with dorsal anterior cingulate activation to threat in combat veterans. </w:t>
      </w:r>
      <w:r w:rsidRPr="00140E16">
        <w:rPr>
          <w:i/>
          <w:noProof/>
        </w:rPr>
        <w:t>Psychol Med</w:t>
      </w:r>
      <w:r w:rsidRPr="00140E16">
        <w:rPr>
          <w:noProof/>
        </w:rPr>
        <w:t xml:space="preserve"> 43</w:t>
      </w:r>
      <w:r w:rsidRPr="00140E16">
        <w:rPr>
          <w:b/>
          <w:noProof/>
        </w:rPr>
        <w:t>,</w:t>
      </w:r>
      <w:r w:rsidRPr="00140E16">
        <w:rPr>
          <w:noProof/>
        </w:rPr>
        <w:t xml:space="preserve"> 1533-1542.</w:t>
      </w:r>
    </w:p>
    <w:p w14:paraId="3C7D8E4C" w14:textId="77777777" w:rsidR="00140E16" w:rsidRPr="00140E16" w:rsidRDefault="00140E16" w:rsidP="00140E16">
      <w:pPr>
        <w:pStyle w:val="EndNoteBibliography"/>
        <w:spacing w:after="0"/>
        <w:ind w:left="720" w:hanging="720"/>
        <w:rPr>
          <w:noProof/>
        </w:rPr>
      </w:pPr>
      <w:r w:rsidRPr="00140E16">
        <w:rPr>
          <w:noProof/>
        </w:rPr>
        <w:t xml:space="preserve">Hibbard, R.A., Ingersoll, G.M., and Orr, D.P. (1990). Behavioral risk, emotional risk, and child abuse among adolescents in a nonclinical setting. </w:t>
      </w:r>
      <w:r w:rsidRPr="00140E16">
        <w:rPr>
          <w:i/>
          <w:noProof/>
        </w:rPr>
        <w:t>Pediatrics</w:t>
      </w:r>
      <w:r w:rsidRPr="00140E16">
        <w:rPr>
          <w:noProof/>
        </w:rPr>
        <w:t xml:space="preserve"> 86</w:t>
      </w:r>
      <w:r w:rsidRPr="00140E16">
        <w:rPr>
          <w:b/>
          <w:noProof/>
        </w:rPr>
        <w:t>,</w:t>
      </w:r>
      <w:r w:rsidRPr="00140E16">
        <w:rPr>
          <w:noProof/>
        </w:rPr>
        <w:t xml:space="preserve"> 896-901.</w:t>
      </w:r>
    </w:p>
    <w:p w14:paraId="3F2483A6" w14:textId="77777777" w:rsidR="00140E16" w:rsidRPr="00140E16" w:rsidRDefault="00140E16" w:rsidP="00140E16">
      <w:pPr>
        <w:pStyle w:val="EndNoteBibliography"/>
        <w:spacing w:after="0"/>
        <w:ind w:left="720" w:hanging="720"/>
        <w:rPr>
          <w:noProof/>
        </w:rPr>
      </w:pPr>
      <w:r w:rsidRPr="00140E16">
        <w:rPr>
          <w:noProof/>
        </w:rPr>
        <w:t xml:space="preserve">Humphreys, K.L., Gleason, M.M., Drury, S.S., Miron, D., Nelson, C.A., 3rd, Fox, N.A., and Zeanah, C.H. (2015). Effects of institutional rearing and foster care on psychopathology at age 12 years in Romania: follow-up of an open, randomised controlled trial. </w:t>
      </w:r>
      <w:r w:rsidRPr="00140E16">
        <w:rPr>
          <w:i/>
          <w:noProof/>
        </w:rPr>
        <w:t>Lancet Psychiatry</w:t>
      </w:r>
      <w:r w:rsidRPr="00140E16">
        <w:rPr>
          <w:noProof/>
        </w:rPr>
        <w:t xml:space="preserve"> 2</w:t>
      </w:r>
      <w:r w:rsidRPr="00140E16">
        <w:rPr>
          <w:b/>
          <w:noProof/>
        </w:rPr>
        <w:t>,</w:t>
      </w:r>
      <w:r w:rsidRPr="00140E16">
        <w:rPr>
          <w:noProof/>
        </w:rPr>
        <w:t xml:space="preserve"> 625-634.</w:t>
      </w:r>
    </w:p>
    <w:p w14:paraId="50597374" w14:textId="77777777" w:rsidR="00140E16" w:rsidRPr="00140E16" w:rsidRDefault="00140E16" w:rsidP="00140E16">
      <w:pPr>
        <w:pStyle w:val="EndNoteBibliography"/>
        <w:spacing w:after="0"/>
        <w:ind w:left="720" w:hanging="720"/>
        <w:rPr>
          <w:noProof/>
        </w:rPr>
      </w:pPr>
      <w:r w:rsidRPr="00140E16">
        <w:rPr>
          <w:noProof/>
        </w:rPr>
        <w:t xml:space="preserve">Johnson, F.K., Delpech, J.C., Thompson, G.J., Wei, L., Hao, J., Herman, P., Hyder, F., and Kaffman, A. (2018). Amygdala hyper-connectivity in a mouse model of unpredictable early life stress. </w:t>
      </w:r>
      <w:r w:rsidRPr="00140E16">
        <w:rPr>
          <w:i/>
          <w:noProof/>
        </w:rPr>
        <w:t>Transl Psychiatry</w:t>
      </w:r>
      <w:r w:rsidRPr="00140E16">
        <w:rPr>
          <w:noProof/>
        </w:rPr>
        <w:t xml:space="preserve"> 8</w:t>
      </w:r>
      <w:r w:rsidRPr="00140E16">
        <w:rPr>
          <w:b/>
          <w:noProof/>
        </w:rPr>
        <w:t>,</w:t>
      </w:r>
      <w:r w:rsidRPr="00140E16">
        <w:rPr>
          <w:noProof/>
        </w:rPr>
        <w:t xml:space="preserve"> 49.</w:t>
      </w:r>
    </w:p>
    <w:p w14:paraId="623424C6" w14:textId="77777777" w:rsidR="00140E16" w:rsidRPr="00140E16" w:rsidRDefault="00140E16" w:rsidP="00140E16">
      <w:pPr>
        <w:pStyle w:val="EndNoteBibliography"/>
        <w:spacing w:after="0"/>
        <w:ind w:left="720" w:hanging="720"/>
        <w:rPr>
          <w:noProof/>
        </w:rPr>
      </w:pPr>
      <w:r w:rsidRPr="00140E16">
        <w:rPr>
          <w:noProof/>
        </w:rPr>
        <w:t xml:space="preserve">Jumper, S.A. (1995). A meta-analysis of the relationship of child sexual abuse to adult psychological adjustment. </w:t>
      </w:r>
      <w:r w:rsidRPr="00140E16">
        <w:rPr>
          <w:i/>
          <w:noProof/>
        </w:rPr>
        <w:t>Child Abuse Negl</w:t>
      </w:r>
      <w:r w:rsidRPr="00140E16">
        <w:rPr>
          <w:noProof/>
        </w:rPr>
        <w:t xml:space="preserve"> 19</w:t>
      </w:r>
      <w:r w:rsidRPr="00140E16">
        <w:rPr>
          <w:b/>
          <w:noProof/>
        </w:rPr>
        <w:t>,</w:t>
      </w:r>
      <w:r w:rsidRPr="00140E16">
        <w:rPr>
          <w:noProof/>
        </w:rPr>
        <w:t xml:space="preserve"> 715-728.</w:t>
      </w:r>
    </w:p>
    <w:p w14:paraId="69937290" w14:textId="77777777" w:rsidR="00140E16" w:rsidRPr="00140E16" w:rsidRDefault="00140E16" w:rsidP="00140E16">
      <w:pPr>
        <w:pStyle w:val="EndNoteBibliography"/>
        <w:spacing w:after="0"/>
        <w:ind w:left="720" w:hanging="720"/>
        <w:rPr>
          <w:noProof/>
        </w:rPr>
      </w:pPr>
      <w:r w:rsidRPr="00140E16">
        <w:rPr>
          <w:noProof/>
        </w:rPr>
        <w:t xml:space="preserve">Kaffman, A., and Meaney, M.J. (2007). Neurodevelopmental sequelae of postnatal maternal care in rodents: clinical and research implications of molecular insights. </w:t>
      </w:r>
      <w:r w:rsidRPr="00140E16">
        <w:rPr>
          <w:i/>
          <w:noProof/>
        </w:rPr>
        <w:t>J Child Psychol Psychiatry</w:t>
      </w:r>
      <w:r w:rsidRPr="00140E16">
        <w:rPr>
          <w:noProof/>
        </w:rPr>
        <w:t xml:space="preserve"> 48</w:t>
      </w:r>
      <w:r w:rsidRPr="00140E16">
        <w:rPr>
          <w:b/>
          <w:noProof/>
        </w:rPr>
        <w:t>,</w:t>
      </w:r>
      <w:r w:rsidRPr="00140E16">
        <w:rPr>
          <w:noProof/>
        </w:rPr>
        <w:t xml:space="preserve"> 224-244.</w:t>
      </w:r>
    </w:p>
    <w:p w14:paraId="62CC568A" w14:textId="77777777" w:rsidR="00140E16" w:rsidRPr="00140E16" w:rsidRDefault="00140E16" w:rsidP="00140E16">
      <w:pPr>
        <w:pStyle w:val="EndNoteBibliography"/>
        <w:spacing w:after="0"/>
        <w:ind w:left="720" w:hanging="720"/>
        <w:rPr>
          <w:noProof/>
        </w:rPr>
      </w:pPr>
      <w:r w:rsidRPr="00140E16">
        <w:rPr>
          <w:noProof/>
        </w:rPr>
        <w:t xml:space="preserve">Kessler, R.C., Davis, C.G., and Kendler, K.S. (1997). Childhood adversity and adult psychiatric disorder in the US National Comorbidity Survey. </w:t>
      </w:r>
      <w:r w:rsidRPr="00140E16">
        <w:rPr>
          <w:i/>
          <w:noProof/>
        </w:rPr>
        <w:t>Psychol Med</w:t>
      </w:r>
      <w:r w:rsidRPr="00140E16">
        <w:rPr>
          <w:noProof/>
        </w:rPr>
        <w:t xml:space="preserve"> 27</w:t>
      </w:r>
      <w:r w:rsidRPr="00140E16">
        <w:rPr>
          <w:b/>
          <w:noProof/>
        </w:rPr>
        <w:t>,</w:t>
      </w:r>
      <w:r w:rsidRPr="00140E16">
        <w:rPr>
          <w:noProof/>
        </w:rPr>
        <w:t xml:space="preserve"> 1101-1119.</w:t>
      </w:r>
    </w:p>
    <w:p w14:paraId="113DC581" w14:textId="77777777" w:rsidR="00140E16" w:rsidRPr="00140E16" w:rsidRDefault="00140E16" w:rsidP="00140E16">
      <w:pPr>
        <w:pStyle w:val="EndNoteBibliography"/>
        <w:spacing w:after="0"/>
        <w:ind w:left="720" w:hanging="720"/>
        <w:rPr>
          <w:noProof/>
        </w:rPr>
      </w:pPr>
      <w:r w:rsidRPr="00140E16">
        <w:rPr>
          <w:noProof/>
        </w:rPr>
        <w:t xml:space="preserve">Keyes, K.M., Eaton, N.R., Krueger, R.F., Mclaughlin, K.A., Wall, M.M., Grant, B.F., and Hasin, D.S. (2012). Childhood maltreatment and the structure of common psychiatric disorders. </w:t>
      </w:r>
      <w:r w:rsidRPr="00140E16">
        <w:rPr>
          <w:i/>
          <w:noProof/>
        </w:rPr>
        <w:t>Br J Psychiatry</w:t>
      </w:r>
      <w:r w:rsidRPr="00140E16">
        <w:rPr>
          <w:noProof/>
        </w:rPr>
        <w:t xml:space="preserve"> 200</w:t>
      </w:r>
      <w:r w:rsidRPr="00140E16">
        <w:rPr>
          <w:b/>
          <w:noProof/>
        </w:rPr>
        <w:t>,</w:t>
      </w:r>
      <w:r w:rsidRPr="00140E16">
        <w:rPr>
          <w:noProof/>
        </w:rPr>
        <w:t xml:space="preserve"> 107-115.</w:t>
      </w:r>
    </w:p>
    <w:p w14:paraId="50C177AE" w14:textId="77777777" w:rsidR="00140E16" w:rsidRPr="00140E16" w:rsidRDefault="00140E16" w:rsidP="00140E16">
      <w:pPr>
        <w:pStyle w:val="EndNoteBibliography"/>
        <w:spacing w:after="0"/>
        <w:ind w:left="720" w:hanging="720"/>
        <w:rPr>
          <w:noProof/>
        </w:rPr>
      </w:pPr>
      <w:r w:rsidRPr="00140E16">
        <w:rPr>
          <w:noProof/>
        </w:rPr>
        <w:t xml:space="preserve">Macmillan, H.L., Fleming, J.E., Streiner, D.L., Lin, E., Boyle, M.H., Jamieson, E., Duku, E.K., Walsh, C.A., Wong, M.Y., and Beardslee, W.R. (2001). Childhood abuse and lifetime psychopathology in a community sample. </w:t>
      </w:r>
      <w:r w:rsidRPr="00140E16">
        <w:rPr>
          <w:i/>
          <w:noProof/>
        </w:rPr>
        <w:t>Am J Psychiatry</w:t>
      </w:r>
      <w:r w:rsidRPr="00140E16">
        <w:rPr>
          <w:noProof/>
        </w:rPr>
        <w:t xml:space="preserve"> 158</w:t>
      </w:r>
      <w:r w:rsidRPr="00140E16">
        <w:rPr>
          <w:b/>
          <w:noProof/>
        </w:rPr>
        <w:t>,</w:t>
      </w:r>
      <w:r w:rsidRPr="00140E16">
        <w:rPr>
          <w:noProof/>
        </w:rPr>
        <w:t xml:space="preserve"> 1878-1883.</w:t>
      </w:r>
    </w:p>
    <w:p w14:paraId="5404B787" w14:textId="77777777" w:rsidR="00140E16" w:rsidRPr="00140E16" w:rsidRDefault="00140E16" w:rsidP="00140E16">
      <w:pPr>
        <w:pStyle w:val="EndNoteBibliography"/>
        <w:spacing w:after="0"/>
        <w:ind w:left="720" w:hanging="720"/>
        <w:rPr>
          <w:noProof/>
        </w:rPr>
      </w:pPr>
      <w:r w:rsidRPr="00140E16">
        <w:rPr>
          <w:noProof/>
        </w:rPr>
        <w:t xml:space="preserve">Maheu, F.S., Dozier, M., Guyer, A.E., Mandell, D., Peloso, E., Poeth, K., Jenness, J., Lau, J.Y., Ackerman, J.P., Pine, D.S., and Ernst, M. (2010). A preliminary study of medial temporal lobe function in youths with a history of caregiver deprivation and emotional neglect. </w:t>
      </w:r>
      <w:r w:rsidRPr="00140E16">
        <w:rPr>
          <w:i/>
          <w:noProof/>
        </w:rPr>
        <w:t>Cogn Affect Behav Neurosci</w:t>
      </w:r>
      <w:r w:rsidRPr="00140E16">
        <w:rPr>
          <w:noProof/>
        </w:rPr>
        <w:t xml:space="preserve"> 10</w:t>
      </w:r>
      <w:r w:rsidRPr="00140E16">
        <w:rPr>
          <w:b/>
          <w:noProof/>
        </w:rPr>
        <w:t>,</w:t>
      </w:r>
      <w:r w:rsidRPr="00140E16">
        <w:rPr>
          <w:noProof/>
        </w:rPr>
        <w:t xml:space="preserve"> 34-49.</w:t>
      </w:r>
    </w:p>
    <w:p w14:paraId="1FC36F8D" w14:textId="77777777" w:rsidR="00140E16" w:rsidRPr="00140E16" w:rsidRDefault="00140E16" w:rsidP="00140E16">
      <w:pPr>
        <w:pStyle w:val="EndNoteBibliography"/>
        <w:spacing w:after="0"/>
        <w:ind w:left="720" w:hanging="720"/>
        <w:rPr>
          <w:noProof/>
        </w:rPr>
      </w:pPr>
      <w:r w:rsidRPr="00140E16">
        <w:rPr>
          <w:noProof/>
        </w:rPr>
        <w:lastRenderedPageBreak/>
        <w:t xml:space="preserve">Maikovich-Fong, A.K., and Jaffee, S.R. (2010). Sex differences in childhood sexual abuse characteristics and victims' emotional and behavioral problems: findings from a national sample of youth. </w:t>
      </w:r>
      <w:r w:rsidRPr="00140E16">
        <w:rPr>
          <w:i/>
          <w:noProof/>
        </w:rPr>
        <w:t>Child Abuse Negl</w:t>
      </w:r>
      <w:r w:rsidRPr="00140E16">
        <w:rPr>
          <w:noProof/>
        </w:rPr>
        <w:t xml:space="preserve"> 34</w:t>
      </w:r>
      <w:r w:rsidRPr="00140E16">
        <w:rPr>
          <w:b/>
          <w:noProof/>
        </w:rPr>
        <w:t>,</w:t>
      </w:r>
      <w:r w:rsidRPr="00140E16">
        <w:rPr>
          <w:noProof/>
        </w:rPr>
        <w:t xml:space="preserve"> 429-437.</w:t>
      </w:r>
    </w:p>
    <w:p w14:paraId="4B8A8377" w14:textId="77777777" w:rsidR="00140E16" w:rsidRPr="00140E16" w:rsidRDefault="00140E16" w:rsidP="00140E16">
      <w:pPr>
        <w:pStyle w:val="EndNoteBibliography"/>
        <w:spacing w:after="0"/>
        <w:ind w:left="720" w:hanging="720"/>
        <w:rPr>
          <w:noProof/>
        </w:rPr>
      </w:pPr>
      <w:r w:rsidRPr="00140E16">
        <w:rPr>
          <w:noProof/>
        </w:rPr>
        <w:t xml:space="preserve">Malter Cohen, M., Jing, D., Yang, R.R., Tottenham, N., Lee, F.S., and Casey, B.J. (2013). Early-life stress has persistent effects on amygdala function and development in mice and humans. </w:t>
      </w:r>
      <w:r w:rsidRPr="00140E16">
        <w:rPr>
          <w:i/>
          <w:noProof/>
        </w:rPr>
        <w:t>Proc Natl Acad Sci U S A</w:t>
      </w:r>
      <w:r w:rsidRPr="00140E16">
        <w:rPr>
          <w:noProof/>
        </w:rPr>
        <w:t xml:space="preserve"> 110</w:t>
      </w:r>
      <w:r w:rsidRPr="00140E16">
        <w:rPr>
          <w:b/>
          <w:noProof/>
        </w:rPr>
        <w:t>,</w:t>
      </w:r>
      <w:r w:rsidRPr="00140E16">
        <w:rPr>
          <w:noProof/>
        </w:rPr>
        <w:t xml:space="preserve"> 18274-18278.</w:t>
      </w:r>
    </w:p>
    <w:p w14:paraId="242AF235" w14:textId="77777777" w:rsidR="00140E16" w:rsidRPr="00140E16" w:rsidRDefault="00140E16" w:rsidP="00140E16">
      <w:pPr>
        <w:pStyle w:val="EndNoteBibliography"/>
        <w:spacing w:after="0"/>
        <w:ind w:left="720" w:hanging="720"/>
        <w:rPr>
          <w:noProof/>
        </w:rPr>
      </w:pPr>
      <w:r w:rsidRPr="00140E16">
        <w:rPr>
          <w:noProof/>
        </w:rPr>
        <w:t xml:space="preserve">Marshall, P.J., Fox, N.A., and Bucharest Early Intervention Project Core, G. (2004). A comparison of the electroencephalogram between institutionalized and community children in Romania. </w:t>
      </w:r>
      <w:r w:rsidRPr="00140E16">
        <w:rPr>
          <w:i/>
          <w:noProof/>
        </w:rPr>
        <w:t>J Cogn Neurosci</w:t>
      </w:r>
      <w:r w:rsidRPr="00140E16">
        <w:rPr>
          <w:noProof/>
        </w:rPr>
        <w:t xml:space="preserve"> 16</w:t>
      </w:r>
      <w:r w:rsidRPr="00140E16">
        <w:rPr>
          <w:b/>
          <w:noProof/>
        </w:rPr>
        <w:t>,</w:t>
      </w:r>
      <w:r w:rsidRPr="00140E16">
        <w:rPr>
          <w:noProof/>
        </w:rPr>
        <w:t xml:space="preserve"> 1327-1338.</w:t>
      </w:r>
    </w:p>
    <w:p w14:paraId="2DFD2418" w14:textId="77777777" w:rsidR="00140E16" w:rsidRPr="00140E16" w:rsidRDefault="00140E16" w:rsidP="00140E16">
      <w:pPr>
        <w:pStyle w:val="EndNoteBibliography"/>
        <w:spacing w:after="0"/>
        <w:ind w:left="720" w:hanging="720"/>
        <w:rPr>
          <w:noProof/>
        </w:rPr>
      </w:pPr>
      <w:r w:rsidRPr="00140E16">
        <w:rPr>
          <w:noProof/>
        </w:rPr>
        <w:t xml:space="preserve">Marusak, H.A., Martin, K.R., Etkin, A., and Thomason, M.E. (2015). Childhood trauma exposure disrupts the automatic regulation of emotional processing. </w:t>
      </w:r>
      <w:r w:rsidRPr="00140E16">
        <w:rPr>
          <w:i/>
          <w:noProof/>
        </w:rPr>
        <w:t>Neuropsychopharmacology</w:t>
      </w:r>
      <w:r w:rsidRPr="00140E16">
        <w:rPr>
          <w:noProof/>
        </w:rPr>
        <w:t xml:space="preserve"> 40</w:t>
      </w:r>
      <w:r w:rsidRPr="00140E16">
        <w:rPr>
          <w:b/>
          <w:noProof/>
        </w:rPr>
        <w:t>,</w:t>
      </w:r>
      <w:r w:rsidRPr="00140E16">
        <w:rPr>
          <w:noProof/>
        </w:rPr>
        <w:t xml:space="preserve"> 1250-1258.</w:t>
      </w:r>
    </w:p>
    <w:p w14:paraId="587E1FD0" w14:textId="77777777" w:rsidR="00140E16" w:rsidRPr="00140E16" w:rsidRDefault="00140E16" w:rsidP="00140E16">
      <w:pPr>
        <w:pStyle w:val="EndNoteBibliography"/>
        <w:spacing w:after="0"/>
        <w:ind w:left="720" w:hanging="720"/>
        <w:rPr>
          <w:noProof/>
        </w:rPr>
      </w:pPr>
      <w:r w:rsidRPr="00140E16">
        <w:rPr>
          <w:noProof/>
        </w:rPr>
        <w:t xml:space="preserve">Mccrory, E.J., De Brito, S.A., Kelly, P.A., Bird, G., Sebastian, C.L., Mechelli, A., Samuel, S., and Viding, E. (2013). Amygdala activation in maltreated children during pre-attentive emotional processing. </w:t>
      </w:r>
      <w:r w:rsidRPr="00140E16">
        <w:rPr>
          <w:i/>
          <w:noProof/>
        </w:rPr>
        <w:t>Br J Psychiatry</w:t>
      </w:r>
      <w:r w:rsidRPr="00140E16">
        <w:rPr>
          <w:noProof/>
        </w:rPr>
        <w:t xml:space="preserve"> 202</w:t>
      </w:r>
      <w:r w:rsidRPr="00140E16">
        <w:rPr>
          <w:b/>
          <w:noProof/>
        </w:rPr>
        <w:t>,</w:t>
      </w:r>
      <w:r w:rsidRPr="00140E16">
        <w:rPr>
          <w:noProof/>
        </w:rPr>
        <w:t xml:space="preserve"> 269-276.</w:t>
      </w:r>
    </w:p>
    <w:p w14:paraId="7DD16C35" w14:textId="77777777" w:rsidR="00140E16" w:rsidRPr="00140E16" w:rsidRDefault="00140E16" w:rsidP="00140E16">
      <w:pPr>
        <w:pStyle w:val="EndNoteBibliography"/>
        <w:spacing w:after="0"/>
        <w:ind w:left="720" w:hanging="720"/>
        <w:rPr>
          <w:noProof/>
        </w:rPr>
      </w:pPr>
      <w:r w:rsidRPr="00140E16">
        <w:rPr>
          <w:noProof/>
        </w:rPr>
        <w:t xml:space="preserve">Mclaughlin, K.A., Peverill, M., Gold, A.L., Alves, S., and Sheridan, M.A. (2015). Child Maltreatment and Neural Systems Underlying Emotion Regulation. </w:t>
      </w:r>
      <w:r w:rsidRPr="00140E16">
        <w:rPr>
          <w:i/>
          <w:noProof/>
        </w:rPr>
        <w:t>J Am Acad Child Adolesc Psychiatry</w:t>
      </w:r>
      <w:r w:rsidRPr="00140E16">
        <w:rPr>
          <w:noProof/>
        </w:rPr>
        <w:t xml:space="preserve"> 54</w:t>
      </w:r>
      <w:r w:rsidRPr="00140E16">
        <w:rPr>
          <w:b/>
          <w:noProof/>
        </w:rPr>
        <w:t>,</w:t>
      </w:r>
      <w:r w:rsidRPr="00140E16">
        <w:rPr>
          <w:noProof/>
        </w:rPr>
        <w:t xml:space="preserve"> 753-762.</w:t>
      </w:r>
    </w:p>
    <w:p w14:paraId="398C51A8" w14:textId="77777777" w:rsidR="00140E16" w:rsidRPr="00140E16" w:rsidRDefault="00140E16" w:rsidP="00140E16">
      <w:pPr>
        <w:pStyle w:val="EndNoteBibliography"/>
        <w:spacing w:after="0"/>
        <w:ind w:left="720" w:hanging="720"/>
        <w:rPr>
          <w:noProof/>
        </w:rPr>
      </w:pPr>
      <w:r w:rsidRPr="00140E16">
        <w:rPr>
          <w:noProof/>
        </w:rPr>
        <w:t xml:space="preserve">Mclaughlin, K.A., Sheridan, M.A., and Lambert, H.K. (2014). Childhood adversity and neural development: deprivation and threat as distinct dimensions of early experience. </w:t>
      </w:r>
      <w:r w:rsidRPr="00140E16">
        <w:rPr>
          <w:i/>
          <w:noProof/>
        </w:rPr>
        <w:t>Neurosci Biobehav Rev</w:t>
      </w:r>
      <w:r w:rsidRPr="00140E16">
        <w:rPr>
          <w:noProof/>
        </w:rPr>
        <w:t xml:space="preserve"> 47</w:t>
      </w:r>
      <w:r w:rsidRPr="00140E16">
        <w:rPr>
          <w:b/>
          <w:noProof/>
        </w:rPr>
        <w:t>,</w:t>
      </w:r>
      <w:r w:rsidRPr="00140E16">
        <w:rPr>
          <w:noProof/>
        </w:rPr>
        <w:t xml:space="preserve"> 578-591.</w:t>
      </w:r>
    </w:p>
    <w:p w14:paraId="3D9884CC" w14:textId="77777777" w:rsidR="00140E16" w:rsidRPr="00140E16" w:rsidRDefault="00140E16" w:rsidP="00140E16">
      <w:pPr>
        <w:pStyle w:val="EndNoteBibliography"/>
        <w:spacing w:after="0"/>
        <w:ind w:left="720" w:hanging="720"/>
        <w:rPr>
          <w:noProof/>
        </w:rPr>
      </w:pPr>
      <w:r w:rsidRPr="00140E16">
        <w:rPr>
          <w:noProof/>
        </w:rPr>
        <w:t xml:space="preserve">Molet, J., Maras, P.M., Kinney-Lang, E., Harris, N.G., Rashid, F., Ivy, A.S., Solodkin, A., Obenaus, A., and Baram, T.Z. (2016). MRI uncovers disrupted hippocampal microstructure that underlies memory impairments after early-life adversity. </w:t>
      </w:r>
      <w:r w:rsidRPr="00140E16">
        <w:rPr>
          <w:i/>
          <w:noProof/>
        </w:rPr>
        <w:t>Hippocampus</w:t>
      </w:r>
      <w:r w:rsidRPr="00140E16">
        <w:rPr>
          <w:noProof/>
        </w:rPr>
        <w:t xml:space="preserve"> 26</w:t>
      </w:r>
      <w:r w:rsidRPr="00140E16">
        <w:rPr>
          <w:b/>
          <w:noProof/>
        </w:rPr>
        <w:t>,</w:t>
      </w:r>
      <w:r w:rsidRPr="00140E16">
        <w:rPr>
          <w:noProof/>
        </w:rPr>
        <w:t xml:space="preserve"> 1618-1632.</w:t>
      </w:r>
    </w:p>
    <w:p w14:paraId="5DB962B3" w14:textId="77777777" w:rsidR="00140E16" w:rsidRPr="00140E16" w:rsidRDefault="00140E16" w:rsidP="00140E16">
      <w:pPr>
        <w:pStyle w:val="EndNoteBibliography"/>
        <w:spacing w:after="0"/>
        <w:ind w:left="720" w:hanging="720"/>
        <w:rPr>
          <w:noProof/>
        </w:rPr>
      </w:pPr>
      <w:r w:rsidRPr="00140E16">
        <w:rPr>
          <w:noProof/>
        </w:rPr>
        <w:t xml:space="preserve">Murthy, S., and Gould, E. (2018). Early Life Stress in Rodents: Animal Models of Illness or Resilience? </w:t>
      </w:r>
      <w:r w:rsidRPr="00140E16">
        <w:rPr>
          <w:i/>
          <w:noProof/>
        </w:rPr>
        <w:t>Front Behav Neurosci</w:t>
      </w:r>
      <w:r w:rsidRPr="00140E16">
        <w:rPr>
          <w:noProof/>
        </w:rPr>
        <w:t xml:space="preserve"> 12</w:t>
      </w:r>
      <w:r w:rsidRPr="00140E16">
        <w:rPr>
          <w:b/>
          <w:noProof/>
        </w:rPr>
        <w:t>,</w:t>
      </w:r>
      <w:r w:rsidRPr="00140E16">
        <w:rPr>
          <w:noProof/>
        </w:rPr>
        <w:t xml:space="preserve"> 157.</w:t>
      </w:r>
    </w:p>
    <w:p w14:paraId="06000363" w14:textId="77777777" w:rsidR="00140E16" w:rsidRPr="00140E16" w:rsidRDefault="00140E16" w:rsidP="00140E16">
      <w:pPr>
        <w:pStyle w:val="EndNoteBibliography"/>
        <w:spacing w:after="0"/>
        <w:ind w:left="720" w:hanging="720"/>
        <w:rPr>
          <w:noProof/>
        </w:rPr>
      </w:pPr>
      <w:r w:rsidRPr="00140E16">
        <w:rPr>
          <w:noProof/>
        </w:rPr>
        <w:t xml:space="preserve">Naninck, E.F., Hoeijmakers, L., Kakava-Georgiadou, N., Meesters, A., Lazic, S.E., Lucassen, P.J., and Korosi, A. (2015). Chronic early life stress alters developmental and adult neurogenesis and impairs cognitive function in mice. </w:t>
      </w:r>
      <w:r w:rsidRPr="00140E16">
        <w:rPr>
          <w:i/>
          <w:noProof/>
        </w:rPr>
        <w:t>Hippocampus</w:t>
      </w:r>
      <w:r w:rsidRPr="00140E16">
        <w:rPr>
          <w:noProof/>
        </w:rPr>
        <w:t xml:space="preserve"> 25</w:t>
      </w:r>
      <w:r w:rsidRPr="00140E16">
        <w:rPr>
          <w:b/>
          <w:noProof/>
        </w:rPr>
        <w:t>,</w:t>
      </w:r>
      <w:r w:rsidRPr="00140E16">
        <w:rPr>
          <w:noProof/>
        </w:rPr>
        <w:t xml:space="preserve"> 309-328.</w:t>
      </w:r>
    </w:p>
    <w:p w14:paraId="0B61465B" w14:textId="77777777" w:rsidR="00140E16" w:rsidRPr="00140E16" w:rsidRDefault="00140E16" w:rsidP="00140E16">
      <w:pPr>
        <w:pStyle w:val="EndNoteBibliography"/>
        <w:spacing w:after="0"/>
        <w:ind w:left="720" w:hanging="720"/>
        <w:rPr>
          <w:noProof/>
        </w:rPr>
      </w:pPr>
      <w:r w:rsidRPr="00140E16">
        <w:rPr>
          <w:noProof/>
        </w:rPr>
        <w:t xml:space="preserve">Nemeroff, C.B. (2016). Paradise Lost: The Neurobiological and Clinical Consequences of Child Abuse and Neglect. </w:t>
      </w:r>
      <w:r w:rsidRPr="00140E16">
        <w:rPr>
          <w:i/>
          <w:noProof/>
        </w:rPr>
        <w:t>Neuron</w:t>
      </w:r>
      <w:r w:rsidRPr="00140E16">
        <w:rPr>
          <w:noProof/>
        </w:rPr>
        <w:t xml:space="preserve"> 89</w:t>
      </w:r>
      <w:r w:rsidRPr="00140E16">
        <w:rPr>
          <w:b/>
          <w:noProof/>
        </w:rPr>
        <w:t>,</w:t>
      </w:r>
      <w:r w:rsidRPr="00140E16">
        <w:rPr>
          <w:noProof/>
        </w:rPr>
        <w:t xml:space="preserve"> 892-909.</w:t>
      </w:r>
    </w:p>
    <w:p w14:paraId="207DFB4A" w14:textId="77777777" w:rsidR="00140E16" w:rsidRPr="00140E16" w:rsidRDefault="00140E16" w:rsidP="00140E16">
      <w:pPr>
        <w:pStyle w:val="EndNoteBibliography"/>
        <w:spacing w:after="0"/>
        <w:ind w:left="720" w:hanging="720"/>
        <w:rPr>
          <w:noProof/>
        </w:rPr>
      </w:pPr>
      <w:r w:rsidRPr="00140E16">
        <w:rPr>
          <w:noProof/>
        </w:rPr>
        <w:t xml:space="preserve">Nicholson, A.A., Densmore, M., Frewen, P.A., Theberge, J., Neufeld, R.W., Mckinnon, M.C., and Lanius, R.A. (2015). The Dissociative Subtype of Posttraumatic Stress Disorder: Unique Resting-State Functional Connectivity of Basolateral and Centromedial Amygdala Complexes. </w:t>
      </w:r>
      <w:r w:rsidRPr="00140E16">
        <w:rPr>
          <w:i/>
          <w:noProof/>
        </w:rPr>
        <w:t>Neuropsychopharmacology</w:t>
      </w:r>
      <w:r w:rsidRPr="00140E16">
        <w:rPr>
          <w:noProof/>
        </w:rPr>
        <w:t xml:space="preserve"> 40</w:t>
      </w:r>
      <w:r w:rsidRPr="00140E16">
        <w:rPr>
          <w:b/>
          <w:noProof/>
        </w:rPr>
        <w:t>,</w:t>
      </w:r>
      <w:r w:rsidRPr="00140E16">
        <w:rPr>
          <w:noProof/>
        </w:rPr>
        <w:t xml:space="preserve"> 2317-2326.</w:t>
      </w:r>
    </w:p>
    <w:p w14:paraId="69587B0A" w14:textId="77777777" w:rsidR="00140E16" w:rsidRPr="00140E16" w:rsidRDefault="00140E16" w:rsidP="00140E16">
      <w:pPr>
        <w:pStyle w:val="EndNoteBibliography"/>
        <w:spacing w:after="0"/>
        <w:ind w:left="720" w:hanging="720"/>
        <w:rPr>
          <w:noProof/>
        </w:rPr>
      </w:pPr>
      <w:r w:rsidRPr="00140E16">
        <w:rPr>
          <w:noProof/>
        </w:rPr>
        <w:lastRenderedPageBreak/>
        <w:t xml:space="preserve">Paolucci, E.O., Genuis, M.L., and Violato, C. (2001). A meta-analysis of the published research on the effects of child sexual abuse. </w:t>
      </w:r>
      <w:r w:rsidRPr="00140E16">
        <w:rPr>
          <w:i/>
          <w:noProof/>
        </w:rPr>
        <w:t>J Psychol</w:t>
      </w:r>
      <w:r w:rsidRPr="00140E16">
        <w:rPr>
          <w:noProof/>
        </w:rPr>
        <w:t xml:space="preserve"> 135</w:t>
      </w:r>
      <w:r w:rsidRPr="00140E16">
        <w:rPr>
          <w:b/>
          <w:noProof/>
        </w:rPr>
        <w:t>,</w:t>
      </w:r>
      <w:r w:rsidRPr="00140E16">
        <w:rPr>
          <w:noProof/>
        </w:rPr>
        <w:t xml:space="preserve"> 17-36.</w:t>
      </w:r>
    </w:p>
    <w:p w14:paraId="202DF877" w14:textId="77777777" w:rsidR="00140E16" w:rsidRPr="00140E16" w:rsidRDefault="00140E16" w:rsidP="00140E16">
      <w:pPr>
        <w:pStyle w:val="EndNoteBibliography"/>
        <w:spacing w:after="0"/>
        <w:ind w:left="720" w:hanging="720"/>
        <w:rPr>
          <w:noProof/>
        </w:rPr>
      </w:pPr>
      <w:r w:rsidRPr="00140E16">
        <w:rPr>
          <w:noProof/>
        </w:rPr>
        <w:t xml:space="preserve">Pena, C.J., Kronman, H.G., Walker, D.M., Cates, H.M., Bagot, R.C., Purushothaman, I., Issler, O., Loh, Y.E., Leong, T., Kiraly, D.D., Goodman, E., Neve, R.L., Shen, L., and Nestler, E.J. (2017). Early life stress confers lifelong stress susceptibility in mice via ventral tegmental area OTX2. </w:t>
      </w:r>
      <w:r w:rsidRPr="00140E16">
        <w:rPr>
          <w:i/>
          <w:noProof/>
        </w:rPr>
        <w:t>Science</w:t>
      </w:r>
      <w:r w:rsidRPr="00140E16">
        <w:rPr>
          <w:noProof/>
        </w:rPr>
        <w:t xml:space="preserve"> 356</w:t>
      </w:r>
      <w:r w:rsidRPr="00140E16">
        <w:rPr>
          <w:b/>
          <w:noProof/>
        </w:rPr>
        <w:t>,</w:t>
      </w:r>
      <w:r w:rsidRPr="00140E16">
        <w:rPr>
          <w:noProof/>
        </w:rPr>
        <w:t xml:space="preserve"> 1185-1188.</w:t>
      </w:r>
    </w:p>
    <w:p w14:paraId="3DBB812E" w14:textId="77777777" w:rsidR="00140E16" w:rsidRPr="00140E16" w:rsidRDefault="00140E16" w:rsidP="00140E16">
      <w:pPr>
        <w:pStyle w:val="EndNoteBibliography"/>
        <w:spacing w:after="0"/>
        <w:ind w:left="720" w:hanging="720"/>
        <w:rPr>
          <w:noProof/>
        </w:rPr>
      </w:pPr>
      <w:r w:rsidRPr="00140E16">
        <w:rPr>
          <w:noProof/>
        </w:rPr>
        <w:t xml:space="preserve">Philip, N.S., Sweet, L.H., Tyrka, A.R., Price, L.H., Bloom, R.F., and Carpenter, L.L. (2013). Decreased default network connectivity is associated with early life stress in medication-free healthy adults. </w:t>
      </w:r>
      <w:r w:rsidRPr="00140E16">
        <w:rPr>
          <w:i/>
          <w:noProof/>
        </w:rPr>
        <w:t>Eur Neuropsychopharmacol</w:t>
      </w:r>
      <w:r w:rsidRPr="00140E16">
        <w:rPr>
          <w:noProof/>
        </w:rPr>
        <w:t xml:space="preserve"> 23</w:t>
      </w:r>
      <w:r w:rsidRPr="00140E16">
        <w:rPr>
          <w:b/>
          <w:noProof/>
        </w:rPr>
        <w:t>,</w:t>
      </w:r>
      <w:r w:rsidRPr="00140E16">
        <w:rPr>
          <w:noProof/>
        </w:rPr>
        <w:t xml:space="preserve"> 24-32.</w:t>
      </w:r>
    </w:p>
    <w:p w14:paraId="3FBD9C7B" w14:textId="77777777" w:rsidR="00140E16" w:rsidRPr="00140E16" w:rsidRDefault="00140E16" w:rsidP="00140E16">
      <w:pPr>
        <w:pStyle w:val="EndNoteBibliography"/>
        <w:spacing w:after="0"/>
        <w:ind w:left="720" w:hanging="720"/>
        <w:rPr>
          <w:noProof/>
        </w:rPr>
      </w:pPr>
      <w:r w:rsidRPr="00140E16">
        <w:rPr>
          <w:noProof/>
        </w:rPr>
        <w:t xml:space="preserve">Pryce, C.R., and Feldon, J. (2003). Long-term neurobehavioural impact of the postnatal environment in rats: manipulations, effects and mediating mechanisms. </w:t>
      </w:r>
      <w:r w:rsidRPr="00140E16">
        <w:rPr>
          <w:i/>
          <w:noProof/>
        </w:rPr>
        <w:t>Neurosci Biobehav Rev</w:t>
      </w:r>
      <w:r w:rsidRPr="00140E16">
        <w:rPr>
          <w:noProof/>
        </w:rPr>
        <w:t xml:space="preserve"> 27</w:t>
      </w:r>
      <w:r w:rsidRPr="00140E16">
        <w:rPr>
          <w:b/>
          <w:noProof/>
        </w:rPr>
        <w:t>,</w:t>
      </w:r>
      <w:r w:rsidRPr="00140E16">
        <w:rPr>
          <w:noProof/>
        </w:rPr>
        <w:t xml:space="preserve"> 57-71.</w:t>
      </w:r>
    </w:p>
    <w:p w14:paraId="39A0F37C" w14:textId="77777777" w:rsidR="00140E16" w:rsidRPr="00140E16" w:rsidRDefault="00140E16" w:rsidP="00140E16">
      <w:pPr>
        <w:pStyle w:val="EndNoteBibliography"/>
        <w:spacing w:after="0"/>
        <w:ind w:left="720" w:hanging="720"/>
        <w:rPr>
          <w:noProof/>
        </w:rPr>
      </w:pPr>
      <w:r w:rsidRPr="00140E16">
        <w:rPr>
          <w:noProof/>
        </w:rPr>
        <w:t xml:space="preserve">Raineki, C., Cortes, M.R., Belnoue, L., and Sullivan, R.M. (2012). Effects of early-life abuse differ across development: infant social behavior deficits are followed by adolescent depressive-like behaviors mediated by the amygdala. </w:t>
      </w:r>
      <w:r w:rsidRPr="00140E16">
        <w:rPr>
          <w:i/>
          <w:noProof/>
        </w:rPr>
        <w:t>J Neurosci</w:t>
      </w:r>
      <w:r w:rsidRPr="00140E16">
        <w:rPr>
          <w:noProof/>
        </w:rPr>
        <w:t xml:space="preserve"> 32</w:t>
      </w:r>
      <w:r w:rsidRPr="00140E16">
        <w:rPr>
          <w:b/>
          <w:noProof/>
        </w:rPr>
        <w:t>,</w:t>
      </w:r>
      <w:r w:rsidRPr="00140E16">
        <w:rPr>
          <w:noProof/>
        </w:rPr>
        <w:t xml:space="preserve"> 7758-7765.</w:t>
      </w:r>
    </w:p>
    <w:p w14:paraId="1270CF29" w14:textId="77777777" w:rsidR="00140E16" w:rsidRPr="00140E16" w:rsidRDefault="00140E16" w:rsidP="00140E16">
      <w:pPr>
        <w:pStyle w:val="EndNoteBibliography"/>
        <w:spacing w:after="0"/>
        <w:ind w:left="720" w:hanging="720"/>
        <w:rPr>
          <w:noProof/>
        </w:rPr>
      </w:pPr>
      <w:r w:rsidRPr="00140E16">
        <w:rPr>
          <w:noProof/>
        </w:rPr>
        <w:t xml:space="preserve">Roque, A., Ochoa-Zarzosa, A., and Torner, L. (2015). Maternal separation activates microglial cells and induces an inflammatory response in the hippocampus of male rat pups, independently of hypothalamic and peripheral cytokine levels. </w:t>
      </w:r>
      <w:r w:rsidRPr="00140E16">
        <w:rPr>
          <w:i/>
          <w:noProof/>
        </w:rPr>
        <w:t>Brain Behav Immun</w:t>
      </w:r>
      <w:r w:rsidRPr="00140E16">
        <w:rPr>
          <w:noProof/>
        </w:rPr>
        <w:t>.</w:t>
      </w:r>
    </w:p>
    <w:p w14:paraId="4E9E3E0E" w14:textId="77777777" w:rsidR="00140E16" w:rsidRPr="00140E16" w:rsidRDefault="00140E16" w:rsidP="00140E16">
      <w:pPr>
        <w:pStyle w:val="EndNoteBibliography"/>
        <w:spacing w:after="0"/>
        <w:ind w:left="720" w:hanging="720"/>
        <w:rPr>
          <w:noProof/>
        </w:rPr>
      </w:pPr>
      <w:r w:rsidRPr="00140E16">
        <w:rPr>
          <w:noProof/>
        </w:rPr>
        <w:t xml:space="preserve">Suzuki, H., Luby, J.L., Botteron, K.N., Dietrich, R., Mcavoy, M.P., and Barch, D.M. (2014). Early life stress and trauma and enhanced limbic activation to emotionally valenced faces in depressed and healthy children. </w:t>
      </w:r>
      <w:r w:rsidRPr="00140E16">
        <w:rPr>
          <w:i/>
          <w:noProof/>
        </w:rPr>
        <w:t>J Am Acad Child Adolesc Psychiatry</w:t>
      </w:r>
      <w:r w:rsidRPr="00140E16">
        <w:rPr>
          <w:noProof/>
        </w:rPr>
        <w:t xml:space="preserve"> 53</w:t>
      </w:r>
      <w:r w:rsidRPr="00140E16">
        <w:rPr>
          <w:b/>
          <w:noProof/>
        </w:rPr>
        <w:t>,</w:t>
      </w:r>
      <w:r w:rsidRPr="00140E16">
        <w:rPr>
          <w:noProof/>
        </w:rPr>
        <w:t xml:space="preserve"> 800-813 e810.</w:t>
      </w:r>
    </w:p>
    <w:p w14:paraId="79385AA0" w14:textId="77777777" w:rsidR="00140E16" w:rsidRPr="00140E16" w:rsidRDefault="00140E16" w:rsidP="00140E16">
      <w:pPr>
        <w:pStyle w:val="EndNoteBibliography"/>
        <w:spacing w:after="0"/>
        <w:ind w:left="720" w:hanging="720"/>
        <w:rPr>
          <w:noProof/>
        </w:rPr>
      </w:pPr>
      <w:r w:rsidRPr="00140E16">
        <w:rPr>
          <w:noProof/>
        </w:rPr>
        <w:t xml:space="preserve">Teicher, M.H., and Samson, J.A. (2016). Annual Research Review: Enduring neurobiological effects of childhood abuse and neglect. </w:t>
      </w:r>
      <w:r w:rsidRPr="00140E16">
        <w:rPr>
          <w:i/>
          <w:noProof/>
        </w:rPr>
        <w:t>J Child Psychol Psychiatry</w:t>
      </w:r>
      <w:r w:rsidRPr="00140E16">
        <w:rPr>
          <w:noProof/>
        </w:rPr>
        <w:t xml:space="preserve"> 57</w:t>
      </w:r>
      <w:r w:rsidRPr="00140E16">
        <w:rPr>
          <w:b/>
          <w:noProof/>
        </w:rPr>
        <w:t>,</w:t>
      </w:r>
      <w:r w:rsidRPr="00140E16">
        <w:rPr>
          <w:noProof/>
        </w:rPr>
        <w:t xml:space="preserve"> 241-266.</w:t>
      </w:r>
    </w:p>
    <w:p w14:paraId="3E6CC5AC" w14:textId="77777777" w:rsidR="00140E16" w:rsidRPr="00140E16" w:rsidRDefault="00140E16" w:rsidP="00140E16">
      <w:pPr>
        <w:pStyle w:val="EndNoteBibliography"/>
        <w:spacing w:after="0"/>
        <w:ind w:left="720" w:hanging="720"/>
        <w:rPr>
          <w:noProof/>
        </w:rPr>
      </w:pPr>
      <w:r w:rsidRPr="00140E16">
        <w:rPr>
          <w:noProof/>
        </w:rPr>
        <w:t xml:space="preserve">Tottenham, N., Hare, T.A., Millner, A., Gilhooly, T., Zevin, J.D., and Casey, B.J. (2011). Elevated amygdala response to faces following early deprivation. </w:t>
      </w:r>
      <w:r w:rsidRPr="00140E16">
        <w:rPr>
          <w:i/>
          <w:noProof/>
        </w:rPr>
        <w:t>Dev Sci</w:t>
      </w:r>
      <w:r w:rsidRPr="00140E16">
        <w:rPr>
          <w:noProof/>
        </w:rPr>
        <w:t xml:space="preserve"> 14</w:t>
      </w:r>
      <w:r w:rsidRPr="00140E16">
        <w:rPr>
          <w:b/>
          <w:noProof/>
        </w:rPr>
        <w:t>,</w:t>
      </w:r>
      <w:r w:rsidRPr="00140E16">
        <w:rPr>
          <w:noProof/>
        </w:rPr>
        <w:t xml:space="preserve"> 190-204.</w:t>
      </w:r>
    </w:p>
    <w:p w14:paraId="48980858" w14:textId="77777777" w:rsidR="00140E16" w:rsidRPr="00140E16" w:rsidRDefault="00140E16" w:rsidP="00140E16">
      <w:pPr>
        <w:pStyle w:val="EndNoteBibliography"/>
        <w:spacing w:after="0"/>
        <w:ind w:left="720" w:hanging="720"/>
        <w:rPr>
          <w:noProof/>
        </w:rPr>
      </w:pPr>
      <w:r w:rsidRPr="00140E16">
        <w:rPr>
          <w:noProof/>
        </w:rPr>
        <w:t xml:space="preserve">Tractenberg, S.G., Levandowski, M.L., De Azeredo, L.A., Orso, R., Roithmann, L.G., Hoffmann, E.S., Brenhouse, H., and Grassi-Oliveira, R. (2016). An overview of maternal separation effects on behavioural outcomes in mice: Evidence from a four-stage methodological systematic review. </w:t>
      </w:r>
      <w:r w:rsidRPr="00140E16">
        <w:rPr>
          <w:i/>
          <w:noProof/>
        </w:rPr>
        <w:t>Neurosci Biobehav Rev</w:t>
      </w:r>
      <w:r w:rsidRPr="00140E16">
        <w:rPr>
          <w:noProof/>
        </w:rPr>
        <w:t xml:space="preserve"> 68</w:t>
      </w:r>
      <w:r w:rsidRPr="00140E16">
        <w:rPr>
          <w:b/>
          <w:noProof/>
        </w:rPr>
        <w:t>,</w:t>
      </w:r>
      <w:r w:rsidRPr="00140E16">
        <w:rPr>
          <w:noProof/>
        </w:rPr>
        <w:t xml:space="preserve"> 489-503.</w:t>
      </w:r>
    </w:p>
    <w:p w14:paraId="6BA09459" w14:textId="77777777" w:rsidR="00140E16" w:rsidRPr="00140E16" w:rsidRDefault="00140E16" w:rsidP="00140E16">
      <w:pPr>
        <w:pStyle w:val="EndNoteBibliography"/>
        <w:spacing w:after="0"/>
        <w:ind w:left="720" w:hanging="720"/>
        <w:rPr>
          <w:noProof/>
        </w:rPr>
      </w:pPr>
      <w:r w:rsidRPr="00140E16">
        <w:rPr>
          <w:noProof/>
        </w:rPr>
        <w:t xml:space="preserve">Walker, C.D., Bath, K.G., Joels, M., Korosi, A., Larauche, M., Lucassen, P.J., Morris, M.J., Raineki, C., Roth, T.L., Sullivan, R.M., Tache, Y., and Baram, T.Z. (2017). Chronic early life stress induced by limited bedding and nesting (LBN) material in rodents: critical considerations of methodology, outcomes and translational potential. </w:t>
      </w:r>
      <w:r w:rsidRPr="00140E16">
        <w:rPr>
          <w:i/>
          <w:noProof/>
        </w:rPr>
        <w:t>Stress</w:t>
      </w:r>
      <w:r w:rsidRPr="00140E16">
        <w:rPr>
          <w:noProof/>
        </w:rPr>
        <w:t xml:space="preserve"> 20</w:t>
      </w:r>
      <w:r w:rsidRPr="00140E16">
        <w:rPr>
          <w:b/>
          <w:noProof/>
        </w:rPr>
        <w:t>,</w:t>
      </w:r>
      <w:r w:rsidRPr="00140E16">
        <w:rPr>
          <w:noProof/>
        </w:rPr>
        <w:t xml:space="preserve"> 421-448.</w:t>
      </w:r>
    </w:p>
    <w:p w14:paraId="29E93B34" w14:textId="77777777" w:rsidR="00140E16" w:rsidRPr="00140E16" w:rsidRDefault="00140E16" w:rsidP="00140E16">
      <w:pPr>
        <w:pStyle w:val="EndNoteBibliography"/>
        <w:spacing w:after="0"/>
        <w:ind w:left="720" w:hanging="720"/>
        <w:rPr>
          <w:noProof/>
        </w:rPr>
      </w:pPr>
      <w:r w:rsidRPr="00140E16">
        <w:rPr>
          <w:noProof/>
        </w:rPr>
        <w:lastRenderedPageBreak/>
        <w:t xml:space="preserve">Wang, L., Dai, Z., Peng, H., Tan, L., Ding, Y., He, Z., Zhang, Y., Xia, M., Li, Z., Li, W., Cai, Y., Lu, S., Liao, M., Zhang, L., Wu, W., He, Y., and Li, L. (2014). Overlapping and segregated resting-state functional connectivity in patients with major depressive disorder with and without childhood neglect. </w:t>
      </w:r>
      <w:r w:rsidRPr="00140E16">
        <w:rPr>
          <w:i/>
          <w:noProof/>
        </w:rPr>
        <w:t>Hum Brain Mapp</w:t>
      </w:r>
      <w:r w:rsidRPr="00140E16">
        <w:rPr>
          <w:noProof/>
        </w:rPr>
        <w:t xml:space="preserve"> 35</w:t>
      </w:r>
      <w:r w:rsidRPr="00140E16">
        <w:rPr>
          <w:b/>
          <w:noProof/>
        </w:rPr>
        <w:t>,</w:t>
      </w:r>
      <w:r w:rsidRPr="00140E16">
        <w:rPr>
          <w:noProof/>
        </w:rPr>
        <w:t xml:space="preserve"> 1154-1166.</w:t>
      </w:r>
    </w:p>
    <w:p w14:paraId="6D018055" w14:textId="77777777" w:rsidR="00140E16" w:rsidRPr="00140E16" w:rsidRDefault="00140E16" w:rsidP="00140E16">
      <w:pPr>
        <w:pStyle w:val="EndNoteBibliography"/>
        <w:spacing w:after="0"/>
        <w:ind w:left="720" w:hanging="720"/>
        <w:rPr>
          <w:noProof/>
        </w:rPr>
      </w:pPr>
      <w:r w:rsidRPr="00140E16">
        <w:rPr>
          <w:noProof/>
        </w:rPr>
        <w:t xml:space="preserve">Yan, C.G., Rincon-Cortes, M., Raineki, C., Sarro, E., Colcombe, S., Guilfoyle, D.N., Yang, Z., Gerum, S., Biswal, B.B., Milham, M.P., Sullivan, R.M., and Castellanos, F.X. (2017). Aberrant development of intrinsic brain activity in a rat model of caregiver maltreatment of offspring. </w:t>
      </w:r>
      <w:r w:rsidRPr="00140E16">
        <w:rPr>
          <w:i/>
          <w:noProof/>
        </w:rPr>
        <w:t>Transl Psychiatry</w:t>
      </w:r>
      <w:r w:rsidRPr="00140E16">
        <w:rPr>
          <w:noProof/>
        </w:rPr>
        <w:t xml:space="preserve"> 7</w:t>
      </w:r>
      <w:r w:rsidRPr="00140E16">
        <w:rPr>
          <w:b/>
          <w:noProof/>
        </w:rPr>
        <w:t>,</w:t>
      </w:r>
      <w:r w:rsidRPr="00140E16">
        <w:rPr>
          <w:noProof/>
        </w:rPr>
        <w:t xml:space="preserve"> e1005.</w:t>
      </w:r>
    </w:p>
    <w:p w14:paraId="4344EE48" w14:textId="77777777" w:rsidR="00140E16" w:rsidRPr="00140E16" w:rsidRDefault="00140E16" w:rsidP="00140E16">
      <w:pPr>
        <w:pStyle w:val="EndNoteBibliography"/>
        <w:ind w:left="720" w:hanging="720"/>
        <w:rPr>
          <w:noProof/>
        </w:rPr>
      </w:pPr>
      <w:r w:rsidRPr="00140E16">
        <w:rPr>
          <w:noProof/>
        </w:rPr>
        <w:t xml:space="preserve">Zeanah, C.H., Egger, H.L., Smyke, A.T., Nelson, C.A., Fox, N.A., Marshall, P.J., and Guthrie, D. (2009). Institutional rearing and psychiatric disorders in romanian preschool children. </w:t>
      </w:r>
      <w:r w:rsidRPr="00140E16">
        <w:rPr>
          <w:i/>
          <w:noProof/>
        </w:rPr>
        <w:t>Am J Psychiatry</w:t>
      </w:r>
      <w:r w:rsidRPr="00140E16">
        <w:rPr>
          <w:noProof/>
        </w:rPr>
        <w:t xml:space="preserve"> 166</w:t>
      </w:r>
      <w:r w:rsidRPr="00140E16">
        <w:rPr>
          <w:b/>
          <w:noProof/>
        </w:rPr>
        <w:t>,</w:t>
      </w:r>
      <w:r w:rsidRPr="00140E16">
        <w:rPr>
          <w:noProof/>
        </w:rPr>
        <w:t xml:space="preserve"> 777-785.</w:t>
      </w:r>
    </w:p>
    <w:p w14:paraId="1D03F86B" w14:textId="74FA5968" w:rsidR="00140E16" w:rsidRPr="0088513A" w:rsidRDefault="00140E16" w:rsidP="006B2D5B">
      <w:pPr>
        <w:rPr>
          <w:rFonts w:cs="Times New Roman"/>
          <w:szCs w:val="24"/>
        </w:rPr>
      </w:pPr>
      <w:r>
        <w:rPr>
          <w:rFonts w:cs="Times New Roman"/>
          <w:szCs w:val="24"/>
        </w:rPr>
        <w:fldChar w:fldCharType="end"/>
      </w:r>
    </w:p>
    <w:sectPr w:rsidR="00140E16" w:rsidRPr="0088513A" w:rsidSect="00F239BB">
      <w:headerReference w:type="even" r:id="rId11"/>
      <w:headerReference w:type="default" r:id="rId12"/>
      <w:footerReference w:type="even" r:id="rId13"/>
      <w:footerReference w:type="default" r:id="rId14"/>
      <w:headerReference w:type="first" r:id="rId15"/>
      <w:pgSz w:w="15840" w:h="12240" w:orient="landscape"/>
      <w:pgMar w:top="1440" w:right="1440" w:bottom="1440" w:left="1440"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3A56" w14:textId="77777777" w:rsidR="00FC3589" w:rsidRDefault="00FC3589" w:rsidP="00117666">
      <w:pPr>
        <w:spacing w:after="0"/>
      </w:pPr>
      <w:r>
        <w:separator/>
      </w:r>
    </w:p>
  </w:endnote>
  <w:endnote w:type="continuationSeparator" w:id="0">
    <w:p w14:paraId="6893E7EA" w14:textId="77777777" w:rsidR="00FC3589" w:rsidRDefault="00FC358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77777777" w:rsidR="000A7756" w:rsidRPr="00577C4C" w:rsidRDefault="000A7756">
    <w:pPr>
      <w:pStyle w:val="Footer"/>
      <w:rPr>
        <w:color w:val="C00000"/>
        <w:szCs w:val="24"/>
      </w:rPr>
    </w:pPr>
    <w:r w:rsidRPr="00577C4C">
      <w:rPr>
        <w:noProof/>
        <w:color w:val="C00000"/>
        <w:szCs w:val="24"/>
        <w:lang w:eastAsia="zh-CN"/>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05" cy="2021713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20217130"/>
                      </a:xfrm>
                      <a:prstGeom prst="rect">
                        <a:avLst/>
                      </a:prstGeom>
                      <a:solidFill>
                        <a:srgbClr val="FFFFFF"/>
                      </a:solidFill>
                      <a:ln w="9525">
                        <a:noFill/>
                        <a:miter lim="800000"/>
                        <a:headEnd/>
                        <a:tailEnd/>
                      </a:ln>
                    </wps:spPr>
                    <wps:txbx>
                      <w:txbxContent>
                        <w:p w14:paraId="462EE841" w14:textId="77777777" w:rsidR="000A7756" w:rsidRPr="00E9561B" w:rsidRDefault="000A7756">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591.9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" stroked="f">
              <v:textbox style="mso-fit-shape-to-text:t">
                <w:txbxContent>
                  <w:p w14:paraId="462EE841" w14:textId="77777777" w:rsidR="000A7756" w:rsidRPr="00E9561B" w:rsidRDefault="000A7756">
                    <w:pPr>
                      <w:rPr>
                        <w:color w:val="C00000"/>
                      </w:rPr>
                    </w:pPr>
                    <w:r w:rsidRPr="00E9561B">
                      <w:rPr>
                        <w:color w:val="C00000"/>
                      </w:rPr>
                      <w:t>This is a provisional file, not the final typeset article</w:t>
                    </w:r>
                  </w:p>
                </w:txbxContent>
              </v:textbox>
            </v:shape>
          </w:pict>
        </mc:Fallback>
      </mc:AlternateContent>
    </w:r>
    <w:r>
      <w:rPr>
        <w:noProof/>
        <w:lang w:eastAsia="zh-CN"/>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202145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20214590"/>
                      </a:xfrm>
                      <a:prstGeom prst="rect">
                        <a:avLst/>
                      </a:prstGeom>
                      <a:noFill/>
                      <a:ln w="6350">
                        <a:noFill/>
                      </a:ln>
                      <a:effectLst/>
                    </wps:spPr>
                    <wps:txbx>
                      <w:txbxContent>
                        <w:p w14:paraId="214951C5" w14:textId="77777777" w:rsidR="000A7756" w:rsidRPr="00577C4C" w:rsidRDefault="000A775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6B5E73">
                            <w:rPr>
                              <w:noProof/>
                              <w:color w:val="000000" w:themeColor="text1"/>
                              <w:sz w:val="22"/>
                              <w:szCs w:val="40"/>
                            </w:rPr>
                            <w:t>44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1591.7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" filled="f" stroked="f" strokeweight=".5pt">
              <v:textbox style="mso-fit-shape-to-text:t">
                <w:txbxContent>
                  <w:p w14:paraId="214951C5" w14:textId="77777777" w:rsidR="000A7756" w:rsidRPr="00577C4C" w:rsidRDefault="000A775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6B5E73">
                      <w:rPr>
                        <w:noProof/>
                        <w:color w:val="000000" w:themeColor="text1"/>
                        <w:sz w:val="22"/>
                        <w:szCs w:val="40"/>
                      </w:rPr>
                      <w:t>44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0A7756" w:rsidRPr="00577C4C" w:rsidRDefault="000A7756">
    <w:pPr>
      <w:pStyle w:val="Footer"/>
      <w:rPr>
        <w:b/>
        <w:sz w:val="20"/>
        <w:szCs w:val="24"/>
      </w:rPr>
    </w:pPr>
    <w:r>
      <w:rPr>
        <w:noProof/>
        <w:lang w:eastAsia="zh-CN"/>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2021459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0214590"/>
                      </a:xfrm>
                      <a:prstGeom prst="rect">
                        <a:avLst/>
                      </a:prstGeom>
                      <a:noFill/>
                      <a:ln w="6350">
                        <a:noFill/>
                      </a:ln>
                      <a:effectLst/>
                    </wps:spPr>
                    <wps:txbx>
                      <w:txbxContent>
                        <w:p w14:paraId="74D070C5" w14:textId="77777777" w:rsidR="000A7756" w:rsidRPr="00577C4C" w:rsidRDefault="000A775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6B5E73">
                            <w:rPr>
                              <w:noProof/>
                              <w:color w:val="000000" w:themeColor="text1"/>
                              <w:sz w:val="22"/>
                              <w:szCs w:val="40"/>
                            </w:rPr>
                            <w:t>55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1591.7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" filled="f" stroked="f" strokeweight=".5pt">
              <v:textbox style="mso-fit-shape-to-text:t">
                <w:txbxContent>
                  <w:p w14:paraId="74D070C5" w14:textId="77777777" w:rsidR="000A7756" w:rsidRPr="00577C4C" w:rsidRDefault="000A7756">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6B5E73">
                      <w:rPr>
                        <w:noProof/>
                        <w:color w:val="000000" w:themeColor="text1"/>
                        <w:sz w:val="22"/>
                        <w:szCs w:val="40"/>
                      </w:rPr>
                      <w:t>55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6439" w14:textId="77777777" w:rsidR="00FC3589" w:rsidRDefault="00FC3589" w:rsidP="00117666">
      <w:pPr>
        <w:spacing w:after="0"/>
      </w:pPr>
      <w:r>
        <w:separator/>
      </w:r>
    </w:p>
  </w:footnote>
  <w:footnote w:type="continuationSeparator" w:id="0">
    <w:p w14:paraId="7241E098" w14:textId="77777777" w:rsidR="00FC3589" w:rsidRDefault="00FC358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6DE8" w14:textId="77777777" w:rsidR="00140E16" w:rsidRPr="003C0455" w:rsidRDefault="00140E16" w:rsidP="00140E16">
    <w:pPr>
      <w:pStyle w:val="AuthorList"/>
      <w:rPr>
        <w:b w:val="0"/>
        <w:sz w:val="18"/>
        <w:szCs w:val="18"/>
      </w:rPr>
    </w:pPr>
    <w:r w:rsidRPr="003C0455">
      <w:rPr>
        <w:b w:val="0"/>
        <w:sz w:val="18"/>
        <w:szCs w:val="18"/>
      </w:rPr>
      <w:t>The moderating effects of sex on consequences of childhood maltreatment: from clinical studies to animal models</w:t>
    </w:r>
    <w:r>
      <w:rPr>
        <w:b w:val="0"/>
        <w:sz w:val="18"/>
        <w:szCs w:val="18"/>
      </w:rPr>
      <w:t xml:space="preserve"> (supplemental information)</w:t>
    </w:r>
  </w:p>
  <w:p w14:paraId="53F77382" w14:textId="2D3CBF94" w:rsidR="000A7756" w:rsidRPr="00140E16" w:rsidRDefault="000A7756" w:rsidP="00140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4997" w14:textId="058A93E0" w:rsidR="000A7756" w:rsidRPr="003C0455" w:rsidRDefault="000A7756" w:rsidP="003C0455">
    <w:pPr>
      <w:pStyle w:val="AuthorList"/>
      <w:rPr>
        <w:b w:val="0"/>
        <w:sz w:val="18"/>
        <w:szCs w:val="18"/>
      </w:rPr>
    </w:pPr>
    <w:r w:rsidRPr="003C0455">
      <w:rPr>
        <w:b w:val="0"/>
        <w:sz w:val="18"/>
        <w:szCs w:val="18"/>
      </w:rPr>
      <w:t>The moderating effects of sex on consequences of childhood maltreatment: from clinical studies to animal models</w:t>
    </w:r>
    <w:r w:rsidR="00140E16">
      <w:rPr>
        <w:b w:val="0"/>
        <w:sz w:val="18"/>
        <w:szCs w:val="18"/>
      </w:rPr>
      <w:t xml:space="preserve"> (supplemental information)</w:t>
    </w:r>
  </w:p>
  <w:p w14:paraId="4ECFC9FA" w14:textId="77777777" w:rsidR="00140E16" w:rsidRDefault="00140E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F545" w14:textId="7B1F2A3A" w:rsidR="00140E16" w:rsidRPr="00140E16" w:rsidRDefault="00140E16" w:rsidP="00140E16">
    <w:pPr>
      <w:pStyle w:val="AuthorList"/>
      <w:rPr>
        <w:b w:val="0"/>
        <w:sz w:val="18"/>
        <w:szCs w:val="18"/>
      </w:rPr>
    </w:pPr>
    <w:r w:rsidRPr="003C0455">
      <w:rPr>
        <w:b w:val="0"/>
        <w:sz w:val="18"/>
        <w:szCs w:val="18"/>
      </w:rPr>
      <w:t>The moderating effects of sex on consequences of childhood maltreatment: from clinical studies to animal models</w:t>
    </w:r>
    <w:r>
      <w:rPr>
        <w:b w:val="0"/>
        <w:sz w:val="18"/>
        <w:szCs w:val="18"/>
      </w:rPr>
      <w:t xml:space="preserve"> (supplemental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2F747960" w:rsidR="000A7756" w:rsidRPr="008E4421" w:rsidRDefault="000A7756" w:rsidP="008E4421">
    <w:pPr>
      <w:pStyle w:val="Header"/>
      <w:rPr>
        <w:rFonts w:cs="Times New Roman"/>
        <w:sz w:val="20"/>
        <w:szCs w:val="20"/>
      </w:rPr>
    </w:pPr>
    <w:r w:rsidRPr="00023583">
      <w:rPr>
        <w:rFonts w:cs="Times New Roman"/>
        <w:sz w:val="20"/>
        <w:szCs w:val="20"/>
      </w:rPr>
      <w:t>The moderating effects of sex on consequences of childhood maltreatment: from clinical studies to animal models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6FD22D90" w:rsidR="000A7756" w:rsidRPr="00F239BB" w:rsidRDefault="000A7756" w:rsidP="00F239BB">
    <w:pPr>
      <w:pStyle w:val="AuthorList"/>
      <w:rPr>
        <w:b w:val="0"/>
        <w:sz w:val="18"/>
        <w:szCs w:val="18"/>
      </w:rPr>
    </w:pPr>
    <w:r w:rsidRPr="00023583">
      <w:rPr>
        <w:sz w:val="20"/>
        <w:szCs w:val="20"/>
      </w:rPr>
      <w:t>The moderating effects of sex on consequences of childhood maltreatment: from clinical studies to animal models</w:t>
    </w:r>
    <w:r w:rsidR="00F239BB">
      <w:rPr>
        <w:sz w:val="20"/>
        <w:szCs w:val="20"/>
      </w:rPr>
      <w:t xml:space="preserve"> </w:t>
    </w:r>
    <w:r w:rsidR="00F239BB">
      <w:rPr>
        <w:b w:val="0"/>
        <w:sz w:val="18"/>
        <w:szCs w:val="18"/>
      </w:rPr>
      <w:t>(supplemental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4665" w14:textId="77777777" w:rsidR="00F239BB" w:rsidRPr="00140E16" w:rsidRDefault="00F239BB" w:rsidP="00F239BB">
    <w:pPr>
      <w:pStyle w:val="AuthorList"/>
      <w:rPr>
        <w:b w:val="0"/>
        <w:sz w:val="18"/>
        <w:szCs w:val="18"/>
      </w:rPr>
    </w:pPr>
    <w:r w:rsidRPr="003C0455">
      <w:rPr>
        <w:b w:val="0"/>
        <w:sz w:val="18"/>
        <w:szCs w:val="18"/>
      </w:rPr>
      <w:t>The moderating effects of sex on consequences of childhood maltreatment: from clinical studies to animal models</w:t>
    </w:r>
    <w:r>
      <w:rPr>
        <w:b w:val="0"/>
        <w:sz w:val="18"/>
        <w:szCs w:val="18"/>
      </w:rPr>
      <w:t xml:space="preserve"> (supplemental information)</w:t>
    </w:r>
  </w:p>
  <w:p w14:paraId="6A2F27F1" w14:textId="77777777" w:rsidR="000A7756" w:rsidRDefault="000A7756" w:rsidP="00A53000">
    <w:pPr>
      <w:pStyle w:val="Header"/>
    </w:pPr>
    <w:r w:rsidRPr="005A1D84">
      <w:rPr>
        <w:noProof/>
        <w:color w:val="A6A6A6" w:themeColor="background1" w:themeShade="A6"/>
        <w:lang w:eastAsia="zh-CN"/>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F1870"/>
    <w:multiLevelType w:val="hybridMultilevel"/>
    <w:tmpl w:val="6B44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920DE"/>
    <w:multiLevelType w:val="hybridMultilevel"/>
    <w:tmpl w:val="4972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4D6009"/>
    <w:multiLevelType w:val="hybridMultilevel"/>
    <w:tmpl w:val="E854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15B51"/>
    <w:multiLevelType w:val="hybridMultilevel"/>
    <w:tmpl w:val="1AB2905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7DBC6F29"/>
    <w:multiLevelType w:val="multilevel"/>
    <w:tmpl w:val="C6A8CCEA"/>
    <w:numStyleLink w:val="Headings"/>
  </w:abstractNum>
  <w:abstractNum w:abstractNumId="21" w15:restartNumberingAfterBreak="0">
    <w:nsid w:val="7E4E5A73"/>
    <w:multiLevelType w:val="hybridMultilevel"/>
    <w:tmpl w:val="53AC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6"/>
  </w:num>
  <w:num w:numId="3">
    <w:abstractNumId w:val="1"/>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2"/>
  </w:num>
  <w:num w:numId="12">
    <w:abstractNumId w:val="22"/>
  </w:num>
  <w:num w:numId="13">
    <w:abstractNumId w:val="14"/>
  </w:num>
  <w:num w:numId="14">
    <w:abstractNumId w:val="4"/>
  </w:num>
  <w:num w:numId="15">
    <w:abstractNumId w:val="12"/>
  </w:num>
  <w:num w:numId="16">
    <w:abstractNumId w:val="17"/>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3"/>
  </w:num>
  <w:num w:numId="24">
    <w:abstractNumId w:val="19"/>
  </w:num>
  <w:num w:numId="25">
    <w:abstractNumId w:val="2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rontiers 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ddtsr5sr0wsaes9f8pa9sieveexztxweap&quot;&gt;K-08-Converted&lt;record-ids&gt;&lt;item&gt;568&lt;/item&gt;&lt;item&gt;1090&lt;/item&gt;&lt;item&gt;4298&lt;/item&gt;&lt;item&gt;4302&lt;/item&gt;&lt;item&gt;4303&lt;/item&gt;&lt;item&gt;4645&lt;/item&gt;&lt;item&gt;4647&lt;/item&gt;&lt;item&gt;4653&lt;/item&gt;&lt;item&gt;4947&lt;/item&gt;&lt;item&gt;5131&lt;/item&gt;&lt;item&gt;5226&lt;/item&gt;&lt;item&gt;5383&lt;/item&gt;&lt;item&gt;5387&lt;/item&gt;&lt;item&gt;5430&lt;/item&gt;&lt;item&gt;5438&lt;/item&gt;&lt;item&gt;5454&lt;/item&gt;&lt;item&gt;5509&lt;/item&gt;&lt;item&gt;5591&lt;/item&gt;&lt;item&gt;5620&lt;/item&gt;&lt;item&gt;5621&lt;/item&gt;&lt;item&gt;5622&lt;/item&gt;&lt;item&gt;5627&lt;/item&gt;&lt;item&gt;5629&lt;/item&gt;&lt;item&gt;5632&lt;/item&gt;&lt;item&gt;5633&lt;/item&gt;&lt;item&gt;5691&lt;/item&gt;&lt;item&gt;5719&lt;/item&gt;&lt;item&gt;5720&lt;/item&gt;&lt;item&gt;5721&lt;/item&gt;&lt;item&gt;5722&lt;/item&gt;&lt;item&gt;5724&lt;/item&gt;&lt;item&gt;5726&lt;/item&gt;&lt;item&gt;5727&lt;/item&gt;&lt;item&gt;5728&lt;/item&gt;&lt;item&gt;5744&lt;/item&gt;&lt;item&gt;5771&lt;/item&gt;&lt;item&gt;5817&lt;/item&gt;&lt;item&gt;5876&lt;/item&gt;&lt;item&gt;5877&lt;/item&gt;&lt;item&gt;5881&lt;/item&gt;&lt;item&gt;5888&lt;/item&gt;&lt;item&gt;5890&lt;/item&gt;&lt;item&gt;5892&lt;/item&gt;&lt;item&gt;5893&lt;/item&gt;&lt;item&gt;5896&lt;/item&gt;&lt;item&gt;5898&lt;/item&gt;&lt;item&gt;5899&lt;/item&gt;&lt;item&gt;5906&lt;/item&gt;&lt;item&gt;5910&lt;/item&gt;&lt;item&gt;5923&lt;/item&gt;&lt;item&gt;5926&lt;/item&gt;&lt;item&gt;5927&lt;/item&gt;&lt;item&gt;5928&lt;/item&gt;&lt;item&gt;5931&lt;/item&gt;&lt;item&gt;5954&lt;/item&gt;&lt;item&gt;5956&lt;/item&gt;&lt;item&gt;5957&lt;/item&gt;&lt;item&gt;5962&lt;/item&gt;&lt;item&gt;5972&lt;/item&gt;&lt;item&gt;5973&lt;/item&gt;&lt;item&gt;5974&lt;/item&gt;&lt;item&gt;5978&lt;/item&gt;&lt;/record-ids&gt;&lt;/item&gt;&lt;/Libraries&gt;"/>
  </w:docVars>
  <w:rsids>
    <w:rsidRoot w:val="00681821"/>
    <w:rsid w:val="00004C4D"/>
    <w:rsid w:val="00007D32"/>
    <w:rsid w:val="000148B5"/>
    <w:rsid w:val="000152CC"/>
    <w:rsid w:val="00017469"/>
    <w:rsid w:val="00020755"/>
    <w:rsid w:val="00020E81"/>
    <w:rsid w:val="00021AF8"/>
    <w:rsid w:val="00021E75"/>
    <w:rsid w:val="00023583"/>
    <w:rsid w:val="00027ED5"/>
    <w:rsid w:val="00034304"/>
    <w:rsid w:val="00035434"/>
    <w:rsid w:val="0003610E"/>
    <w:rsid w:val="0004157B"/>
    <w:rsid w:val="00045678"/>
    <w:rsid w:val="000458E4"/>
    <w:rsid w:val="00057741"/>
    <w:rsid w:val="00057F23"/>
    <w:rsid w:val="00062DBF"/>
    <w:rsid w:val="00063D84"/>
    <w:rsid w:val="00064435"/>
    <w:rsid w:val="0006636D"/>
    <w:rsid w:val="00070576"/>
    <w:rsid w:val="00070779"/>
    <w:rsid w:val="00071958"/>
    <w:rsid w:val="000735AF"/>
    <w:rsid w:val="00077D53"/>
    <w:rsid w:val="00081394"/>
    <w:rsid w:val="000834B1"/>
    <w:rsid w:val="000859D6"/>
    <w:rsid w:val="0009042A"/>
    <w:rsid w:val="00090D1A"/>
    <w:rsid w:val="000976D5"/>
    <w:rsid w:val="000A2ADE"/>
    <w:rsid w:val="000A2BAE"/>
    <w:rsid w:val="000A7756"/>
    <w:rsid w:val="000B1068"/>
    <w:rsid w:val="000B34BD"/>
    <w:rsid w:val="000B4BAF"/>
    <w:rsid w:val="000C7E2A"/>
    <w:rsid w:val="000C7FEC"/>
    <w:rsid w:val="000D0A35"/>
    <w:rsid w:val="000D6CE4"/>
    <w:rsid w:val="000E32C9"/>
    <w:rsid w:val="000E4A2D"/>
    <w:rsid w:val="000F1868"/>
    <w:rsid w:val="000F39BB"/>
    <w:rsid w:val="000F4CFB"/>
    <w:rsid w:val="001006DD"/>
    <w:rsid w:val="00102635"/>
    <w:rsid w:val="0011215F"/>
    <w:rsid w:val="00112B74"/>
    <w:rsid w:val="00112DEA"/>
    <w:rsid w:val="001153E2"/>
    <w:rsid w:val="00115646"/>
    <w:rsid w:val="00117666"/>
    <w:rsid w:val="001223A7"/>
    <w:rsid w:val="001329E7"/>
    <w:rsid w:val="00132D8A"/>
    <w:rsid w:val="00134256"/>
    <w:rsid w:val="00137CFF"/>
    <w:rsid w:val="00140DAA"/>
    <w:rsid w:val="00140E16"/>
    <w:rsid w:val="001456D9"/>
    <w:rsid w:val="00146D99"/>
    <w:rsid w:val="00147395"/>
    <w:rsid w:val="001552C9"/>
    <w:rsid w:val="00161446"/>
    <w:rsid w:val="00163419"/>
    <w:rsid w:val="00172D2C"/>
    <w:rsid w:val="00172DCE"/>
    <w:rsid w:val="00177D84"/>
    <w:rsid w:val="00191C20"/>
    <w:rsid w:val="001930AA"/>
    <w:rsid w:val="001964EF"/>
    <w:rsid w:val="00197597"/>
    <w:rsid w:val="001A699B"/>
    <w:rsid w:val="001B1A2C"/>
    <w:rsid w:val="001B27B1"/>
    <w:rsid w:val="001B3194"/>
    <w:rsid w:val="001B5AEF"/>
    <w:rsid w:val="001B6963"/>
    <w:rsid w:val="001C063C"/>
    <w:rsid w:val="001C36D6"/>
    <w:rsid w:val="001C6364"/>
    <w:rsid w:val="001D068C"/>
    <w:rsid w:val="001D1D0F"/>
    <w:rsid w:val="001D5C23"/>
    <w:rsid w:val="001E61C1"/>
    <w:rsid w:val="001F2596"/>
    <w:rsid w:val="001F2DCA"/>
    <w:rsid w:val="001F345A"/>
    <w:rsid w:val="001F4C07"/>
    <w:rsid w:val="00211E5F"/>
    <w:rsid w:val="0021391E"/>
    <w:rsid w:val="002209B1"/>
    <w:rsid w:val="00220AEA"/>
    <w:rsid w:val="0022136B"/>
    <w:rsid w:val="00223B3E"/>
    <w:rsid w:val="00226954"/>
    <w:rsid w:val="002323FA"/>
    <w:rsid w:val="002410F8"/>
    <w:rsid w:val="0024560B"/>
    <w:rsid w:val="0025280B"/>
    <w:rsid w:val="002536CD"/>
    <w:rsid w:val="00254C99"/>
    <w:rsid w:val="00255F88"/>
    <w:rsid w:val="002629A3"/>
    <w:rsid w:val="00264C60"/>
    <w:rsid w:val="00265660"/>
    <w:rsid w:val="00267D18"/>
    <w:rsid w:val="0027074D"/>
    <w:rsid w:val="002815A5"/>
    <w:rsid w:val="002868E2"/>
    <w:rsid w:val="002869C3"/>
    <w:rsid w:val="002875A3"/>
    <w:rsid w:val="00291719"/>
    <w:rsid w:val="002936E4"/>
    <w:rsid w:val="00296B88"/>
    <w:rsid w:val="00297E22"/>
    <w:rsid w:val="002A1908"/>
    <w:rsid w:val="002A1EB5"/>
    <w:rsid w:val="002A4223"/>
    <w:rsid w:val="002A6F0C"/>
    <w:rsid w:val="002B5440"/>
    <w:rsid w:val="002B766A"/>
    <w:rsid w:val="002C429A"/>
    <w:rsid w:val="002C6D5E"/>
    <w:rsid w:val="002C74CA"/>
    <w:rsid w:val="002D520D"/>
    <w:rsid w:val="002D60AB"/>
    <w:rsid w:val="002D759C"/>
    <w:rsid w:val="002E1D07"/>
    <w:rsid w:val="002F013E"/>
    <w:rsid w:val="002F1615"/>
    <w:rsid w:val="002F2812"/>
    <w:rsid w:val="002F744D"/>
    <w:rsid w:val="0030118B"/>
    <w:rsid w:val="00303DE6"/>
    <w:rsid w:val="00310124"/>
    <w:rsid w:val="00310FB6"/>
    <w:rsid w:val="0031339F"/>
    <w:rsid w:val="00315D38"/>
    <w:rsid w:val="003204CC"/>
    <w:rsid w:val="00321262"/>
    <w:rsid w:val="00331299"/>
    <w:rsid w:val="00331A8E"/>
    <w:rsid w:val="00331C48"/>
    <w:rsid w:val="00333AB8"/>
    <w:rsid w:val="003365AB"/>
    <w:rsid w:val="00346218"/>
    <w:rsid w:val="003472B3"/>
    <w:rsid w:val="003476E7"/>
    <w:rsid w:val="00352932"/>
    <w:rsid w:val="003544FB"/>
    <w:rsid w:val="00356EAF"/>
    <w:rsid w:val="0036306C"/>
    <w:rsid w:val="00365D63"/>
    <w:rsid w:val="0036793B"/>
    <w:rsid w:val="0037032C"/>
    <w:rsid w:val="00370D3F"/>
    <w:rsid w:val="00372682"/>
    <w:rsid w:val="00376CC5"/>
    <w:rsid w:val="00377527"/>
    <w:rsid w:val="00384062"/>
    <w:rsid w:val="0039093D"/>
    <w:rsid w:val="00391212"/>
    <w:rsid w:val="003968AB"/>
    <w:rsid w:val="0039693B"/>
    <w:rsid w:val="00397B01"/>
    <w:rsid w:val="003A3BC9"/>
    <w:rsid w:val="003B55E1"/>
    <w:rsid w:val="003B6324"/>
    <w:rsid w:val="003B6EC0"/>
    <w:rsid w:val="003B7D18"/>
    <w:rsid w:val="003C0455"/>
    <w:rsid w:val="003D2B0D"/>
    <w:rsid w:val="003D2F2D"/>
    <w:rsid w:val="003D2F54"/>
    <w:rsid w:val="003E0546"/>
    <w:rsid w:val="003E0949"/>
    <w:rsid w:val="003E3A81"/>
    <w:rsid w:val="003E3DA5"/>
    <w:rsid w:val="003E4D4D"/>
    <w:rsid w:val="003F0FA3"/>
    <w:rsid w:val="00400A50"/>
    <w:rsid w:val="00401590"/>
    <w:rsid w:val="00410BFB"/>
    <w:rsid w:val="004116D9"/>
    <w:rsid w:val="00411B0B"/>
    <w:rsid w:val="00411C77"/>
    <w:rsid w:val="00422C94"/>
    <w:rsid w:val="00423400"/>
    <w:rsid w:val="00423FAD"/>
    <w:rsid w:val="004346C3"/>
    <w:rsid w:val="004416B7"/>
    <w:rsid w:val="00441D42"/>
    <w:rsid w:val="00441F20"/>
    <w:rsid w:val="00444941"/>
    <w:rsid w:val="00444E51"/>
    <w:rsid w:val="00444E68"/>
    <w:rsid w:val="0044744C"/>
    <w:rsid w:val="004507D8"/>
    <w:rsid w:val="004542EE"/>
    <w:rsid w:val="004545BA"/>
    <w:rsid w:val="00462453"/>
    <w:rsid w:val="00463E3D"/>
    <w:rsid w:val="004645AE"/>
    <w:rsid w:val="00482366"/>
    <w:rsid w:val="00492D56"/>
    <w:rsid w:val="00492DF7"/>
    <w:rsid w:val="00493E1D"/>
    <w:rsid w:val="0049687D"/>
    <w:rsid w:val="00496DB7"/>
    <w:rsid w:val="004A0111"/>
    <w:rsid w:val="004A210F"/>
    <w:rsid w:val="004B0706"/>
    <w:rsid w:val="004B359A"/>
    <w:rsid w:val="004C08B0"/>
    <w:rsid w:val="004C5C86"/>
    <w:rsid w:val="004D3E33"/>
    <w:rsid w:val="004D7EB1"/>
    <w:rsid w:val="004D7F8D"/>
    <w:rsid w:val="004E2C46"/>
    <w:rsid w:val="004E5EBD"/>
    <w:rsid w:val="004E77EF"/>
    <w:rsid w:val="004F152E"/>
    <w:rsid w:val="004F2597"/>
    <w:rsid w:val="005003D7"/>
    <w:rsid w:val="0050041B"/>
    <w:rsid w:val="00501065"/>
    <w:rsid w:val="00507723"/>
    <w:rsid w:val="005111C2"/>
    <w:rsid w:val="005124F0"/>
    <w:rsid w:val="0051457D"/>
    <w:rsid w:val="00514A93"/>
    <w:rsid w:val="00523616"/>
    <w:rsid w:val="00523703"/>
    <w:rsid w:val="00524B7B"/>
    <w:rsid w:val="005250F2"/>
    <w:rsid w:val="005277D3"/>
    <w:rsid w:val="005279F5"/>
    <w:rsid w:val="00530E21"/>
    <w:rsid w:val="00536957"/>
    <w:rsid w:val="0056201B"/>
    <w:rsid w:val="00562233"/>
    <w:rsid w:val="00564140"/>
    <w:rsid w:val="00565627"/>
    <w:rsid w:val="00571510"/>
    <w:rsid w:val="00573A4F"/>
    <w:rsid w:val="00587CF8"/>
    <w:rsid w:val="00595358"/>
    <w:rsid w:val="00596FEE"/>
    <w:rsid w:val="005974B3"/>
    <w:rsid w:val="005A0C91"/>
    <w:rsid w:val="005A1D84"/>
    <w:rsid w:val="005A3B8F"/>
    <w:rsid w:val="005A4EA5"/>
    <w:rsid w:val="005A70EA"/>
    <w:rsid w:val="005B625D"/>
    <w:rsid w:val="005B638F"/>
    <w:rsid w:val="005B6AD4"/>
    <w:rsid w:val="005B781A"/>
    <w:rsid w:val="005C0398"/>
    <w:rsid w:val="005C3963"/>
    <w:rsid w:val="005C3F98"/>
    <w:rsid w:val="005D1840"/>
    <w:rsid w:val="005D264C"/>
    <w:rsid w:val="005D2BAA"/>
    <w:rsid w:val="005D35E4"/>
    <w:rsid w:val="005D6062"/>
    <w:rsid w:val="005D619A"/>
    <w:rsid w:val="005D7910"/>
    <w:rsid w:val="005E40E8"/>
    <w:rsid w:val="005E7CDB"/>
    <w:rsid w:val="005F0D77"/>
    <w:rsid w:val="005F7404"/>
    <w:rsid w:val="00605C81"/>
    <w:rsid w:val="00613D39"/>
    <w:rsid w:val="00617568"/>
    <w:rsid w:val="0062154F"/>
    <w:rsid w:val="00627049"/>
    <w:rsid w:val="00630332"/>
    <w:rsid w:val="00631A8C"/>
    <w:rsid w:val="006374C6"/>
    <w:rsid w:val="006403EC"/>
    <w:rsid w:val="00644A06"/>
    <w:rsid w:val="0064759C"/>
    <w:rsid w:val="00647E18"/>
    <w:rsid w:val="00651CA2"/>
    <w:rsid w:val="00653D60"/>
    <w:rsid w:val="00660D05"/>
    <w:rsid w:val="0066595A"/>
    <w:rsid w:val="00665E04"/>
    <w:rsid w:val="00670923"/>
    <w:rsid w:val="00670ACF"/>
    <w:rsid w:val="00671D9A"/>
    <w:rsid w:val="006730B7"/>
    <w:rsid w:val="00673324"/>
    <w:rsid w:val="00673952"/>
    <w:rsid w:val="00675973"/>
    <w:rsid w:val="00681821"/>
    <w:rsid w:val="006820D8"/>
    <w:rsid w:val="00684142"/>
    <w:rsid w:val="00686C9D"/>
    <w:rsid w:val="006902B6"/>
    <w:rsid w:val="006B2D5B"/>
    <w:rsid w:val="006B5E73"/>
    <w:rsid w:val="006B7D14"/>
    <w:rsid w:val="006C2F9D"/>
    <w:rsid w:val="006C5A3E"/>
    <w:rsid w:val="006D5B93"/>
    <w:rsid w:val="006E13CD"/>
    <w:rsid w:val="006E23D6"/>
    <w:rsid w:val="006E4377"/>
    <w:rsid w:val="006E64C5"/>
    <w:rsid w:val="006F2595"/>
    <w:rsid w:val="00705DDB"/>
    <w:rsid w:val="00713D6C"/>
    <w:rsid w:val="007142DF"/>
    <w:rsid w:val="0071675D"/>
    <w:rsid w:val="00717921"/>
    <w:rsid w:val="00721B05"/>
    <w:rsid w:val="007220F3"/>
    <w:rsid w:val="00723639"/>
    <w:rsid w:val="00725813"/>
    <w:rsid w:val="00725A7D"/>
    <w:rsid w:val="00725BEE"/>
    <w:rsid w:val="0073085C"/>
    <w:rsid w:val="00732879"/>
    <w:rsid w:val="00733784"/>
    <w:rsid w:val="00733AC5"/>
    <w:rsid w:val="00737817"/>
    <w:rsid w:val="00743C58"/>
    <w:rsid w:val="00746505"/>
    <w:rsid w:val="0075197A"/>
    <w:rsid w:val="00751D68"/>
    <w:rsid w:val="00751F6C"/>
    <w:rsid w:val="007536E6"/>
    <w:rsid w:val="00753A59"/>
    <w:rsid w:val="007560C6"/>
    <w:rsid w:val="00762210"/>
    <w:rsid w:val="007824F0"/>
    <w:rsid w:val="00782DDC"/>
    <w:rsid w:val="00790BB3"/>
    <w:rsid w:val="00792043"/>
    <w:rsid w:val="00797EDD"/>
    <w:rsid w:val="007A177C"/>
    <w:rsid w:val="007A4243"/>
    <w:rsid w:val="007B0322"/>
    <w:rsid w:val="007B39AA"/>
    <w:rsid w:val="007B658A"/>
    <w:rsid w:val="007C0E3F"/>
    <w:rsid w:val="007C206C"/>
    <w:rsid w:val="007C5729"/>
    <w:rsid w:val="007D0036"/>
    <w:rsid w:val="007D4274"/>
    <w:rsid w:val="007D7365"/>
    <w:rsid w:val="007E4C93"/>
    <w:rsid w:val="00801700"/>
    <w:rsid w:val="00801C97"/>
    <w:rsid w:val="00801E82"/>
    <w:rsid w:val="008100FA"/>
    <w:rsid w:val="008111E4"/>
    <w:rsid w:val="0081301C"/>
    <w:rsid w:val="0081633B"/>
    <w:rsid w:val="00817DD6"/>
    <w:rsid w:val="00826C92"/>
    <w:rsid w:val="008327B7"/>
    <w:rsid w:val="00841C24"/>
    <w:rsid w:val="00844B28"/>
    <w:rsid w:val="0084523C"/>
    <w:rsid w:val="008476F0"/>
    <w:rsid w:val="00862445"/>
    <w:rsid w:val="008629A9"/>
    <w:rsid w:val="00862C47"/>
    <w:rsid w:val="00874206"/>
    <w:rsid w:val="008763B9"/>
    <w:rsid w:val="00877FCE"/>
    <w:rsid w:val="0088513A"/>
    <w:rsid w:val="00893C19"/>
    <w:rsid w:val="008A4E08"/>
    <w:rsid w:val="008A75F2"/>
    <w:rsid w:val="008B0995"/>
    <w:rsid w:val="008B1542"/>
    <w:rsid w:val="008B2A55"/>
    <w:rsid w:val="008C12CC"/>
    <w:rsid w:val="008D62A3"/>
    <w:rsid w:val="008D6C8D"/>
    <w:rsid w:val="008E222F"/>
    <w:rsid w:val="008E2B54"/>
    <w:rsid w:val="008E4404"/>
    <w:rsid w:val="008E4421"/>
    <w:rsid w:val="008E58C7"/>
    <w:rsid w:val="008E60CF"/>
    <w:rsid w:val="008E7C7D"/>
    <w:rsid w:val="008F5021"/>
    <w:rsid w:val="0090287F"/>
    <w:rsid w:val="00906983"/>
    <w:rsid w:val="0090788E"/>
    <w:rsid w:val="00910390"/>
    <w:rsid w:val="00912BEB"/>
    <w:rsid w:val="00915AF5"/>
    <w:rsid w:val="00923873"/>
    <w:rsid w:val="00924F38"/>
    <w:rsid w:val="00927378"/>
    <w:rsid w:val="00927F79"/>
    <w:rsid w:val="0093020D"/>
    <w:rsid w:val="009305EB"/>
    <w:rsid w:val="00933BF3"/>
    <w:rsid w:val="00936693"/>
    <w:rsid w:val="00936C26"/>
    <w:rsid w:val="009423A7"/>
    <w:rsid w:val="00943573"/>
    <w:rsid w:val="0094469C"/>
    <w:rsid w:val="00945F2D"/>
    <w:rsid w:val="0095480D"/>
    <w:rsid w:val="0096231C"/>
    <w:rsid w:val="0097191F"/>
    <w:rsid w:val="00971B61"/>
    <w:rsid w:val="009728A3"/>
    <w:rsid w:val="00974A37"/>
    <w:rsid w:val="00974C0C"/>
    <w:rsid w:val="00974C7C"/>
    <w:rsid w:val="00980C31"/>
    <w:rsid w:val="009813B8"/>
    <w:rsid w:val="0099030A"/>
    <w:rsid w:val="009955FF"/>
    <w:rsid w:val="009A6557"/>
    <w:rsid w:val="009B3176"/>
    <w:rsid w:val="009C160F"/>
    <w:rsid w:val="009C5702"/>
    <w:rsid w:val="009D12CA"/>
    <w:rsid w:val="009D259D"/>
    <w:rsid w:val="009D30EC"/>
    <w:rsid w:val="009D3B88"/>
    <w:rsid w:val="009D3E5E"/>
    <w:rsid w:val="009E35C4"/>
    <w:rsid w:val="009E51BF"/>
    <w:rsid w:val="009E59D5"/>
    <w:rsid w:val="009E6BF3"/>
    <w:rsid w:val="009F1000"/>
    <w:rsid w:val="009F290B"/>
    <w:rsid w:val="009F3A34"/>
    <w:rsid w:val="009F6F56"/>
    <w:rsid w:val="00A006C6"/>
    <w:rsid w:val="00A00E68"/>
    <w:rsid w:val="00A02231"/>
    <w:rsid w:val="00A02A47"/>
    <w:rsid w:val="00A1112B"/>
    <w:rsid w:val="00A11629"/>
    <w:rsid w:val="00A12F23"/>
    <w:rsid w:val="00A20097"/>
    <w:rsid w:val="00A20DD7"/>
    <w:rsid w:val="00A26564"/>
    <w:rsid w:val="00A30E49"/>
    <w:rsid w:val="00A31E5D"/>
    <w:rsid w:val="00A406F0"/>
    <w:rsid w:val="00A424B7"/>
    <w:rsid w:val="00A43F37"/>
    <w:rsid w:val="00A4483C"/>
    <w:rsid w:val="00A50D9D"/>
    <w:rsid w:val="00A5288D"/>
    <w:rsid w:val="00A53000"/>
    <w:rsid w:val="00A545C6"/>
    <w:rsid w:val="00A54926"/>
    <w:rsid w:val="00A60A81"/>
    <w:rsid w:val="00A615C7"/>
    <w:rsid w:val="00A652D0"/>
    <w:rsid w:val="00A66AC8"/>
    <w:rsid w:val="00A67A11"/>
    <w:rsid w:val="00A724D2"/>
    <w:rsid w:val="00A73C04"/>
    <w:rsid w:val="00A75F87"/>
    <w:rsid w:val="00A761E5"/>
    <w:rsid w:val="00A77B76"/>
    <w:rsid w:val="00A81B92"/>
    <w:rsid w:val="00A83351"/>
    <w:rsid w:val="00A87E11"/>
    <w:rsid w:val="00A90786"/>
    <w:rsid w:val="00A913F4"/>
    <w:rsid w:val="00A93C12"/>
    <w:rsid w:val="00A94FB5"/>
    <w:rsid w:val="00A95345"/>
    <w:rsid w:val="00A95D8B"/>
    <w:rsid w:val="00AA1468"/>
    <w:rsid w:val="00AA4EEF"/>
    <w:rsid w:val="00AB3246"/>
    <w:rsid w:val="00AB633C"/>
    <w:rsid w:val="00AC0270"/>
    <w:rsid w:val="00AC3CB3"/>
    <w:rsid w:val="00AC3EA3"/>
    <w:rsid w:val="00AC792D"/>
    <w:rsid w:val="00AD433E"/>
    <w:rsid w:val="00AD4B8D"/>
    <w:rsid w:val="00AE0A68"/>
    <w:rsid w:val="00AE490B"/>
    <w:rsid w:val="00AE4FCC"/>
    <w:rsid w:val="00AE7DE8"/>
    <w:rsid w:val="00AF1C94"/>
    <w:rsid w:val="00AF203D"/>
    <w:rsid w:val="00B10A25"/>
    <w:rsid w:val="00B1274B"/>
    <w:rsid w:val="00B14236"/>
    <w:rsid w:val="00B17327"/>
    <w:rsid w:val="00B20841"/>
    <w:rsid w:val="00B257F2"/>
    <w:rsid w:val="00B25CDB"/>
    <w:rsid w:val="00B26A92"/>
    <w:rsid w:val="00B45D84"/>
    <w:rsid w:val="00B5282D"/>
    <w:rsid w:val="00B52980"/>
    <w:rsid w:val="00B57CC9"/>
    <w:rsid w:val="00B57CD3"/>
    <w:rsid w:val="00B618FB"/>
    <w:rsid w:val="00B651C6"/>
    <w:rsid w:val="00B657B8"/>
    <w:rsid w:val="00B67306"/>
    <w:rsid w:val="00B80307"/>
    <w:rsid w:val="00B84920"/>
    <w:rsid w:val="00B8556A"/>
    <w:rsid w:val="00B86C86"/>
    <w:rsid w:val="00BA02E9"/>
    <w:rsid w:val="00BA4AD2"/>
    <w:rsid w:val="00BB4CDD"/>
    <w:rsid w:val="00BC1318"/>
    <w:rsid w:val="00BC660D"/>
    <w:rsid w:val="00BD3C93"/>
    <w:rsid w:val="00BD709F"/>
    <w:rsid w:val="00BF1A12"/>
    <w:rsid w:val="00BF678B"/>
    <w:rsid w:val="00C012A3"/>
    <w:rsid w:val="00C0628F"/>
    <w:rsid w:val="00C104B3"/>
    <w:rsid w:val="00C105A0"/>
    <w:rsid w:val="00C11A23"/>
    <w:rsid w:val="00C16F19"/>
    <w:rsid w:val="00C23A24"/>
    <w:rsid w:val="00C23F84"/>
    <w:rsid w:val="00C268B8"/>
    <w:rsid w:val="00C339AF"/>
    <w:rsid w:val="00C452D8"/>
    <w:rsid w:val="00C46667"/>
    <w:rsid w:val="00C502C8"/>
    <w:rsid w:val="00C5223A"/>
    <w:rsid w:val="00C52A7B"/>
    <w:rsid w:val="00C53D6F"/>
    <w:rsid w:val="00C6114E"/>
    <w:rsid w:val="00C6324C"/>
    <w:rsid w:val="00C65CFE"/>
    <w:rsid w:val="00C679AA"/>
    <w:rsid w:val="00C724CF"/>
    <w:rsid w:val="00C7584C"/>
    <w:rsid w:val="00C75972"/>
    <w:rsid w:val="00C760F9"/>
    <w:rsid w:val="00C76281"/>
    <w:rsid w:val="00C7729A"/>
    <w:rsid w:val="00C82792"/>
    <w:rsid w:val="00C9394D"/>
    <w:rsid w:val="00C948FD"/>
    <w:rsid w:val="00CA4FAD"/>
    <w:rsid w:val="00CB2312"/>
    <w:rsid w:val="00CB43D5"/>
    <w:rsid w:val="00CB4E92"/>
    <w:rsid w:val="00CB56DE"/>
    <w:rsid w:val="00CB57A5"/>
    <w:rsid w:val="00CC19C3"/>
    <w:rsid w:val="00CC1BB8"/>
    <w:rsid w:val="00CC261D"/>
    <w:rsid w:val="00CC57F9"/>
    <w:rsid w:val="00CC6D5E"/>
    <w:rsid w:val="00CC76F9"/>
    <w:rsid w:val="00CD066B"/>
    <w:rsid w:val="00CD12FC"/>
    <w:rsid w:val="00CD2737"/>
    <w:rsid w:val="00CD2B68"/>
    <w:rsid w:val="00CD46E2"/>
    <w:rsid w:val="00CD7B36"/>
    <w:rsid w:val="00CF1637"/>
    <w:rsid w:val="00CF3814"/>
    <w:rsid w:val="00CF6026"/>
    <w:rsid w:val="00CF7F95"/>
    <w:rsid w:val="00D00D0B"/>
    <w:rsid w:val="00D02BE6"/>
    <w:rsid w:val="00D02E17"/>
    <w:rsid w:val="00D04B69"/>
    <w:rsid w:val="00D100E4"/>
    <w:rsid w:val="00D101A2"/>
    <w:rsid w:val="00D1212D"/>
    <w:rsid w:val="00D15AFD"/>
    <w:rsid w:val="00D16BA4"/>
    <w:rsid w:val="00D245C9"/>
    <w:rsid w:val="00D3075C"/>
    <w:rsid w:val="00D331BB"/>
    <w:rsid w:val="00D35439"/>
    <w:rsid w:val="00D40B3B"/>
    <w:rsid w:val="00D42E72"/>
    <w:rsid w:val="00D523FE"/>
    <w:rsid w:val="00D537FA"/>
    <w:rsid w:val="00D54855"/>
    <w:rsid w:val="00D5547D"/>
    <w:rsid w:val="00D651BD"/>
    <w:rsid w:val="00D67151"/>
    <w:rsid w:val="00D757CB"/>
    <w:rsid w:val="00D80D99"/>
    <w:rsid w:val="00D9503C"/>
    <w:rsid w:val="00D96D2C"/>
    <w:rsid w:val="00D97A6A"/>
    <w:rsid w:val="00DA3390"/>
    <w:rsid w:val="00DA463C"/>
    <w:rsid w:val="00DA4AEF"/>
    <w:rsid w:val="00DB518C"/>
    <w:rsid w:val="00DD42DE"/>
    <w:rsid w:val="00DD6EA3"/>
    <w:rsid w:val="00DD73EF"/>
    <w:rsid w:val="00DE049E"/>
    <w:rsid w:val="00DE0793"/>
    <w:rsid w:val="00DE1CA6"/>
    <w:rsid w:val="00DE23E8"/>
    <w:rsid w:val="00DF1B73"/>
    <w:rsid w:val="00E0128B"/>
    <w:rsid w:val="00E0507B"/>
    <w:rsid w:val="00E07C17"/>
    <w:rsid w:val="00E131D5"/>
    <w:rsid w:val="00E259C3"/>
    <w:rsid w:val="00E27D7E"/>
    <w:rsid w:val="00E36A3B"/>
    <w:rsid w:val="00E423F4"/>
    <w:rsid w:val="00E46524"/>
    <w:rsid w:val="00E4656F"/>
    <w:rsid w:val="00E500E8"/>
    <w:rsid w:val="00E52F84"/>
    <w:rsid w:val="00E531C1"/>
    <w:rsid w:val="00E54E6C"/>
    <w:rsid w:val="00E64E17"/>
    <w:rsid w:val="00E67ADA"/>
    <w:rsid w:val="00E73C94"/>
    <w:rsid w:val="00E91EB2"/>
    <w:rsid w:val="00E97B95"/>
    <w:rsid w:val="00EA2967"/>
    <w:rsid w:val="00EA3D3C"/>
    <w:rsid w:val="00EB2776"/>
    <w:rsid w:val="00EC5431"/>
    <w:rsid w:val="00EC6313"/>
    <w:rsid w:val="00EC7CC3"/>
    <w:rsid w:val="00ED3240"/>
    <w:rsid w:val="00ED4BCB"/>
    <w:rsid w:val="00EE5E06"/>
    <w:rsid w:val="00EF15D7"/>
    <w:rsid w:val="00EF5567"/>
    <w:rsid w:val="00EF6700"/>
    <w:rsid w:val="00EF6F9B"/>
    <w:rsid w:val="00F00FAF"/>
    <w:rsid w:val="00F13036"/>
    <w:rsid w:val="00F20E62"/>
    <w:rsid w:val="00F2256E"/>
    <w:rsid w:val="00F235BC"/>
    <w:rsid w:val="00F239BB"/>
    <w:rsid w:val="00F31DF6"/>
    <w:rsid w:val="00F4207D"/>
    <w:rsid w:val="00F438BF"/>
    <w:rsid w:val="00F43D3D"/>
    <w:rsid w:val="00F46494"/>
    <w:rsid w:val="00F51ED8"/>
    <w:rsid w:val="00F558AB"/>
    <w:rsid w:val="00F55A0C"/>
    <w:rsid w:val="00F61D89"/>
    <w:rsid w:val="00F726C7"/>
    <w:rsid w:val="00F767AF"/>
    <w:rsid w:val="00F85E49"/>
    <w:rsid w:val="00F8643C"/>
    <w:rsid w:val="00F866DA"/>
    <w:rsid w:val="00F86ABB"/>
    <w:rsid w:val="00F911D5"/>
    <w:rsid w:val="00F95893"/>
    <w:rsid w:val="00FA24DE"/>
    <w:rsid w:val="00FA401F"/>
    <w:rsid w:val="00FA5CA7"/>
    <w:rsid w:val="00FB0C7F"/>
    <w:rsid w:val="00FC3589"/>
    <w:rsid w:val="00FC3BD0"/>
    <w:rsid w:val="00FC4E26"/>
    <w:rsid w:val="00FC6AAA"/>
    <w:rsid w:val="00FD019D"/>
    <w:rsid w:val="00FD1174"/>
    <w:rsid w:val="00FD1C19"/>
    <w:rsid w:val="00FD6F1C"/>
    <w:rsid w:val="00FD7648"/>
    <w:rsid w:val="00FE7DDA"/>
    <w:rsid w:val="00FF5514"/>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31339F"/>
    <w:rPr>
      <w:color w:val="605E5C"/>
      <w:shd w:val="clear" w:color="auto" w:fill="E1DFDD"/>
    </w:rPr>
  </w:style>
  <w:style w:type="paragraph" w:customStyle="1" w:styleId="EndNoteBibliographyTitle">
    <w:name w:val="EndNote Bibliography Title"/>
    <w:basedOn w:val="Normal"/>
    <w:link w:val="EndNoteBibliographyTitleChar"/>
    <w:rsid w:val="00AC3CB3"/>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AC3CB3"/>
    <w:rPr>
      <w:rFonts w:ascii="Times New Roman" w:hAnsi="Times New Roman" w:cs="Times New Roman"/>
      <w:sz w:val="24"/>
    </w:rPr>
  </w:style>
  <w:style w:type="paragraph" w:customStyle="1" w:styleId="EndNoteBibliography">
    <w:name w:val="EndNote Bibliography"/>
    <w:basedOn w:val="Normal"/>
    <w:link w:val="EndNoteBibliographyChar"/>
    <w:rsid w:val="00AC3CB3"/>
    <w:rPr>
      <w:rFonts w:cs="Times New Roman"/>
    </w:rPr>
  </w:style>
  <w:style w:type="character" w:customStyle="1" w:styleId="EndNoteBibliographyChar">
    <w:name w:val="EndNote Bibliography Char"/>
    <w:basedOn w:val="DefaultParagraphFont"/>
    <w:link w:val="EndNoteBibliography"/>
    <w:rsid w:val="00AC3CB3"/>
    <w:rPr>
      <w:rFonts w:ascii="Times New Roman" w:hAnsi="Times New Roman" w:cs="Times New Roman"/>
      <w:sz w:val="24"/>
    </w:rPr>
  </w:style>
  <w:style w:type="character" w:styleId="PageNumber">
    <w:name w:val="page number"/>
    <w:basedOn w:val="DefaultParagraphFont"/>
    <w:uiPriority w:val="99"/>
    <w:semiHidden/>
    <w:unhideWhenUsed/>
    <w:rsid w:val="00E5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B8E089-2401-FE4F-A36E-C0560397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8</TotalTime>
  <Pages>15</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2013-10-03T11:51:00Z</cp:lastPrinted>
  <dcterms:created xsi:type="dcterms:W3CDTF">2019-09-17T20:56:00Z</dcterms:created>
  <dcterms:modified xsi:type="dcterms:W3CDTF">2019-09-18T17:55:00Z</dcterms:modified>
</cp:coreProperties>
</file>