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CB" w:rsidRDefault="00DD43D1" w:rsidP="00823ECB">
      <w:pPr>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Supplementary </w:t>
      </w:r>
      <w:r w:rsidR="009A1A15">
        <w:rPr>
          <w:rFonts w:ascii="Times New Roman" w:hAnsi="Times New Roman" w:cs="Times New Roman"/>
          <w:b/>
          <w:sz w:val="24"/>
          <w:szCs w:val="24"/>
        </w:rPr>
        <w:t xml:space="preserve">Text </w:t>
      </w:r>
      <w:r w:rsidR="00823ECB">
        <w:rPr>
          <w:rFonts w:ascii="Times New Roman" w:hAnsi="Times New Roman" w:cs="Times New Roman"/>
          <w:sz w:val="24"/>
          <w:szCs w:val="24"/>
        </w:rPr>
        <w:t xml:space="preserve">for </w:t>
      </w:r>
    </w:p>
    <w:p w:rsidR="00823ECB" w:rsidRDefault="00823ECB" w:rsidP="00823ECB">
      <w:pPr>
        <w:jc w:val="center"/>
        <w:rPr>
          <w:rFonts w:ascii="Times New Roman" w:hAnsi="Times New Roman" w:cs="Times New Roman"/>
          <w:b/>
          <w:sz w:val="24"/>
          <w:szCs w:val="24"/>
        </w:rPr>
      </w:pPr>
      <w:r w:rsidRPr="00823ECB">
        <w:rPr>
          <w:rFonts w:ascii="Times New Roman" w:hAnsi="Times New Roman" w:cs="Times New Roman"/>
          <w:b/>
          <w:sz w:val="24"/>
          <w:szCs w:val="24"/>
        </w:rPr>
        <w:t xml:space="preserve">Hitting the Target but Missing the Mark: </w:t>
      </w:r>
      <w:r w:rsidR="00A66B70" w:rsidRPr="00A66B70">
        <w:rPr>
          <w:rFonts w:ascii="Times New Roman" w:hAnsi="Times New Roman" w:cs="Times New Roman"/>
          <w:b/>
          <w:sz w:val="24"/>
          <w:szCs w:val="24"/>
        </w:rPr>
        <w:t xml:space="preserve">Unintended </w:t>
      </w:r>
      <w:r w:rsidR="009A1A15">
        <w:rPr>
          <w:rFonts w:ascii="Times New Roman" w:hAnsi="Times New Roman" w:cs="Times New Roman"/>
          <w:b/>
          <w:sz w:val="24"/>
          <w:szCs w:val="24"/>
        </w:rPr>
        <w:t xml:space="preserve">Environmental </w:t>
      </w:r>
      <w:r w:rsidR="00A66B70" w:rsidRPr="00A66B70">
        <w:rPr>
          <w:rFonts w:ascii="Times New Roman" w:hAnsi="Times New Roman" w:cs="Times New Roman"/>
          <w:b/>
          <w:sz w:val="24"/>
          <w:szCs w:val="24"/>
        </w:rPr>
        <w:t>Consequences of the Paris Climate Agreement</w:t>
      </w:r>
    </w:p>
    <w:p w:rsidR="00823ECB" w:rsidRPr="00823ECB" w:rsidRDefault="00823ECB" w:rsidP="00823ECB">
      <w:pPr>
        <w:jc w:val="center"/>
        <w:rPr>
          <w:rFonts w:ascii="Times New Roman" w:hAnsi="Times New Roman" w:cs="Times New Roman"/>
          <w:sz w:val="24"/>
          <w:szCs w:val="24"/>
        </w:rPr>
      </w:pPr>
      <w:r w:rsidRPr="00823ECB">
        <w:rPr>
          <w:rFonts w:ascii="Times New Roman" w:hAnsi="Times New Roman" w:cs="Times New Roman"/>
          <w:sz w:val="24"/>
          <w:szCs w:val="24"/>
        </w:rPr>
        <w:t>Joseph Kiesecker</w:t>
      </w:r>
      <w:r w:rsidRPr="0024157F">
        <w:rPr>
          <w:rFonts w:ascii="Times New Roman" w:hAnsi="Times New Roman" w:cs="Times New Roman"/>
          <w:sz w:val="24"/>
          <w:szCs w:val="24"/>
          <w:vertAlign w:val="superscript"/>
        </w:rPr>
        <w:t>1</w:t>
      </w:r>
      <w:r w:rsidRPr="00823ECB">
        <w:rPr>
          <w:rFonts w:ascii="Times New Roman" w:hAnsi="Times New Roman" w:cs="Times New Roman"/>
          <w:sz w:val="24"/>
          <w:szCs w:val="24"/>
        </w:rPr>
        <w:t>*, Sharon Baruch-Mordo</w:t>
      </w:r>
      <w:r w:rsidRPr="0024157F">
        <w:rPr>
          <w:rFonts w:ascii="Times New Roman" w:hAnsi="Times New Roman" w:cs="Times New Roman"/>
          <w:sz w:val="24"/>
          <w:szCs w:val="24"/>
          <w:vertAlign w:val="superscript"/>
        </w:rPr>
        <w:t>1</w:t>
      </w:r>
      <w:r w:rsidRPr="00823ECB">
        <w:rPr>
          <w:rFonts w:ascii="Times New Roman" w:hAnsi="Times New Roman" w:cs="Times New Roman"/>
          <w:sz w:val="24"/>
          <w:szCs w:val="24"/>
        </w:rPr>
        <w:t>*, Christina M. Kennedy</w:t>
      </w:r>
      <w:r w:rsidRPr="0024157F">
        <w:rPr>
          <w:rFonts w:ascii="Times New Roman" w:hAnsi="Times New Roman" w:cs="Times New Roman"/>
          <w:sz w:val="24"/>
          <w:szCs w:val="24"/>
          <w:vertAlign w:val="superscript"/>
        </w:rPr>
        <w:t>1</w:t>
      </w:r>
      <w:r w:rsidRPr="00823ECB">
        <w:rPr>
          <w:rFonts w:ascii="Times New Roman" w:hAnsi="Times New Roman" w:cs="Times New Roman"/>
          <w:sz w:val="24"/>
          <w:szCs w:val="24"/>
        </w:rPr>
        <w:t>, James R. Oakleaf</w:t>
      </w:r>
      <w:r w:rsidRPr="0024157F">
        <w:rPr>
          <w:rFonts w:ascii="Times New Roman" w:hAnsi="Times New Roman" w:cs="Times New Roman"/>
          <w:sz w:val="24"/>
          <w:szCs w:val="24"/>
          <w:vertAlign w:val="superscript"/>
        </w:rPr>
        <w:t>1</w:t>
      </w:r>
      <w:r w:rsidRPr="00823ECB">
        <w:rPr>
          <w:rFonts w:ascii="Times New Roman" w:hAnsi="Times New Roman" w:cs="Times New Roman"/>
          <w:sz w:val="24"/>
          <w:szCs w:val="24"/>
        </w:rPr>
        <w:t xml:space="preserve">, </w:t>
      </w:r>
      <w:r w:rsidR="00C56037" w:rsidRPr="00C56037">
        <w:rPr>
          <w:rFonts w:ascii="Times New Roman" w:hAnsi="Times New Roman" w:cs="Times New Roman"/>
          <w:sz w:val="24"/>
          <w:szCs w:val="24"/>
        </w:rPr>
        <w:t>Alessandro Baccini</w:t>
      </w:r>
      <w:r w:rsidR="00C56037" w:rsidRPr="0024157F">
        <w:rPr>
          <w:rFonts w:ascii="Times New Roman" w:hAnsi="Times New Roman" w:cs="Times New Roman"/>
          <w:sz w:val="24"/>
          <w:szCs w:val="24"/>
          <w:vertAlign w:val="superscript"/>
        </w:rPr>
        <w:t>2</w:t>
      </w:r>
      <w:r w:rsidR="00C56037" w:rsidRPr="00C56037">
        <w:rPr>
          <w:rFonts w:ascii="Times New Roman" w:hAnsi="Times New Roman" w:cs="Times New Roman"/>
          <w:sz w:val="24"/>
          <w:szCs w:val="24"/>
        </w:rPr>
        <w:t>, Bronson W. Griscom</w:t>
      </w:r>
      <w:r w:rsidR="00C56037" w:rsidRPr="0024157F">
        <w:rPr>
          <w:rFonts w:ascii="Times New Roman" w:hAnsi="Times New Roman" w:cs="Times New Roman"/>
          <w:sz w:val="24"/>
          <w:szCs w:val="24"/>
          <w:vertAlign w:val="superscript"/>
        </w:rPr>
        <w:t>3</w:t>
      </w:r>
    </w:p>
    <w:p w:rsidR="00823ECB" w:rsidRDefault="00823ECB">
      <w:pPr>
        <w:rPr>
          <w:rFonts w:ascii="Times New Roman" w:hAnsi="Times New Roman" w:cs="Times New Roman"/>
          <w:sz w:val="24"/>
          <w:szCs w:val="24"/>
        </w:rPr>
      </w:pPr>
    </w:p>
    <w:p w:rsidR="00B70B49" w:rsidRPr="00823ECB" w:rsidRDefault="00975C6C">
      <w:pPr>
        <w:rPr>
          <w:rFonts w:ascii="Times New Roman" w:hAnsi="Times New Roman" w:cs="Times New Roman"/>
          <w:b/>
          <w:sz w:val="24"/>
          <w:szCs w:val="24"/>
        </w:rPr>
      </w:pPr>
      <w:r w:rsidRPr="00823ECB">
        <w:rPr>
          <w:rFonts w:ascii="Times New Roman" w:hAnsi="Times New Roman" w:cs="Times New Roman"/>
          <w:b/>
          <w:sz w:val="24"/>
          <w:szCs w:val="24"/>
        </w:rPr>
        <w:t>Procedures to calculate wind development footprint</w:t>
      </w:r>
    </w:p>
    <w:p w:rsidR="00975C6C" w:rsidRPr="00975C6C" w:rsidRDefault="00975C6C" w:rsidP="00975C6C">
      <w:pPr>
        <w:pStyle w:val="CommentText"/>
        <w:rPr>
          <w:rFonts w:ascii="Times New Roman" w:hAnsi="Times New Roman" w:cs="Times New Roman"/>
        </w:rPr>
      </w:pPr>
      <w:r w:rsidRPr="00975C6C">
        <w:rPr>
          <w:rFonts w:ascii="Times New Roman" w:hAnsi="Times New Roman" w:cs="Times New Roman"/>
        </w:rPr>
        <w:t xml:space="preserve">We adjusted the </w:t>
      </w:r>
      <w:r w:rsidR="001C1277">
        <w:rPr>
          <w:rFonts w:ascii="Times New Roman" w:hAnsi="Times New Roman" w:cs="Times New Roman"/>
        </w:rPr>
        <w:t xml:space="preserve">amount of </w:t>
      </w:r>
      <w:r w:rsidRPr="00975C6C">
        <w:rPr>
          <w:rFonts w:ascii="Times New Roman" w:hAnsi="Times New Roman" w:cs="Times New Roman"/>
        </w:rPr>
        <w:t>area converted for cells selected for wind development to represent the footprint from 10 3-MW rated capacity turbines, or 0.1 km</w:t>
      </w:r>
      <w:r w:rsidRPr="00207E27">
        <w:rPr>
          <w:rFonts w:ascii="Times New Roman" w:hAnsi="Times New Roman" w:cs="Times New Roman"/>
          <w:vertAlign w:val="superscript"/>
        </w:rPr>
        <w:t>2</w:t>
      </w:r>
      <w:r w:rsidRPr="00975C6C">
        <w:rPr>
          <w:rFonts w:ascii="Times New Roman" w:hAnsi="Times New Roman" w:cs="Times New Roman"/>
        </w:rPr>
        <w:t xml:space="preserve">. We chose 3-MW rated capacity as it </w:t>
      </w:r>
      <w:r w:rsidR="009A1A15">
        <w:rPr>
          <w:rFonts w:ascii="Times New Roman" w:hAnsi="Times New Roman" w:cs="Times New Roman"/>
        </w:rPr>
        <w:t xml:space="preserve">is </w:t>
      </w:r>
      <w:r w:rsidRPr="00975C6C">
        <w:rPr>
          <w:rFonts w:ascii="Times New Roman" w:hAnsi="Times New Roman" w:cs="Times New Roman"/>
        </w:rPr>
        <w:t>projected to be the most deployed wind turbine (</w:t>
      </w:r>
      <w:r w:rsidR="00DE0953">
        <w:rPr>
          <w:rFonts w:ascii="Times New Roman" w:hAnsi="Times New Roman" w:cs="Times New Roman"/>
        </w:rPr>
        <w:t>Wiser et al. 2016</w:t>
      </w:r>
      <w:r w:rsidRPr="00975C6C">
        <w:rPr>
          <w:rFonts w:ascii="Times New Roman" w:hAnsi="Times New Roman" w:cs="Times New Roman"/>
        </w:rPr>
        <w:t>), and we assumed 10 turbines can fit in a 1-km</w:t>
      </w:r>
      <w:r w:rsidRPr="00207E27">
        <w:rPr>
          <w:rFonts w:ascii="Times New Roman" w:hAnsi="Times New Roman" w:cs="Times New Roman"/>
          <w:vertAlign w:val="superscript"/>
        </w:rPr>
        <w:t>2</w:t>
      </w:r>
      <w:r w:rsidRPr="00975C6C">
        <w:rPr>
          <w:rFonts w:ascii="Times New Roman" w:hAnsi="Times New Roman" w:cs="Times New Roman"/>
        </w:rPr>
        <w:t xml:space="preserve"> cell based on reported mean nearest neighbor distance of ~340 m for 3-MW turbines (</w:t>
      </w:r>
      <w:proofErr w:type="spellStart"/>
      <w:r w:rsidRPr="00975C6C">
        <w:rPr>
          <w:rFonts w:ascii="Times New Roman" w:hAnsi="Times New Roman" w:cs="Times New Roman"/>
        </w:rPr>
        <w:t>Diffendorfer</w:t>
      </w:r>
      <w:proofErr w:type="spellEnd"/>
      <w:r w:rsidRPr="00975C6C">
        <w:rPr>
          <w:rFonts w:ascii="Times New Roman" w:hAnsi="Times New Roman" w:cs="Times New Roman"/>
        </w:rPr>
        <w:t xml:space="preserve"> </w:t>
      </w:r>
      <w:r w:rsidR="007775E8">
        <w:rPr>
          <w:rFonts w:ascii="Times New Roman" w:hAnsi="Times New Roman" w:cs="Times New Roman"/>
        </w:rPr>
        <w:t>and Compton 2014</w:t>
      </w:r>
      <w:r w:rsidRPr="00975C6C">
        <w:rPr>
          <w:rFonts w:ascii="Times New Roman" w:hAnsi="Times New Roman" w:cs="Times New Roman"/>
        </w:rPr>
        <w:t>).  We used half of the distance (170 m) as a radius to calculate the area around each turbine as 0.09 km</w:t>
      </w:r>
      <w:r w:rsidRPr="00207E27">
        <w:rPr>
          <w:rFonts w:ascii="Times New Roman" w:hAnsi="Times New Roman" w:cs="Times New Roman"/>
          <w:vertAlign w:val="superscript"/>
        </w:rPr>
        <w:t>2</w:t>
      </w:r>
      <w:r w:rsidRPr="00975C6C">
        <w:rPr>
          <w:rFonts w:ascii="Times New Roman" w:hAnsi="Times New Roman" w:cs="Times New Roman"/>
        </w:rPr>
        <w:t>, which implied a 1-km cell can hold ~10 3-MW turbines. Evans and Kiesecker</w:t>
      </w:r>
      <w:r w:rsidR="00823ECB">
        <w:rPr>
          <w:rFonts w:ascii="Times New Roman" w:hAnsi="Times New Roman" w:cs="Times New Roman"/>
        </w:rPr>
        <w:t xml:space="preserve"> (2014)</w:t>
      </w:r>
      <w:r w:rsidRPr="00975C6C">
        <w:rPr>
          <w:rFonts w:ascii="Times New Roman" w:hAnsi="Times New Roman" w:cs="Times New Roman"/>
        </w:rPr>
        <w:t xml:space="preserve"> estimated that </w:t>
      </w:r>
      <w:r w:rsidR="001C1277">
        <w:rPr>
          <w:rFonts w:ascii="Times New Roman" w:hAnsi="Times New Roman" w:cs="Times New Roman"/>
        </w:rPr>
        <w:t xml:space="preserve">wind </w:t>
      </w:r>
      <w:r w:rsidRPr="00975C6C">
        <w:rPr>
          <w:rFonts w:ascii="Times New Roman" w:hAnsi="Times New Roman" w:cs="Times New Roman"/>
        </w:rPr>
        <w:t xml:space="preserve">turbine footprint with </w:t>
      </w:r>
      <w:proofErr w:type="gramStart"/>
      <w:r w:rsidRPr="00975C6C">
        <w:rPr>
          <w:rFonts w:ascii="Times New Roman" w:hAnsi="Times New Roman" w:cs="Times New Roman"/>
        </w:rPr>
        <w:t>associated</w:t>
      </w:r>
      <w:proofErr w:type="gramEnd"/>
      <w:r w:rsidRPr="00975C6C">
        <w:rPr>
          <w:rFonts w:ascii="Times New Roman" w:hAnsi="Times New Roman" w:cs="Times New Roman"/>
        </w:rPr>
        <w:t xml:space="preserve"> infrastructure is 0.77 ha, which for 10 turbines will total 0.077 km</w:t>
      </w:r>
      <w:r w:rsidRPr="00207E27">
        <w:rPr>
          <w:rFonts w:ascii="Times New Roman" w:hAnsi="Times New Roman" w:cs="Times New Roman"/>
          <w:vertAlign w:val="superscript"/>
        </w:rPr>
        <w:t>2</w:t>
      </w:r>
      <w:r w:rsidRPr="00975C6C">
        <w:rPr>
          <w:rFonts w:ascii="Times New Roman" w:hAnsi="Times New Roman" w:cs="Times New Roman"/>
        </w:rPr>
        <w:t>.  Therefore we assumed the land area footprint for 10 3-MW turbines is roughly 0.1 km</w:t>
      </w:r>
      <w:r w:rsidRPr="00207E27">
        <w:rPr>
          <w:rFonts w:ascii="Times New Roman" w:hAnsi="Times New Roman" w:cs="Times New Roman"/>
          <w:vertAlign w:val="superscript"/>
        </w:rPr>
        <w:t>2</w:t>
      </w:r>
      <w:r w:rsidRPr="00975C6C">
        <w:rPr>
          <w:rFonts w:ascii="Times New Roman" w:hAnsi="Times New Roman" w:cs="Times New Roman"/>
        </w:rPr>
        <w:t>, and accordingly assumed only 10 % land convers</w:t>
      </w:r>
      <w:r w:rsidR="001C1277">
        <w:rPr>
          <w:rFonts w:ascii="Times New Roman" w:hAnsi="Times New Roman" w:cs="Times New Roman"/>
        </w:rPr>
        <w:t>ion</w:t>
      </w:r>
      <w:r w:rsidRPr="00975C6C">
        <w:rPr>
          <w:rFonts w:ascii="Times New Roman" w:hAnsi="Times New Roman" w:cs="Times New Roman"/>
        </w:rPr>
        <w:t xml:space="preserve"> for cells allocated to wind energy.</w:t>
      </w:r>
    </w:p>
    <w:p w:rsidR="00975C6C" w:rsidRPr="00975C6C" w:rsidRDefault="00975C6C" w:rsidP="00975C6C">
      <w:pPr>
        <w:pStyle w:val="CommentText"/>
        <w:rPr>
          <w:rFonts w:ascii="Times New Roman" w:hAnsi="Times New Roman" w:cs="Times New Roman"/>
        </w:rPr>
      </w:pPr>
    </w:p>
    <w:p w:rsidR="00975C6C" w:rsidRDefault="00975C6C" w:rsidP="00975C6C">
      <w:pPr>
        <w:pStyle w:val="CommentText"/>
        <w:rPr>
          <w:rFonts w:ascii="Times New Roman" w:eastAsia="MS Mincho" w:hAnsi="Times New Roman" w:cs="Times New Roman"/>
          <w:b/>
        </w:rPr>
      </w:pPr>
      <w:r w:rsidRPr="00823ECB">
        <w:rPr>
          <w:rFonts w:ascii="Times New Roman" w:hAnsi="Times New Roman" w:cs="Times New Roman"/>
          <w:b/>
        </w:rPr>
        <w:t>Procedures to calculate differences in life cycle emission factors (</w:t>
      </w:r>
      <w:proofErr w:type="spellStart"/>
      <w:r w:rsidRPr="00823ECB">
        <w:rPr>
          <w:rFonts w:ascii="Times New Roman" w:eastAsia="MS Mincho" w:hAnsi="Times New Roman" w:cs="Times New Roman"/>
          <w:b/>
          <w:i/>
        </w:rPr>
        <w:t>lce</w:t>
      </w:r>
      <w:r w:rsidRPr="00823ECB">
        <w:rPr>
          <w:rFonts w:ascii="Times New Roman" w:eastAsia="MS Mincho" w:hAnsi="Times New Roman" w:cs="Times New Roman"/>
          <w:b/>
          <w:i/>
          <w:vertAlign w:val="subscript"/>
        </w:rPr>
        <w:t>s</w:t>
      </w:r>
      <w:proofErr w:type="spellEnd"/>
      <w:r w:rsidRPr="00823ECB">
        <w:rPr>
          <w:rFonts w:ascii="Times New Roman" w:eastAsia="MS Mincho" w:hAnsi="Times New Roman" w:cs="Times New Roman"/>
          <w:b/>
        </w:rPr>
        <w:t>)</w:t>
      </w:r>
    </w:p>
    <w:p w:rsidR="00823ECB" w:rsidRDefault="00823ECB" w:rsidP="00975C6C">
      <w:pPr>
        <w:pStyle w:val="CommentText"/>
        <w:rPr>
          <w:rFonts w:ascii="Times New Roman" w:eastAsia="MS Mincho" w:hAnsi="Times New Roman" w:cs="Times New Roman"/>
          <w:b/>
        </w:rPr>
      </w:pPr>
    </w:p>
    <w:p w:rsidR="00823ECB" w:rsidRPr="00A31A28" w:rsidRDefault="00823ECB" w:rsidP="00975C6C">
      <w:pPr>
        <w:pStyle w:val="CommentText"/>
        <w:rPr>
          <w:rFonts w:ascii="Times New Roman" w:eastAsia="MS Mincho" w:hAnsi="Times New Roman" w:cs="Times New Roman"/>
        </w:rPr>
      </w:pPr>
      <w:r>
        <w:rPr>
          <w:rFonts w:ascii="Times New Roman" w:eastAsia="MS Mincho" w:hAnsi="Times New Roman" w:cs="Times New Roman"/>
        </w:rPr>
        <w:t xml:space="preserve">We calculated for each renewable energy sector </w:t>
      </w:r>
      <w:r>
        <w:rPr>
          <w:rFonts w:ascii="Times New Roman" w:eastAsia="MS Mincho" w:hAnsi="Times New Roman" w:cs="Times New Roman"/>
          <w:i/>
        </w:rPr>
        <w:t>s</w:t>
      </w:r>
      <w:r>
        <w:rPr>
          <w:rFonts w:ascii="Times New Roman" w:eastAsia="MS Mincho" w:hAnsi="Times New Roman" w:cs="Times New Roman"/>
        </w:rPr>
        <w:t xml:space="preserve">, its average difference in life cycle emission factors </w:t>
      </w:r>
      <w:r w:rsidR="00CA3222" w:rsidRPr="00CA3222">
        <w:rPr>
          <w:rFonts w:ascii="Times New Roman" w:eastAsia="MS Mincho" w:hAnsi="Times New Roman" w:cs="Times New Roman"/>
        </w:rPr>
        <w:t>(</w:t>
      </w:r>
      <w:proofErr w:type="spellStart"/>
      <w:r w:rsidR="004F7E50">
        <w:rPr>
          <w:rFonts w:ascii="Times New Roman" w:eastAsia="MS Mincho" w:hAnsi="Times New Roman" w:cs="Times New Roman"/>
        </w:rPr>
        <w:t>Δ</w:t>
      </w:r>
      <w:r w:rsidR="00CA3222" w:rsidRPr="00CA3222">
        <w:rPr>
          <w:rFonts w:ascii="Times New Roman" w:eastAsia="MS Mincho" w:hAnsi="Times New Roman" w:cs="Times New Roman"/>
          <w:i/>
        </w:rPr>
        <w:t>lce</w:t>
      </w:r>
      <w:r w:rsidR="00CA3222" w:rsidRPr="00CA3222">
        <w:rPr>
          <w:rFonts w:ascii="Times New Roman" w:eastAsia="MS Mincho" w:hAnsi="Times New Roman" w:cs="Times New Roman"/>
          <w:i/>
          <w:vertAlign w:val="subscript"/>
        </w:rPr>
        <w:t>s</w:t>
      </w:r>
      <w:proofErr w:type="spellEnd"/>
      <w:r w:rsidR="00CA3222" w:rsidRPr="00CA3222">
        <w:rPr>
          <w:rFonts w:ascii="Times New Roman" w:eastAsia="MS Mincho" w:hAnsi="Times New Roman" w:cs="Times New Roman"/>
        </w:rPr>
        <w:t>)</w:t>
      </w:r>
      <w:r w:rsidR="00CA3222">
        <w:rPr>
          <w:rFonts w:ascii="Times New Roman" w:eastAsia="MS Mincho" w:hAnsi="Times New Roman" w:cs="Times New Roman"/>
        </w:rPr>
        <w:t xml:space="preserve"> </w:t>
      </w:r>
      <w:r>
        <w:rPr>
          <w:rFonts w:ascii="Times New Roman" w:eastAsia="MS Mincho" w:hAnsi="Times New Roman" w:cs="Times New Roman"/>
        </w:rPr>
        <w:t xml:space="preserve">with </w:t>
      </w:r>
      <w:r w:rsidR="00D65D45">
        <w:rPr>
          <w:rFonts w:ascii="Times New Roman" w:eastAsia="MS Mincho" w:hAnsi="Times New Roman" w:cs="Times New Roman"/>
        </w:rPr>
        <w:t xml:space="preserve">the </w:t>
      </w:r>
      <w:r>
        <w:rPr>
          <w:rFonts w:ascii="Times New Roman" w:eastAsia="MS Mincho" w:hAnsi="Times New Roman" w:cs="Times New Roman"/>
        </w:rPr>
        <w:t>fossil fuel sectors of coal, gas and oil.</w:t>
      </w:r>
      <w:r w:rsidR="00964D29">
        <w:rPr>
          <w:rFonts w:ascii="Times New Roman" w:eastAsia="MS Mincho" w:hAnsi="Times New Roman" w:cs="Times New Roman"/>
        </w:rPr>
        <w:t xml:space="preserve"> While oil represented only 1% of electricity and heat production in 2014</w:t>
      </w:r>
      <w:r w:rsidR="00173AC8">
        <w:rPr>
          <w:rFonts w:ascii="Times New Roman" w:eastAsia="MS Mincho" w:hAnsi="Times New Roman" w:cs="Times New Roman"/>
        </w:rPr>
        <w:t xml:space="preserve"> (IEA 2017)</w:t>
      </w:r>
      <w:r w:rsidR="00964D29">
        <w:rPr>
          <w:rFonts w:ascii="Times New Roman" w:eastAsia="MS Mincho" w:hAnsi="Times New Roman" w:cs="Times New Roman"/>
        </w:rPr>
        <w:t xml:space="preserve">, and </w:t>
      </w:r>
      <w:r w:rsidR="00D65D45">
        <w:rPr>
          <w:rFonts w:ascii="Times New Roman" w:eastAsia="MS Mincho" w:hAnsi="Times New Roman" w:cs="Times New Roman"/>
        </w:rPr>
        <w:t xml:space="preserve">in general it represented a low proportion of </w:t>
      </w:r>
      <w:r w:rsidR="00964D29">
        <w:rPr>
          <w:rFonts w:ascii="Times New Roman" w:eastAsia="MS Mincho" w:hAnsi="Times New Roman" w:cs="Times New Roman"/>
        </w:rPr>
        <w:t>countries</w:t>
      </w:r>
      <w:r w:rsidR="00D65D45">
        <w:rPr>
          <w:rFonts w:ascii="Times New Roman" w:eastAsia="MS Mincho" w:hAnsi="Times New Roman" w:cs="Times New Roman"/>
        </w:rPr>
        <w:t>’</w:t>
      </w:r>
      <w:r w:rsidR="00964D29">
        <w:rPr>
          <w:rFonts w:ascii="Times New Roman" w:eastAsia="MS Mincho" w:hAnsi="Times New Roman" w:cs="Times New Roman"/>
        </w:rPr>
        <w:t xml:space="preserve"> energy portfolios </w:t>
      </w:r>
      <w:r w:rsidR="00D65D45">
        <w:rPr>
          <w:rFonts w:ascii="Times New Roman" w:eastAsia="MS Mincho" w:hAnsi="Times New Roman" w:cs="Times New Roman"/>
        </w:rPr>
        <w:t xml:space="preserve">(median across countries with </w:t>
      </w:r>
      <w:r w:rsidR="00964D29">
        <w:rPr>
          <w:rFonts w:ascii="Times New Roman" w:eastAsia="MS Mincho" w:hAnsi="Times New Roman" w:cs="Times New Roman"/>
        </w:rPr>
        <w:t>data 1.8 %), for some countries, e.g., Gibraltar</w:t>
      </w:r>
      <w:r w:rsidR="00D65D45">
        <w:rPr>
          <w:rFonts w:ascii="Times New Roman" w:eastAsia="MS Mincho" w:hAnsi="Times New Roman" w:cs="Times New Roman"/>
        </w:rPr>
        <w:t xml:space="preserve"> (100%), Benin (99%), Malta (97%), Jamaica (90%), etc., oil was the primary source for electricity and heat production. Therefore we included it as a source of emissions and included its differences </w:t>
      </w:r>
      <w:r w:rsidR="00173AC8">
        <w:rPr>
          <w:rFonts w:ascii="Times New Roman" w:eastAsia="MS Mincho" w:hAnsi="Times New Roman" w:cs="Times New Roman"/>
        </w:rPr>
        <w:t>in</w:t>
      </w:r>
      <w:r w:rsidR="00D65D45">
        <w:rPr>
          <w:rFonts w:ascii="Times New Roman" w:eastAsia="MS Mincho" w:hAnsi="Times New Roman" w:cs="Times New Roman"/>
        </w:rPr>
        <w:t xml:space="preserve"> </w:t>
      </w:r>
      <w:proofErr w:type="spellStart"/>
      <w:r w:rsidR="00D65D45">
        <w:rPr>
          <w:rFonts w:ascii="Times New Roman" w:eastAsia="MS Mincho" w:hAnsi="Times New Roman" w:cs="Times New Roman"/>
        </w:rPr>
        <w:t>Δ</w:t>
      </w:r>
      <w:r w:rsidR="00D65D45" w:rsidRPr="00CA3222">
        <w:rPr>
          <w:rFonts w:ascii="Times New Roman" w:eastAsia="MS Mincho" w:hAnsi="Times New Roman" w:cs="Times New Roman"/>
          <w:i/>
        </w:rPr>
        <w:t>lce</w:t>
      </w:r>
      <w:r w:rsidR="00D65D45" w:rsidRPr="00CA3222">
        <w:rPr>
          <w:rFonts w:ascii="Times New Roman" w:eastAsia="MS Mincho" w:hAnsi="Times New Roman" w:cs="Times New Roman"/>
          <w:i/>
          <w:vertAlign w:val="subscript"/>
        </w:rPr>
        <w:t>s</w:t>
      </w:r>
      <w:proofErr w:type="spellEnd"/>
      <w:r w:rsidR="00D65D45">
        <w:rPr>
          <w:rFonts w:ascii="Times New Roman" w:eastAsia="MS Mincho" w:hAnsi="Times New Roman" w:cs="Times New Roman"/>
          <w:vertAlign w:val="subscript"/>
        </w:rPr>
        <w:t>.</w:t>
      </w:r>
      <w:r w:rsidR="00D65D45">
        <w:rPr>
          <w:rFonts w:ascii="Times New Roman" w:eastAsia="MS Mincho" w:hAnsi="Times New Roman" w:cs="Times New Roman"/>
        </w:rPr>
        <w:t xml:space="preserve"> </w:t>
      </w:r>
      <w:r>
        <w:rPr>
          <w:rFonts w:ascii="Times New Roman" w:eastAsia="MS Mincho" w:hAnsi="Times New Roman" w:cs="Times New Roman"/>
        </w:rPr>
        <w:t>The International Panel of Climate Change (IPCC</w:t>
      </w:r>
      <w:r w:rsidR="00CA3222">
        <w:rPr>
          <w:rFonts w:ascii="Times New Roman" w:eastAsia="MS Mincho" w:hAnsi="Times New Roman" w:cs="Times New Roman"/>
        </w:rPr>
        <w:t xml:space="preserve">; </w:t>
      </w:r>
      <w:proofErr w:type="spellStart"/>
      <w:r w:rsidR="00CA3222">
        <w:rPr>
          <w:rFonts w:ascii="Times New Roman" w:eastAsia="MS Mincho" w:hAnsi="Times New Roman" w:cs="Times New Roman"/>
        </w:rPr>
        <w:t>Moomaw</w:t>
      </w:r>
      <w:proofErr w:type="spellEnd"/>
      <w:r w:rsidR="00CA3222">
        <w:rPr>
          <w:rFonts w:ascii="Times New Roman" w:eastAsia="MS Mincho" w:hAnsi="Times New Roman" w:cs="Times New Roman"/>
        </w:rPr>
        <w:t xml:space="preserve"> </w:t>
      </w:r>
      <w:proofErr w:type="gramStart"/>
      <w:r w:rsidR="00CA3222">
        <w:rPr>
          <w:rFonts w:ascii="Times New Roman" w:eastAsia="MS Mincho" w:hAnsi="Times New Roman" w:cs="Times New Roman"/>
        </w:rPr>
        <w:t>et</w:t>
      </w:r>
      <w:proofErr w:type="gramEnd"/>
      <w:r w:rsidR="00CA3222">
        <w:rPr>
          <w:rFonts w:ascii="Times New Roman" w:eastAsia="MS Mincho" w:hAnsi="Times New Roman" w:cs="Times New Roman"/>
        </w:rPr>
        <w:t xml:space="preserve"> el. 2011</w:t>
      </w:r>
      <w:r w:rsidR="00484F44">
        <w:rPr>
          <w:rFonts w:ascii="Times New Roman" w:eastAsia="MS Mincho" w:hAnsi="Times New Roman" w:cs="Times New Roman"/>
        </w:rPr>
        <w:t xml:space="preserve">; </w:t>
      </w:r>
      <w:proofErr w:type="spellStart"/>
      <w:r w:rsidR="00CA3222">
        <w:rPr>
          <w:rFonts w:ascii="Times New Roman" w:eastAsia="MS Mincho" w:hAnsi="Times New Roman" w:cs="Times New Roman"/>
        </w:rPr>
        <w:t>Schl</w:t>
      </w:r>
      <w:r w:rsidR="007775E8">
        <w:rPr>
          <w:rFonts w:ascii="Times New Roman" w:eastAsia="MS Mincho" w:hAnsi="Times New Roman" w:cs="Times New Roman"/>
        </w:rPr>
        <w:t>ö</w:t>
      </w:r>
      <w:r w:rsidR="00CA3222">
        <w:rPr>
          <w:rFonts w:ascii="Times New Roman" w:eastAsia="MS Mincho" w:hAnsi="Times New Roman" w:cs="Times New Roman"/>
        </w:rPr>
        <w:t>mer</w:t>
      </w:r>
      <w:proofErr w:type="spellEnd"/>
      <w:r w:rsidR="00CA3222">
        <w:rPr>
          <w:rFonts w:ascii="Times New Roman" w:eastAsia="MS Mincho" w:hAnsi="Times New Roman" w:cs="Times New Roman"/>
        </w:rPr>
        <w:t xml:space="preserve"> et al. 2014</w:t>
      </w:r>
      <w:r>
        <w:rPr>
          <w:rFonts w:ascii="Times New Roman" w:eastAsia="MS Mincho" w:hAnsi="Times New Roman" w:cs="Times New Roman"/>
        </w:rPr>
        <w:t xml:space="preserve">) </w:t>
      </w:r>
      <w:r w:rsidR="00CA3222">
        <w:rPr>
          <w:rFonts w:ascii="Times New Roman" w:eastAsia="MS Mincho" w:hAnsi="Times New Roman" w:cs="Times New Roman"/>
        </w:rPr>
        <w:t>estimated the median lifecycle emission factors in gCO</w:t>
      </w:r>
      <w:r w:rsidR="00CA3222" w:rsidRPr="006C40D8">
        <w:rPr>
          <w:rFonts w:ascii="Times New Roman" w:eastAsia="MS Mincho" w:hAnsi="Times New Roman" w:cs="Times New Roman"/>
          <w:vertAlign w:val="subscript"/>
        </w:rPr>
        <w:t>2</w:t>
      </w:r>
      <w:r w:rsidR="00CA3222">
        <w:rPr>
          <w:rFonts w:ascii="Times New Roman" w:eastAsia="MS Mincho" w:hAnsi="Times New Roman" w:cs="Times New Roman"/>
        </w:rPr>
        <w:t xml:space="preserve">/kWh as 840, </w:t>
      </w:r>
      <w:r w:rsidR="004F7E50">
        <w:rPr>
          <w:rFonts w:ascii="Times New Roman" w:eastAsia="MS Mincho" w:hAnsi="Times New Roman" w:cs="Times New Roman"/>
        </w:rPr>
        <w:t>820</w:t>
      </w:r>
      <w:r w:rsidR="00CA3222">
        <w:rPr>
          <w:rFonts w:ascii="Times New Roman" w:eastAsia="MS Mincho" w:hAnsi="Times New Roman" w:cs="Times New Roman"/>
        </w:rPr>
        <w:t xml:space="preserve">, and </w:t>
      </w:r>
      <w:r w:rsidR="004F7E50">
        <w:rPr>
          <w:rFonts w:ascii="Times New Roman" w:eastAsia="MS Mincho" w:hAnsi="Times New Roman" w:cs="Times New Roman"/>
        </w:rPr>
        <w:t xml:space="preserve">490 </w:t>
      </w:r>
      <w:r w:rsidR="00CA3222">
        <w:rPr>
          <w:rFonts w:ascii="Times New Roman" w:eastAsia="MS Mincho" w:hAnsi="Times New Roman" w:cs="Times New Roman"/>
        </w:rPr>
        <w:t>for oil, coal, and gas, respectively. Onshore wind was estimated as 11 gCO</w:t>
      </w:r>
      <w:r w:rsidR="00CA3222" w:rsidRPr="006C40D8">
        <w:rPr>
          <w:rFonts w:ascii="Times New Roman" w:eastAsia="MS Mincho" w:hAnsi="Times New Roman" w:cs="Times New Roman"/>
          <w:vertAlign w:val="subscript"/>
        </w:rPr>
        <w:t>2</w:t>
      </w:r>
      <w:r w:rsidR="00CA3222">
        <w:rPr>
          <w:rFonts w:ascii="Times New Roman" w:eastAsia="MS Mincho" w:hAnsi="Times New Roman" w:cs="Times New Roman"/>
        </w:rPr>
        <w:t>/kWh, concentrated solar power (CSP)</w:t>
      </w:r>
      <w:r w:rsidR="00CA3222" w:rsidRPr="00CA3222">
        <w:rPr>
          <w:rFonts w:ascii="Times New Roman" w:eastAsia="MS Mincho" w:hAnsi="Times New Roman" w:cs="Times New Roman"/>
        </w:rPr>
        <w:t xml:space="preserve"> </w:t>
      </w:r>
      <w:r w:rsidR="00CA3222">
        <w:rPr>
          <w:rFonts w:ascii="Times New Roman" w:eastAsia="MS Mincho" w:hAnsi="Times New Roman" w:cs="Times New Roman"/>
        </w:rPr>
        <w:t>as 27 gCO</w:t>
      </w:r>
      <w:r w:rsidR="00CA3222" w:rsidRPr="006C40D8">
        <w:rPr>
          <w:rFonts w:ascii="Times New Roman" w:eastAsia="MS Mincho" w:hAnsi="Times New Roman" w:cs="Times New Roman"/>
          <w:vertAlign w:val="subscript"/>
        </w:rPr>
        <w:t>2</w:t>
      </w:r>
      <w:r w:rsidR="00CA3222">
        <w:rPr>
          <w:rFonts w:ascii="Times New Roman" w:eastAsia="MS Mincho" w:hAnsi="Times New Roman" w:cs="Times New Roman"/>
        </w:rPr>
        <w:t>/kWh, and utility-scale solar photovoltaic (PV) as 48 gCO</w:t>
      </w:r>
      <w:r w:rsidR="00CA3222" w:rsidRPr="006C40D8">
        <w:rPr>
          <w:rFonts w:ascii="Times New Roman" w:eastAsia="MS Mincho" w:hAnsi="Times New Roman" w:cs="Times New Roman"/>
          <w:vertAlign w:val="subscript"/>
        </w:rPr>
        <w:t>2</w:t>
      </w:r>
      <w:r w:rsidR="00CA3222">
        <w:rPr>
          <w:rFonts w:ascii="Times New Roman" w:eastAsia="MS Mincho" w:hAnsi="Times New Roman" w:cs="Times New Roman"/>
        </w:rPr>
        <w:t xml:space="preserve">/kWh. For each renewable energy sector, we calculated its difference with oil, coal, and gas, and then averaged the results to </w:t>
      </w:r>
      <w:r w:rsidR="001F598C">
        <w:rPr>
          <w:rFonts w:ascii="Times New Roman" w:eastAsia="MS Mincho" w:hAnsi="Times New Roman" w:cs="Times New Roman"/>
        </w:rPr>
        <w:t xml:space="preserve">calculate </w:t>
      </w:r>
      <w:proofErr w:type="spellStart"/>
      <w:r w:rsidR="004F7E50">
        <w:rPr>
          <w:rFonts w:ascii="Times New Roman" w:eastAsia="MS Mincho" w:hAnsi="Times New Roman" w:cs="Times New Roman"/>
        </w:rPr>
        <w:t>Δ</w:t>
      </w:r>
      <w:r w:rsidR="00CA3222" w:rsidRPr="00CA3222">
        <w:rPr>
          <w:rFonts w:ascii="Times New Roman" w:eastAsia="MS Mincho" w:hAnsi="Times New Roman" w:cs="Times New Roman"/>
          <w:i/>
        </w:rPr>
        <w:t>lce</w:t>
      </w:r>
      <w:r w:rsidR="00CA3222" w:rsidRPr="00CA3222">
        <w:rPr>
          <w:rFonts w:ascii="Times New Roman" w:eastAsia="MS Mincho" w:hAnsi="Times New Roman" w:cs="Times New Roman"/>
          <w:i/>
          <w:vertAlign w:val="subscript"/>
        </w:rPr>
        <w:t>s</w:t>
      </w:r>
      <w:proofErr w:type="spellEnd"/>
      <w:r w:rsidR="00CA3222">
        <w:rPr>
          <w:rFonts w:ascii="Times New Roman" w:eastAsia="MS Mincho" w:hAnsi="Times New Roman" w:cs="Times New Roman"/>
        </w:rPr>
        <w:t>. For example for wind, differences with oil, coal, and gas were 829, 809, 479</w:t>
      </w:r>
      <w:r w:rsidR="006C40D8">
        <w:rPr>
          <w:rFonts w:ascii="Times New Roman" w:eastAsia="MS Mincho" w:hAnsi="Times New Roman" w:cs="Times New Roman"/>
        </w:rPr>
        <w:t xml:space="preserve">, which averaged </w:t>
      </w:r>
      <w:proofErr w:type="gramStart"/>
      <w:r w:rsidR="006C40D8">
        <w:rPr>
          <w:rFonts w:ascii="Times New Roman" w:eastAsia="MS Mincho" w:hAnsi="Times New Roman" w:cs="Times New Roman"/>
        </w:rPr>
        <w:t>to</w:t>
      </w:r>
      <w:r w:rsidR="005E3F26">
        <w:rPr>
          <w:rFonts w:ascii="Times New Roman" w:eastAsia="MS Mincho" w:hAnsi="Times New Roman" w:cs="Times New Roman"/>
        </w:rPr>
        <w:t xml:space="preserve"> </w:t>
      </w:r>
      <w:r w:rsidR="006C40D8">
        <w:rPr>
          <w:rFonts w:ascii="Times New Roman" w:eastAsia="MS Mincho" w:hAnsi="Times New Roman" w:cs="Times New Roman"/>
        </w:rPr>
        <w:t>706</w:t>
      </w:r>
      <w:r w:rsidR="006C40D8" w:rsidRPr="006C40D8">
        <w:rPr>
          <w:rFonts w:ascii="Times New Roman" w:eastAsia="MS Mincho" w:hAnsi="Times New Roman" w:cs="Times New Roman"/>
        </w:rPr>
        <w:t xml:space="preserve"> </w:t>
      </w:r>
      <w:r w:rsidR="006C40D8">
        <w:rPr>
          <w:rFonts w:ascii="Times New Roman" w:eastAsia="MS Mincho" w:hAnsi="Times New Roman" w:cs="Times New Roman"/>
        </w:rPr>
        <w:t>gCO</w:t>
      </w:r>
      <w:r w:rsidR="006C40D8" w:rsidRPr="006C40D8">
        <w:rPr>
          <w:rFonts w:ascii="Times New Roman" w:eastAsia="MS Mincho" w:hAnsi="Times New Roman" w:cs="Times New Roman"/>
          <w:vertAlign w:val="subscript"/>
        </w:rPr>
        <w:t>2</w:t>
      </w:r>
      <w:r w:rsidR="006C40D8">
        <w:rPr>
          <w:rFonts w:ascii="Times New Roman" w:eastAsia="MS Mincho" w:hAnsi="Times New Roman" w:cs="Times New Roman"/>
        </w:rPr>
        <w:t>/kWh,</w:t>
      </w:r>
      <w:proofErr w:type="gramEnd"/>
      <w:r w:rsidR="006C40D8">
        <w:rPr>
          <w:rFonts w:ascii="Times New Roman" w:eastAsia="MS Mincho" w:hAnsi="Times New Roman" w:cs="Times New Roman"/>
        </w:rPr>
        <w:t xml:space="preserve"> </w:t>
      </w:r>
      <w:r w:rsidR="00D23B58">
        <w:rPr>
          <w:rFonts w:ascii="Times New Roman" w:eastAsia="MS Mincho" w:hAnsi="Times New Roman" w:cs="Times New Roman"/>
        </w:rPr>
        <w:t xml:space="preserve">or </w:t>
      </w:r>
      <w:r w:rsidR="006C40D8">
        <w:rPr>
          <w:rFonts w:ascii="Times New Roman" w:eastAsia="MS Mincho" w:hAnsi="Times New Roman" w:cs="Times New Roman"/>
        </w:rPr>
        <w:t xml:space="preserve">the value we used for </w:t>
      </w:r>
      <w:proofErr w:type="spellStart"/>
      <w:r w:rsidR="004F7E50">
        <w:rPr>
          <w:rFonts w:ascii="Times New Roman" w:eastAsia="MS Mincho" w:hAnsi="Times New Roman" w:cs="Times New Roman"/>
        </w:rPr>
        <w:t>Δ</w:t>
      </w:r>
      <w:r w:rsidR="006C40D8" w:rsidRPr="00CA3222">
        <w:rPr>
          <w:rFonts w:ascii="Times New Roman" w:eastAsia="MS Mincho" w:hAnsi="Times New Roman" w:cs="Times New Roman"/>
          <w:i/>
        </w:rPr>
        <w:t>lce</w:t>
      </w:r>
      <w:r w:rsidR="006C40D8" w:rsidRPr="006C40D8">
        <w:rPr>
          <w:rFonts w:ascii="Times New Roman" w:eastAsia="MS Mincho" w:hAnsi="Times New Roman" w:cs="Times New Roman"/>
          <w:i/>
          <w:vertAlign w:val="subscript"/>
        </w:rPr>
        <w:t>wind</w:t>
      </w:r>
      <w:proofErr w:type="spellEnd"/>
      <w:r w:rsidR="006C40D8">
        <w:rPr>
          <w:rFonts w:ascii="Times New Roman" w:eastAsia="MS Mincho" w:hAnsi="Times New Roman" w:cs="Times New Roman"/>
        </w:rPr>
        <w:t xml:space="preserve">. </w:t>
      </w:r>
      <w:r w:rsidR="00D23B58">
        <w:rPr>
          <w:rFonts w:ascii="Times New Roman" w:eastAsia="MS Mincho" w:hAnsi="Times New Roman" w:cs="Times New Roman"/>
        </w:rPr>
        <w:t xml:space="preserve">We similarly calculated </w:t>
      </w:r>
      <w:proofErr w:type="spellStart"/>
      <w:r w:rsidR="004F7E50">
        <w:rPr>
          <w:rFonts w:ascii="Times New Roman" w:eastAsia="MS Mincho" w:hAnsi="Times New Roman" w:cs="Times New Roman"/>
        </w:rPr>
        <w:t>Δ</w:t>
      </w:r>
      <w:r w:rsidR="00D23B58" w:rsidRPr="00CA3222">
        <w:rPr>
          <w:rFonts w:ascii="Times New Roman" w:eastAsia="MS Mincho" w:hAnsi="Times New Roman" w:cs="Times New Roman"/>
          <w:i/>
        </w:rPr>
        <w:t>lce</w:t>
      </w:r>
      <w:r w:rsidR="00D23B58">
        <w:rPr>
          <w:rFonts w:ascii="Times New Roman" w:eastAsia="MS Mincho" w:hAnsi="Times New Roman" w:cs="Times New Roman"/>
          <w:i/>
          <w:vertAlign w:val="subscript"/>
        </w:rPr>
        <w:t>csp</w:t>
      </w:r>
      <w:proofErr w:type="spellEnd"/>
      <w:r w:rsidR="00D23B58">
        <w:rPr>
          <w:rFonts w:ascii="Times New Roman" w:eastAsia="MS Mincho" w:hAnsi="Times New Roman" w:cs="Times New Roman"/>
        </w:rPr>
        <w:t xml:space="preserve"> as 699, </w:t>
      </w:r>
      <w:proofErr w:type="spellStart"/>
      <w:r w:rsidR="004F7E50">
        <w:rPr>
          <w:rFonts w:ascii="Times New Roman" w:eastAsia="MS Mincho" w:hAnsi="Times New Roman" w:cs="Times New Roman"/>
        </w:rPr>
        <w:t>Δ</w:t>
      </w:r>
      <w:r w:rsidR="00D23B58" w:rsidRPr="00CA3222">
        <w:rPr>
          <w:rFonts w:ascii="Times New Roman" w:eastAsia="MS Mincho" w:hAnsi="Times New Roman" w:cs="Times New Roman"/>
          <w:i/>
        </w:rPr>
        <w:t>lce</w:t>
      </w:r>
      <w:r w:rsidR="00D23B58">
        <w:rPr>
          <w:rFonts w:ascii="Times New Roman" w:eastAsia="MS Mincho" w:hAnsi="Times New Roman" w:cs="Times New Roman"/>
          <w:i/>
          <w:vertAlign w:val="subscript"/>
        </w:rPr>
        <w:t>utility-scale_pv</w:t>
      </w:r>
      <w:proofErr w:type="spellEnd"/>
      <w:r w:rsidR="00D23B58">
        <w:rPr>
          <w:rFonts w:ascii="Times New Roman" w:eastAsia="MS Mincho" w:hAnsi="Times New Roman" w:cs="Times New Roman"/>
        </w:rPr>
        <w:t xml:space="preserve">  as 669, and </w:t>
      </w:r>
      <w:proofErr w:type="spellStart"/>
      <w:r w:rsidR="004F7E50">
        <w:rPr>
          <w:rFonts w:ascii="Times New Roman" w:eastAsia="MS Mincho" w:hAnsi="Times New Roman" w:cs="Times New Roman"/>
        </w:rPr>
        <w:t>Δ</w:t>
      </w:r>
      <w:r w:rsidR="00D23B58" w:rsidRPr="00CA3222">
        <w:rPr>
          <w:rFonts w:ascii="Times New Roman" w:eastAsia="MS Mincho" w:hAnsi="Times New Roman" w:cs="Times New Roman"/>
          <w:i/>
        </w:rPr>
        <w:t>lce</w:t>
      </w:r>
      <w:r w:rsidR="00D23B58">
        <w:rPr>
          <w:rFonts w:ascii="Times New Roman" w:eastAsia="MS Mincho" w:hAnsi="Times New Roman" w:cs="Times New Roman"/>
          <w:i/>
          <w:vertAlign w:val="subscript"/>
        </w:rPr>
        <w:t>rooftop</w:t>
      </w:r>
      <w:r w:rsidR="001F598C">
        <w:rPr>
          <w:rFonts w:ascii="Times New Roman" w:eastAsia="MS Mincho" w:hAnsi="Times New Roman" w:cs="Times New Roman"/>
          <w:i/>
          <w:vertAlign w:val="subscript"/>
        </w:rPr>
        <w:t>_</w:t>
      </w:r>
      <w:r w:rsidR="00D23B58">
        <w:rPr>
          <w:rFonts w:ascii="Times New Roman" w:eastAsia="MS Mincho" w:hAnsi="Times New Roman" w:cs="Times New Roman"/>
          <w:i/>
          <w:vertAlign w:val="subscript"/>
        </w:rPr>
        <w:t>pv</w:t>
      </w:r>
      <w:proofErr w:type="spellEnd"/>
      <w:r w:rsidR="00D23B58">
        <w:rPr>
          <w:rFonts w:ascii="Times New Roman" w:eastAsia="MS Mincho" w:hAnsi="Times New Roman" w:cs="Times New Roman"/>
        </w:rPr>
        <w:t xml:space="preserve"> as 676 gCO</w:t>
      </w:r>
      <w:r w:rsidR="00D23B58" w:rsidRPr="006C40D8">
        <w:rPr>
          <w:rFonts w:ascii="Times New Roman" w:eastAsia="MS Mincho" w:hAnsi="Times New Roman" w:cs="Times New Roman"/>
          <w:vertAlign w:val="subscript"/>
        </w:rPr>
        <w:t>2</w:t>
      </w:r>
      <w:r w:rsidR="00D23B58">
        <w:rPr>
          <w:rFonts w:ascii="Times New Roman" w:eastAsia="MS Mincho" w:hAnsi="Times New Roman" w:cs="Times New Roman"/>
        </w:rPr>
        <w:t xml:space="preserve">/kWh, and for each cell </w:t>
      </w:r>
      <w:r w:rsidR="00DE0953">
        <w:rPr>
          <w:rFonts w:ascii="Times New Roman" w:eastAsia="MS Mincho" w:hAnsi="Times New Roman" w:cs="Times New Roman"/>
        </w:rPr>
        <w:t xml:space="preserve">we then </w:t>
      </w:r>
      <w:r w:rsidR="00D23B58">
        <w:rPr>
          <w:rFonts w:ascii="Times New Roman" w:eastAsia="MS Mincho" w:hAnsi="Times New Roman" w:cs="Times New Roman"/>
        </w:rPr>
        <w:t xml:space="preserve">calculated the number of years </w:t>
      </w:r>
      <w:r w:rsidR="00EE2469" w:rsidRPr="00EE2469">
        <w:rPr>
          <w:rFonts w:ascii="Times New Roman" w:eastAsia="MS Mincho" w:hAnsi="Times New Roman" w:cs="Times New Roman"/>
        </w:rPr>
        <w:t>(</w:t>
      </w:r>
      <w:proofErr w:type="spellStart"/>
      <w:r w:rsidR="00EE2469" w:rsidRPr="00EE2469">
        <w:rPr>
          <w:rFonts w:ascii="Times New Roman" w:eastAsia="MS Mincho" w:hAnsi="Times New Roman" w:cs="Times New Roman"/>
          <w:i/>
        </w:rPr>
        <w:t>yr</w:t>
      </w:r>
      <w:r w:rsidR="00EE2469" w:rsidRPr="00EE2469">
        <w:rPr>
          <w:rFonts w:ascii="Times New Roman" w:eastAsia="MS Mincho" w:hAnsi="Times New Roman" w:cs="Times New Roman"/>
          <w:i/>
          <w:vertAlign w:val="subscript"/>
        </w:rPr>
        <w:t>i</w:t>
      </w:r>
      <w:proofErr w:type="spellEnd"/>
      <w:r w:rsidR="00EE2469" w:rsidRPr="00EE2469">
        <w:rPr>
          <w:rFonts w:ascii="Times New Roman" w:eastAsia="MS Mincho" w:hAnsi="Times New Roman" w:cs="Times New Roman"/>
        </w:rPr>
        <w:t xml:space="preserve">) </w:t>
      </w:r>
      <w:r w:rsidR="00D23B58">
        <w:rPr>
          <w:rFonts w:ascii="Times New Roman" w:eastAsia="MS Mincho" w:hAnsi="Times New Roman" w:cs="Times New Roman"/>
        </w:rPr>
        <w:t xml:space="preserve">to repay carbon deficits based on the </w:t>
      </w:r>
      <w:r w:rsidR="00615418">
        <w:rPr>
          <w:rFonts w:ascii="Times New Roman" w:eastAsia="MS Mincho" w:hAnsi="Times New Roman" w:cs="Times New Roman"/>
        </w:rPr>
        <w:t xml:space="preserve">renewable energy </w:t>
      </w:r>
      <w:r w:rsidR="00D23B58">
        <w:rPr>
          <w:rFonts w:ascii="Times New Roman" w:eastAsia="MS Mincho" w:hAnsi="Times New Roman" w:cs="Times New Roman"/>
        </w:rPr>
        <w:t>sector that was sited in that cell. Finally</w:t>
      </w:r>
      <w:r w:rsidR="00EE2469">
        <w:rPr>
          <w:rFonts w:ascii="Times New Roman" w:eastAsia="MS Mincho" w:hAnsi="Times New Roman" w:cs="Times New Roman"/>
        </w:rPr>
        <w:t>,</w:t>
      </w:r>
      <w:r w:rsidR="00D23B58">
        <w:rPr>
          <w:rFonts w:ascii="Times New Roman" w:eastAsia="MS Mincho" w:hAnsi="Times New Roman" w:cs="Times New Roman"/>
        </w:rPr>
        <w:t xml:space="preserve"> w</w:t>
      </w:r>
      <w:r w:rsidR="006C40D8">
        <w:rPr>
          <w:rFonts w:ascii="Times New Roman" w:eastAsia="MS Mincho" w:hAnsi="Times New Roman" w:cs="Times New Roman"/>
        </w:rPr>
        <w:t xml:space="preserve">e </w:t>
      </w:r>
      <w:r w:rsidR="00D23B58">
        <w:rPr>
          <w:rFonts w:ascii="Times New Roman" w:eastAsia="MS Mincho" w:hAnsi="Times New Roman" w:cs="Times New Roman"/>
        </w:rPr>
        <w:t xml:space="preserve">note that </w:t>
      </w:r>
      <w:r w:rsidR="00EE2469">
        <w:rPr>
          <w:rFonts w:ascii="Times New Roman" w:eastAsia="MS Mincho" w:hAnsi="Times New Roman" w:cs="Times New Roman"/>
        </w:rPr>
        <w:t xml:space="preserve">for final calculations of </w:t>
      </w:r>
      <w:proofErr w:type="spellStart"/>
      <w:r w:rsidR="00EE2469" w:rsidRPr="00EE2469">
        <w:rPr>
          <w:rFonts w:ascii="Times New Roman" w:eastAsia="MS Mincho" w:hAnsi="Times New Roman" w:cs="Times New Roman"/>
          <w:i/>
        </w:rPr>
        <w:t>yr</w:t>
      </w:r>
      <w:r w:rsidR="00EE2469" w:rsidRPr="00EE2469">
        <w:rPr>
          <w:rFonts w:ascii="Times New Roman" w:eastAsia="MS Mincho" w:hAnsi="Times New Roman" w:cs="Times New Roman"/>
          <w:i/>
          <w:vertAlign w:val="subscript"/>
        </w:rPr>
        <w:t>i</w:t>
      </w:r>
      <w:proofErr w:type="spellEnd"/>
      <w:r w:rsidR="00EE2469">
        <w:rPr>
          <w:rFonts w:ascii="Times New Roman" w:eastAsia="MS Mincho" w:hAnsi="Times New Roman" w:cs="Times New Roman"/>
        </w:rPr>
        <w:t xml:space="preserve">, </w:t>
      </w:r>
      <w:r w:rsidR="005E3F26">
        <w:rPr>
          <w:rFonts w:ascii="Times New Roman" w:eastAsia="MS Mincho" w:hAnsi="Times New Roman" w:cs="Times New Roman"/>
        </w:rPr>
        <w:t xml:space="preserve">we </w:t>
      </w:r>
      <w:r w:rsidR="007775E8">
        <w:rPr>
          <w:rFonts w:ascii="Times New Roman" w:eastAsia="MS Mincho" w:hAnsi="Times New Roman" w:cs="Times New Roman"/>
        </w:rPr>
        <w:t xml:space="preserve">redefined </w:t>
      </w:r>
      <w:proofErr w:type="spellStart"/>
      <w:r w:rsidR="007775E8">
        <w:rPr>
          <w:rFonts w:ascii="Times New Roman" w:eastAsia="MS Mincho" w:hAnsi="Times New Roman" w:cs="Times New Roman"/>
        </w:rPr>
        <w:t>Δ</w:t>
      </w:r>
      <w:r w:rsidR="007775E8" w:rsidRPr="00CA3222">
        <w:rPr>
          <w:rFonts w:ascii="Times New Roman" w:eastAsia="MS Mincho" w:hAnsi="Times New Roman" w:cs="Times New Roman"/>
          <w:i/>
        </w:rPr>
        <w:t>lce</w:t>
      </w:r>
      <w:r w:rsidR="007775E8" w:rsidRPr="00CA3222">
        <w:rPr>
          <w:rFonts w:ascii="Times New Roman" w:eastAsia="MS Mincho" w:hAnsi="Times New Roman" w:cs="Times New Roman"/>
          <w:i/>
          <w:vertAlign w:val="subscript"/>
        </w:rPr>
        <w:t>s</w:t>
      </w:r>
      <w:proofErr w:type="spellEnd"/>
      <w:r w:rsidR="007775E8">
        <w:rPr>
          <w:rFonts w:ascii="Times New Roman" w:eastAsia="MS Mincho" w:hAnsi="Times New Roman" w:cs="Times New Roman"/>
        </w:rPr>
        <w:t xml:space="preserve"> to be its inverse, i.e., from gCO</w:t>
      </w:r>
      <w:r w:rsidR="007775E8" w:rsidRPr="006C40D8">
        <w:rPr>
          <w:rFonts w:ascii="Times New Roman" w:eastAsia="MS Mincho" w:hAnsi="Times New Roman" w:cs="Times New Roman"/>
          <w:vertAlign w:val="subscript"/>
        </w:rPr>
        <w:t>2</w:t>
      </w:r>
      <w:r w:rsidR="007775E8">
        <w:rPr>
          <w:rFonts w:ascii="Times New Roman" w:eastAsia="MS Mincho" w:hAnsi="Times New Roman" w:cs="Times New Roman"/>
        </w:rPr>
        <w:t>/kWh to kWh/gCO</w:t>
      </w:r>
      <w:r w:rsidR="007775E8" w:rsidRPr="00A31A28">
        <w:rPr>
          <w:rFonts w:ascii="Times New Roman" w:eastAsia="MS Mincho" w:hAnsi="Times New Roman" w:cs="Times New Roman"/>
          <w:vertAlign w:val="subscript"/>
        </w:rPr>
        <w:t>2</w:t>
      </w:r>
      <w:r w:rsidR="007775E8">
        <w:rPr>
          <w:rFonts w:ascii="Times New Roman" w:eastAsia="MS Mincho" w:hAnsi="Times New Roman" w:cs="Times New Roman"/>
        </w:rPr>
        <w:t xml:space="preserve">, which </w:t>
      </w:r>
      <w:r w:rsidR="00D23B58">
        <w:rPr>
          <w:rFonts w:ascii="Times New Roman" w:eastAsia="MS Mincho" w:hAnsi="Times New Roman" w:cs="Times New Roman"/>
        </w:rPr>
        <w:t xml:space="preserve">we </w:t>
      </w:r>
      <w:r w:rsidR="006C40D8">
        <w:rPr>
          <w:rFonts w:ascii="Times New Roman" w:eastAsia="MS Mincho" w:hAnsi="Times New Roman" w:cs="Times New Roman"/>
        </w:rPr>
        <w:t xml:space="preserve">multiplied by </w:t>
      </w:r>
      <w:r w:rsidR="001F598C">
        <w:rPr>
          <w:rFonts w:ascii="Times New Roman" w:eastAsia="MS Mincho" w:hAnsi="Times New Roman" w:cs="Times New Roman"/>
        </w:rPr>
        <w:t xml:space="preserve">conversion </w:t>
      </w:r>
      <w:r w:rsidR="006C40D8">
        <w:rPr>
          <w:rFonts w:ascii="Times New Roman" w:eastAsia="MS Mincho" w:hAnsi="Times New Roman" w:cs="Times New Roman"/>
        </w:rPr>
        <w:t>factor</w:t>
      </w:r>
      <w:r w:rsidR="001F598C">
        <w:rPr>
          <w:rFonts w:ascii="Times New Roman" w:eastAsia="MS Mincho" w:hAnsi="Times New Roman" w:cs="Times New Roman"/>
        </w:rPr>
        <w:t>s</w:t>
      </w:r>
      <w:r w:rsidR="006C40D8">
        <w:rPr>
          <w:rFonts w:ascii="Times New Roman" w:eastAsia="MS Mincho" w:hAnsi="Times New Roman" w:cs="Times New Roman"/>
        </w:rPr>
        <w:t xml:space="preserve"> of 10</w:t>
      </w:r>
      <w:r w:rsidR="006C40D8" w:rsidRPr="006C40D8">
        <w:rPr>
          <w:rFonts w:ascii="Times New Roman" w:eastAsia="MS Mincho" w:hAnsi="Times New Roman" w:cs="Times New Roman"/>
          <w:vertAlign w:val="superscript"/>
        </w:rPr>
        <w:t>12</w:t>
      </w:r>
      <w:r w:rsidR="006C40D8">
        <w:rPr>
          <w:rFonts w:ascii="Times New Roman" w:eastAsia="MS Mincho" w:hAnsi="Times New Roman" w:cs="Times New Roman"/>
        </w:rPr>
        <w:t xml:space="preserve"> g/Mt and 1/1000 MW/kW to obtained final estimates of </w:t>
      </w:r>
      <w:proofErr w:type="spellStart"/>
      <w:r w:rsidR="004F7E50">
        <w:rPr>
          <w:rFonts w:ascii="Times New Roman" w:eastAsia="MS Mincho" w:hAnsi="Times New Roman" w:cs="Times New Roman"/>
        </w:rPr>
        <w:t>Δ</w:t>
      </w:r>
      <w:r w:rsidR="006C40D8" w:rsidRPr="00CA3222">
        <w:rPr>
          <w:rFonts w:ascii="Times New Roman" w:eastAsia="MS Mincho" w:hAnsi="Times New Roman" w:cs="Times New Roman"/>
          <w:i/>
        </w:rPr>
        <w:t>lce</w:t>
      </w:r>
      <w:r w:rsidR="006C40D8" w:rsidRPr="00CA3222">
        <w:rPr>
          <w:rFonts w:ascii="Times New Roman" w:eastAsia="MS Mincho" w:hAnsi="Times New Roman" w:cs="Times New Roman"/>
          <w:i/>
          <w:vertAlign w:val="subscript"/>
        </w:rPr>
        <w:t>s</w:t>
      </w:r>
      <w:proofErr w:type="spellEnd"/>
      <w:r w:rsidR="006C40D8">
        <w:rPr>
          <w:rFonts w:ascii="Times New Roman" w:eastAsia="MS Mincho" w:hAnsi="Times New Roman" w:cs="Times New Roman"/>
          <w:i/>
          <w:vertAlign w:val="subscript"/>
        </w:rPr>
        <w:t xml:space="preserve"> </w:t>
      </w:r>
      <w:r w:rsidR="006C40D8">
        <w:rPr>
          <w:rFonts w:ascii="Times New Roman" w:eastAsia="MS Mincho" w:hAnsi="Times New Roman" w:cs="Times New Roman"/>
        </w:rPr>
        <w:t>in MtCO</w:t>
      </w:r>
      <w:r w:rsidR="006C40D8" w:rsidRPr="006C40D8">
        <w:rPr>
          <w:rFonts w:ascii="Times New Roman" w:eastAsia="MS Mincho" w:hAnsi="Times New Roman" w:cs="Times New Roman"/>
          <w:vertAlign w:val="subscript"/>
        </w:rPr>
        <w:t>2</w:t>
      </w:r>
      <w:r w:rsidR="006C40D8">
        <w:rPr>
          <w:rFonts w:ascii="Times New Roman" w:eastAsia="MS Mincho" w:hAnsi="Times New Roman" w:cs="Times New Roman"/>
        </w:rPr>
        <w:t>/MWh.</w:t>
      </w:r>
    </w:p>
    <w:p w:rsidR="00AA1F3E" w:rsidRDefault="00AA1F3E" w:rsidP="00AA1F3E">
      <w:pPr>
        <w:widowControl w:val="0"/>
        <w:spacing w:after="0" w:line="240" w:lineRule="auto"/>
        <w:ind w:firstLine="720"/>
        <w:rPr>
          <w:rFonts w:ascii="Times New Roman" w:hAnsi="Times New Roman" w:cs="Times New Roman"/>
          <w:sz w:val="24"/>
          <w:szCs w:val="24"/>
        </w:rPr>
      </w:pPr>
    </w:p>
    <w:p w:rsidR="007775E8" w:rsidRDefault="007775E8">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SUPPLEMENTARY FIGURES</w:t>
      </w:r>
    </w:p>
    <w:p w:rsidR="0005701D" w:rsidRDefault="0005701D" w:rsidP="0005701D">
      <w:r>
        <w:rPr>
          <w:noProof/>
        </w:rPr>
        <w:drawing>
          <wp:inline distT="0" distB="0" distL="0" distR="0" wp14:anchorId="6C3EF2A9" wp14:editId="45F03D4C">
            <wp:extent cx="5943600" cy="4455795"/>
            <wp:effectExtent l="0" t="0" r="0" b="1905"/>
            <wp:docPr id="3" name="Picture 3" descr="C:\Users\sharonbm\Documents\Renewal energy\consequences ms\figures_april_2019\figure SIx kba percentages explanation SGP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onbm\Documents\Renewal energy\consequences ms\figures_april_2019\figure SIx kba percentages explanation SGP_revis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5795"/>
                    </a:xfrm>
                    <a:prstGeom prst="rect">
                      <a:avLst/>
                    </a:prstGeom>
                    <a:noFill/>
                    <a:ln>
                      <a:noFill/>
                    </a:ln>
                  </pic:spPr>
                </pic:pic>
              </a:graphicData>
            </a:graphic>
          </wp:inline>
        </w:drawing>
      </w:r>
    </w:p>
    <w:p w:rsidR="0005701D" w:rsidRPr="005E478A" w:rsidRDefault="0005701D" w:rsidP="0005701D">
      <w:pPr>
        <w:rPr>
          <w:rFonts w:ascii="Times New Roman" w:hAnsi="Times New Roman" w:cs="Times New Roman"/>
          <w:sz w:val="24"/>
          <w:szCs w:val="24"/>
        </w:rPr>
      </w:pPr>
      <w:r w:rsidRPr="00A12C70">
        <w:rPr>
          <w:rFonts w:ascii="Times New Roman" w:hAnsi="Times New Roman" w:cs="Times New Roman"/>
          <w:b/>
          <w:sz w:val="24"/>
          <w:szCs w:val="24"/>
        </w:rPr>
        <w:t>Figure S1.</w:t>
      </w:r>
      <w:r w:rsidRPr="005E478A">
        <w:rPr>
          <w:rFonts w:ascii="Times New Roman" w:hAnsi="Times New Roman" w:cs="Times New Roman"/>
          <w:sz w:val="24"/>
          <w:szCs w:val="24"/>
        </w:rPr>
        <w:t xml:space="preserve"> – Example calculation of median percent area potential loss of the three KBAs in Singapore. Each KBA’s area loss (dark brown) was calculated based on the overlap between KBA (green) and the impacted cells under an unrestricted renewable energy development in which development is sited where wind and solar resources are the highest (grey). For the country of Singapore we reported the median loss across all impacted KBAs as the median of 13.61, 14.28, and 26.98%, which was 14.28%. </w:t>
      </w:r>
    </w:p>
    <w:p w:rsidR="0005701D" w:rsidRPr="005E478A" w:rsidRDefault="0005701D" w:rsidP="0005701D">
      <w:pPr>
        <w:rPr>
          <w:rFonts w:ascii="Times New Roman" w:hAnsi="Times New Roman" w:cs="Times New Roman"/>
          <w:sz w:val="24"/>
          <w:szCs w:val="24"/>
        </w:rPr>
      </w:pPr>
      <w:r w:rsidRPr="005E478A">
        <w:rPr>
          <w:rFonts w:ascii="Times New Roman" w:hAnsi="Times New Roman" w:cs="Times New Roman"/>
          <w:sz w:val="24"/>
          <w:szCs w:val="24"/>
        </w:rPr>
        <w:br w:type="page"/>
      </w:r>
    </w:p>
    <w:p w:rsidR="0005701D" w:rsidRPr="005E478A" w:rsidRDefault="0005701D" w:rsidP="0005701D">
      <w:pPr>
        <w:rPr>
          <w:rFonts w:ascii="Times New Roman" w:eastAsia="MS Mincho" w:hAnsi="Times New Roman" w:cs="Times New Roman"/>
          <w:sz w:val="24"/>
          <w:szCs w:val="24"/>
          <w:vertAlign w:val="subscript"/>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26072365" wp14:editId="7AE59E79">
                <wp:simplePos x="0" y="0"/>
                <wp:positionH relativeFrom="column">
                  <wp:posOffset>1460500</wp:posOffset>
                </wp:positionH>
                <wp:positionV relativeFrom="paragraph">
                  <wp:posOffset>2303780</wp:posOffset>
                </wp:positionV>
                <wp:extent cx="165100" cy="165100"/>
                <wp:effectExtent l="0" t="0" r="6350" b="6350"/>
                <wp:wrapNone/>
                <wp:docPr id="1" name="Rectangle 1"/>
                <wp:cNvGraphicFramePr/>
                <a:graphic xmlns:a="http://schemas.openxmlformats.org/drawingml/2006/main">
                  <a:graphicData uri="http://schemas.microsoft.com/office/word/2010/wordprocessingShape">
                    <wps:wsp>
                      <wps:cNvSpPr/>
                      <wps:spPr>
                        <a:xfrm>
                          <a:off x="0" y="0"/>
                          <a:ext cx="165100" cy="165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5pt;margin-top:181.4pt;width:13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" fillcolor="window" stroked="f" strokeweight="2pt"/>
            </w:pict>
          </mc:Fallback>
        </mc:AlternateContent>
      </w:r>
      <w:r>
        <w:rPr>
          <w:rFonts w:ascii="Times New Roman" w:hAnsi="Times New Roman" w:cs="Times New Roman"/>
          <w:noProof/>
          <w:sz w:val="24"/>
          <w:szCs w:val="24"/>
        </w:rPr>
        <w:drawing>
          <wp:inline distT="0" distB="0" distL="0" distR="0" wp14:anchorId="55FD7E6B" wp14:editId="78E7AF73">
            <wp:extent cx="5949598" cy="4937760"/>
            <wp:effectExtent l="0" t="0" r="0" b="0"/>
            <wp:docPr id="4" name="Picture 4" descr="C:\Users\sharonbm\Documents\Renewal energy\consequences ms\figures_april_2019\tim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ronbm\Documents\Renewal energy\consequences ms\figures_april_2019\time-t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548"/>
                    <a:stretch/>
                  </pic:blipFill>
                  <pic:spPr bwMode="auto">
                    <a:xfrm>
                      <a:off x="0" y="0"/>
                      <a:ext cx="5949598" cy="4937760"/>
                    </a:xfrm>
                    <a:prstGeom prst="rect">
                      <a:avLst/>
                    </a:prstGeom>
                    <a:noFill/>
                    <a:ln>
                      <a:noFill/>
                    </a:ln>
                    <a:extLst>
                      <a:ext uri="{53640926-AAD7-44D8-BBD7-CCE9431645EC}">
                        <a14:shadowObscured xmlns:a14="http://schemas.microsoft.com/office/drawing/2010/main"/>
                      </a:ext>
                    </a:extLst>
                  </pic:spPr>
                </pic:pic>
              </a:graphicData>
            </a:graphic>
          </wp:inline>
        </w:drawing>
      </w:r>
      <w:r w:rsidRPr="00A12C70">
        <w:rPr>
          <w:rFonts w:ascii="Times New Roman" w:hAnsi="Times New Roman" w:cs="Times New Roman"/>
          <w:b/>
          <w:sz w:val="24"/>
          <w:szCs w:val="24"/>
        </w:rPr>
        <w:t>Figure S2.</w:t>
      </w:r>
      <w:r w:rsidRPr="005E478A">
        <w:rPr>
          <w:rFonts w:ascii="Times New Roman" w:hAnsi="Times New Roman" w:cs="Times New Roman"/>
          <w:sz w:val="24"/>
          <w:szCs w:val="24"/>
        </w:rPr>
        <w:t xml:space="preserve"> – Example calculation of years to recover carbon loss in Japan under a development scenario in which wind and solar renewable energy is sited (</w:t>
      </w:r>
      <w:r>
        <w:rPr>
          <w:rFonts w:ascii="Times New Roman" w:hAnsi="Times New Roman" w:cs="Times New Roman"/>
          <w:sz w:val="24"/>
          <w:szCs w:val="24"/>
        </w:rPr>
        <w:t>resulting in</w:t>
      </w:r>
      <w:r w:rsidRPr="005E478A">
        <w:rPr>
          <w:rFonts w:ascii="Times New Roman" w:hAnsi="Times New Roman" w:cs="Times New Roman"/>
          <w:sz w:val="24"/>
          <w:szCs w:val="24"/>
        </w:rPr>
        <w:t xml:space="preserve"> impacted cells)</w:t>
      </w:r>
      <w:r>
        <w:rPr>
          <w:rFonts w:ascii="Times New Roman" w:hAnsi="Times New Roman" w:cs="Times New Roman"/>
          <w:sz w:val="24"/>
          <w:szCs w:val="24"/>
        </w:rPr>
        <w:t xml:space="preserve"> where resources are the highest. </w:t>
      </w:r>
      <w:r w:rsidRPr="005E478A">
        <w:rPr>
          <w:rFonts w:ascii="Times New Roman" w:hAnsi="Times New Roman" w:cs="Times New Roman"/>
          <w:sz w:val="24"/>
          <w:szCs w:val="24"/>
        </w:rPr>
        <w:t xml:space="preserve">a) areas of overlap (darker green) between impacted cells (grey) and natural areas (lighter green), b) tons of carbon loss for each pixel of </w:t>
      </w:r>
      <w:r>
        <w:rPr>
          <w:rFonts w:ascii="Times New Roman" w:hAnsi="Times New Roman" w:cs="Times New Roman"/>
          <w:sz w:val="24"/>
          <w:szCs w:val="24"/>
        </w:rPr>
        <w:t>overlap areas which were</w:t>
      </w:r>
      <w:r w:rsidRPr="005E478A">
        <w:rPr>
          <w:rFonts w:ascii="Times New Roman" w:hAnsi="Times New Roman" w:cs="Times New Roman"/>
          <w:sz w:val="24"/>
          <w:szCs w:val="24"/>
        </w:rPr>
        <w:t xml:space="preserve"> multiplied by the insert equation to obtain, c) emissions loss for each pixel </w:t>
      </w:r>
      <w:r>
        <w:rPr>
          <w:rFonts w:ascii="Times New Roman" w:hAnsi="Times New Roman" w:cs="Times New Roman"/>
          <w:sz w:val="24"/>
          <w:szCs w:val="24"/>
        </w:rPr>
        <w:t xml:space="preserve">which were </w:t>
      </w:r>
      <w:r w:rsidRPr="005E478A">
        <w:rPr>
          <w:rFonts w:ascii="Times New Roman" w:hAnsi="Times New Roman" w:cs="Times New Roman"/>
          <w:sz w:val="24"/>
          <w:szCs w:val="24"/>
        </w:rPr>
        <w:t xml:space="preserve">multiplied by the insert equation to obtain, d) the number of years it would take to recover the carbon loss. </w:t>
      </w:r>
      <w:proofErr w:type="spellStart"/>
      <w:r w:rsidRPr="005E478A">
        <w:rPr>
          <w:rFonts w:ascii="Times New Roman" w:eastAsia="MS Mincho" w:hAnsi="Times New Roman" w:cs="Times New Roman"/>
          <w:sz w:val="24"/>
          <w:szCs w:val="24"/>
        </w:rPr>
        <w:t>Δ</w:t>
      </w:r>
      <w:r w:rsidRPr="005E478A">
        <w:rPr>
          <w:rFonts w:ascii="Times New Roman" w:eastAsia="MS Mincho" w:hAnsi="Times New Roman" w:cs="Times New Roman"/>
          <w:i/>
          <w:sz w:val="24"/>
          <w:szCs w:val="24"/>
        </w:rPr>
        <w:t>lce</w:t>
      </w:r>
      <w:r w:rsidRPr="005E478A">
        <w:rPr>
          <w:rFonts w:ascii="Times New Roman" w:eastAsia="MS Mincho" w:hAnsi="Times New Roman" w:cs="Times New Roman"/>
          <w:i/>
          <w:sz w:val="24"/>
          <w:szCs w:val="24"/>
          <w:vertAlign w:val="subscript"/>
        </w:rPr>
        <w:t>s</w:t>
      </w:r>
      <w:proofErr w:type="spellEnd"/>
      <w:r w:rsidRPr="005E478A">
        <w:rPr>
          <w:rFonts w:ascii="Times New Roman" w:eastAsia="MS Mincho" w:hAnsi="Times New Roman" w:cs="Times New Roman"/>
          <w:sz w:val="24"/>
          <w:szCs w:val="24"/>
        </w:rPr>
        <w:t xml:space="preserve"> is the average difference between the inverse IPCC life cycle emission factors (MWh/ MtCO</w:t>
      </w:r>
      <w:r w:rsidRPr="005E478A">
        <w:rPr>
          <w:rFonts w:ascii="Times New Roman" w:eastAsia="MS Mincho" w:hAnsi="Times New Roman" w:cs="Times New Roman"/>
          <w:sz w:val="24"/>
          <w:szCs w:val="24"/>
          <w:vertAlign w:val="subscript"/>
        </w:rPr>
        <w:t>2</w:t>
      </w:r>
      <w:r w:rsidRPr="005E478A">
        <w:rPr>
          <w:rFonts w:ascii="Times New Roman" w:eastAsia="MS Mincho" w:hAnsi="Times New Roman" w:cs="Times New Roman"/>
          <w:sz w:val="24"/>
          <w:szCs w:val="24"/>
        </w:rPr>
        <w:t xml:space="preserve">; </w:t>
      </w:r>
      <w:r w:rsidRPr="005E478A">
        <w:rPr>
          <w:rFonts w:ascii="Times New Roman" w:eastAsia="MS Mincho" w:hAnsi="Times New Roman" w:cs="Times New Roman"/>
          <w:sz w:val="24"/>
          <w:szCs w:val="24"/>
        </w:rPr>
        <w:fldChar w:fldCharType="begin" w:fldLock="1"/>
      </w:r>
      <w:r>
        <w:rPr>
          <w:rFonts w:ascii="Times New Roman" w:eastAsia="MS Mincho" w:hAnsi="Times New Roman" w:cs="Times New Roman"/>
          <w:sz w:val="24"/>
          <w:szCs w:val="24"/>
        </w:rPr>
        <w:instrText>ADDIN CSL_CITATION {"citationItems":[{"id":"ITEM-1","itemData":{"author":[{"dropping-particle":"","family":"Schlomer","given":"Steffen","non-dropping-particle":"","parse-names":false,"suffix":""},{"dropping-particle":"","family":"Bruckner","given":"Thomas","non-dropping-particle":"","parse-names":false,"suffix":""},{"dropping-particle":"","family":"Fulton","given":"Lew","non-dropping-particle":"","parse-names":false,"suffix":""},{"dropping-particle":"","family":"Hertwich","given":"Edgar","non-dropping-particle":"","parse-names":false,"suffix":""},{"dropping-particle":"","family":"McKinnon","given":"Alan","non-dropping-particle":"","parse-names":false,"suffix":""},{"dropping-particle":"","family":"Perczyk","given":"Daniel","non-dropping-particle":"","parse-names":false,"suffix":""},{"dropping-particle":"","family":"Roy","given":"Joyashree","non-dropping-particle":"","parse-names":false,"suffix":""},{"dropping-particle":"","family":"Schaeffer","given":"Roberto","non-dropping-particle":"","parse-names":false,"suffix":""},{"dropping-particle":"","family":"Sims","given":"Ralph","non-dropping-particle":"","parse-names":false,"suffix":""},{"dropping-particle":"","family":"Smith","given":"Peter","non-dropping-particle":"","parse-names":false,"suffix":""},{"dropping-particle":"","family":"Wiser","given":"Ryan","non-dropping-particle":"","parse-names":false,"suffix":""}],"id":"ITEM-1","issued":{"date-parts":[["2014"]]},"number-of-pages":"1329-1356","title":"Annex III: Technology-specific cost and performance parameters","type":"report"},"uris":["http://www.mendeley.com/documents/?uuid=3ccbb6c6-b026-4c13-80c2-1d67ab155a00"]}],"mendeley":{"formattedCitation":"(Schlomer et al. 2014)","manualFormatting":"Schlömer et al. 2014)","plainTextFormattedCitation":"(Schlomer et al. 2014)","previouslyFormattedCitation":"(Schlomer et al. 2014)"},"properties":{"noteIndex":0},"schema":"https://github.com/citation-style-language/schema/raw/master/csl-citation.json"}</w:instrText>
      </w:r>
      <w:r w:rsidRPr="005E478A">
        <w:rPr>
          <w:rFonts w:ascii="Times New Roman" w:eastAsia="MS Mincho" w:hAnsi="Times New Roman" w:cs="Times New Roman"/>
          <w:sz w:val="24"/>
          <w:szCs w:val="24"/>
        </w:rPr>
        <w:fldChar w:fldCharType="separate"/>
      </w:r>
      <w:r>
        <w:rPr>
          <w:rFonts w:ascii="Times New Roman" w:eastAsia="MS Mincho" w:hAnsi="Times New Roman" w:cs="Times New Roman"/>
          <w:noProof/>
          <w:sz w:val="24"/>
          <w:szCs w:val="24"/>
        </w:rPr>
        <w:t>Schlö</w:t>
      </w:r>
      <w:r w:rsidRPr="005E478A">
        <w:rPr>
          <w:rFonts w:ascii="Times New Roman" w:eastAsia="MS Mincho" w:hAnsi="Times New Roman" w:cs="Times New Roman"/>
          <w:noProof/>
          <w:sz w:val="24"/>
          <w:szCs w:val="24"/>
        </w:rPr>
        <w:t>mer et al. 2014)</w:t>
      </w:r>
      <w:r w:rsidRPr="005E478A">
        <w:rPr>
          <w:rFonts w:ascii="Times New Roman" w:eastAsia="MS Mincho" w:hAnsi="Times New Roman" w:cs="Times New Roman"/>
          <w:sz w:val="24"/>
          <w:szCs w:val="24"/>
        </w:rPr>
        <w:fldChar w:fldCharType="end"/>
      </w:r>
      <w:r w:rsidRPr="005E478A">
        <w:rPr>
          <w:rFonts w:ascii="Times New Roman" w:eastAsia="MS Mincho" w:hAnsi="Times New Roman" w:cs="Times New Roman"/>
          <w:sz w:val="24"/>
          <w:szCs w:val="24"/>
        </w:rPr>
        <w:t xml:space="preserve"> of fossil fuel sectors and the renewable energy sector </w:t>
      </w:r>
      <w:r w:rsidRPr="005E478A">
        <w:rPr>
          <w:rFonts w:ascii="Times New Roman" w:eastAsia="MS Mincho" w:hAnsi="Times New Roman" w:cs="Times New Roman"/>
          <w:i/>
          <w:sz w:val="24"/>
          <w:szCs w:val="24"/>
        </w:rPr>
        <w:t>s</w:t>
      </w:r>
      <w:r w:rsidRPr="005E478A">
        <w:rPr>
          <w:rFonts w:ascii="Times New Roman" w:eastAsia="MS Mincho" w:hAnsi="Times New Roman" w:cs="Times New Roman"/>
          <w:sz w:val="24"/>
          <w:szCs w:val="24"/>
        </w:rPr>
        <w:t xml:space="preserve"> that was sited in focal cell </w:t>
      </w:r>
      <w:r w:rsidRPr="005E478A">
        <w:rPr>
          <w:rFonts w:ascii="Times New Roman" w:eastAsia="MS Mincho" w:hAnsi="Times New Roman" w:cs="Times New Roman"/>
          <w:i/>
          <w:sz w:val="24"/>
          <w:szCs w:val="24"/>
        </w:rPr>
        <w:t>i</w:t>
      </w:r>
      <w:r w:rsidRPr="005E478A">
        <w:rPr>
          <w:rFonts w:ascii="Times New Roman" w:eastAsia="MS Mincho" w:hAnsi="Times New Roman" w:cs="Times New Roman"/>
          <w:sz w:val="24"/>
          <w:szCs w:val="24"/>
        </w:rPr>
        <w:t xml:space="preserve">, </w:t>
      </w:r>
      <w:r w:rsidRPr="005E478A">
        <w:rPr>
          <w:rFonts w:ascii="Times New Roman" w:eastAsia="MS Mincho" w:hAnsi="Times New Roman" w:cs="Times New Roman"/>
          <w:position w:val="-12"/>
          <w:sz w:val="24"/>
          <w:szCs w:val="24"/>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8pt" o:ole="">
            <v:imagedata r:id="rId10" o:title=""/>
          </v:shape>
          <o:OLEObject Type="Embed" ProgID="Equation.DSMT4" ShapeID="_x0000_i1025" DrawAspect="Content" ObjectID="_1631069388" r:id="rId11"/>
        </w:object>
      </w:r>
      <w:r w:rsidRPr="005E478A">
        <w:rPr>
          <w:rFonts w:ascii="Times New Roman" w:eastAsia="MS Mincho" w:hAnsi="Times New Roman" w:cs="Times New Roman"/>
          <w:sz w:val="24"/>
          <w:szCs w:val="24"/>
        </w:rPr>
        <w:t>is the sector-specific power density in MW</w:t>
      </w:r>
      <w:r w:rsidR="00E25194">
        <w:rPr>
          <w:rFonts w:ascii="Times New Roman" w:eastAsia="MS Mincho" w:hAnsi="Times New Roman" w:cs="Times New Roman"/>
          <w:sz w:val="24"/>
          <w:szCs w:val="24"/>
        </w:rPr>
        <w:t>/km</w:t>
      </w:r>
      <w:r w:rsidR="00E25194" w:rsidRPr="007031C5">
        <w:rPr>
          <w:rFonts w:ascii="Times New Roman" w:eastAsia="MS Mincho" w:hAnsi="Times New Roman" w:cs="Times New Roman"/>
          <w:sz w:val="24"/>
          <w:szCs w:val="24"/>
          <w:vertAlign w:val="superscript"/>
        </w:rPr>
        <w:t>2</w:t>
      </w:r>
      <w:r w:rsidRPr="005E478A">
        <w:rPr>
          <w:rFonts w:ascii="Times New Roman" w:eastAsia="MS Mincho" w:hAnsi="Times New Roman" w:cs="Times New Roman"/>
          <w:sz w:val="24"/>
          <w:szCs w:val="24"/>
        </w:rPr>
        <w:t xml:space="preserve">, </w:t>
      </w:r>
      <w:proofErr w:type="spellStart"/>
      <w:r w:rsidRPr="005E478A">
        <w:rPr>
          <w:rFonts w:ascii="Times New Roman" w:eastAsia="MS Mincho" w:hAnsi="Times New Roman" w:cs="Times New Roman"/>
          <w:i/>
          <w:sz w:val="24"/>
          <w:szCs w:val="24"/>
        </w:rPr>
        <w:t>cf</w:t>
      </w:r>
      <w:r w:rsidRPr="005E478A">
        <w:rPr>
          <w:rFonts w:ascii="Times New Roman" w:eastAsia="MS Mincho" w:hAnsi="Times New Roman" w:cs="Times New Roman"/>
          <w:i/>
          <w:sz w:val="24"/>
          <w:szCs w:val="24"/>
          <w:vertAlign w:val="subscript"/>
        </w:rPr>
        <w:t>s</w:t>
      </w:r>
      <w:proofErr w:type="spellEnd"/>
      <w:r w:rsidRPr="005E478A">
        <w:rPr>
          <w:rFonts w:ascii="Times New Roman" w:eastAsia="MS Mincho" w:hAnsi="Times New Roman" w:cs="Times New Roman"/>
          <w:sz w:val="24"/>
          <w:szCs w:val="24"/>
        </w:rPr>
        <w:t xml:space="preserve"> is the sector-specific unit-less capacity factor, or the observed output over rated capacity, and 8760 is a conversion factor from hours to years.</w:t>
      </w:r>
    </w:p>
    <w:p w:rsidR="007775E8" w:rsidRDefault="007775E8">
      <w:pPr>
        <w:rPr>
          <w:rFonts w:ascii="Times New Roman" w:hAnsi="Times New Roman" w:cs="Times New Roman"/>
          <w:sz w:val="24"/>
          <w:szCs w:val="24"/>
        </w:rPr>
      </w:pPr>
      <w:r>
        <w:rPr>
          <w:rFonts w:ascii="Times New Roman" w:hAnsi="Times New Roman" w:cs="Times New Roman"/>
          <w:sz w:val="24"/>
          <w:szCs w:val="24"/>
        </w:rPr>
        <w:br w:type="page"/>
      </w:r>
    </w:p>
    <w:p w:rsidR="003F7F4D" w:rsidRDefault="003F7F4D" w:rsidP="00AA1F3E">
      <w:pPr>
        <w:widowControl w:val="0"/>
        <w:spacing w:after="0" w:line="240" w:lineRule="auto"/>
        <w:rPr>
          <w:rFonts w:ascii="Times New Roman" w:hAnsi="Times New Roman" w:cs="Times New Roman"/>
          <w:sz w:val="24"/>
          <w:szCs w:val="24"/>
        </w:rPr>
      </w:pPr>
      <w:r w:rsidRPr="003F7F4D">
        <w:rPr>
          <w:rFonts w:ascii="Times New Roman" w:hAnsi="Times New Roman" w:cs="Times New Roman"/>
          <w:sz w:val="24"/>
          <w:szCs w:val="24"/>
        </w:rPr>
        <w:lastRenderedPageBreak/>
        <w:t>SUPPLEMENTARY REFERENCES</w:t>
      </w:r>
    </w:p>
    <w:p w:rsidR="00983ADF" w:rsidRDefault="00983ADF" w:rsidP="00AA1F3E">
      <w:pPr>
        <w:widowControl w:val="0"/>
        <w:spacing w:after="0" w:line="240" w:lineRule="auto"/>
        <w:rPr>
          <w:rFonts w:ascii="Times New Roman" w:hAnsi="Times New Roman" w:cs="Times New Roman"/>
          <w:sz w:val="24"/>
          <w:szCs w:val="24"/>
        </w:rPr>
      </w:pPr>
    </w:p>
    <w:p w:rsidR="00A31A28" w:rsidRDefault="007775E8" w:rsidP="00983ADF">
      <w:pPr>
        <w:widowControl w:val="0"/>
        <w:spacing w:after="0" w:line="240" w:lineRule="auto"/>
        <w:rPr>
          <w:rFonts w:ascii="Times New Roman" w:hAnsi="Times New Roman" w:cs="Times New Roman"/>
          <w:sz w:val="24"/>
          <w:szCs w:val="24"/>
        </w:rPr>
      </w:pPr>
      <w:r w:rsidRPr="007775E8">
        <w:rPr>
          <w:rFonts w:ascii="Times New Roman" w:hAnsi="Times New Roman" w:cs="Times New Roman"/>
          <w:sz w:val="24"/>
          <w:szCs w:val="24"/>
        </w:rPr>
        <w:t xml:space="preserve">Diffendorfer, J. E., </w:t>
      </w:r>
      <w:r w:rsidR="00484F44">
        <w:rPr>
          <w:rFonts w:ascii="Times New Roman" w:hAnsi="Times New Roman" w:cs="Times New Roman"/>
          <w:sz w:val="24"/>
          <w:szCs w:val="24"/>
        </w:rPr>
        <w:t>and</w:t>
      </w:r>
      <w:r w:rsidRPr="007775E8">
        <w:rPr>
          <w:rFonts w:ascii="Times New Roman" w:hAnsi="Times New Roman" w:cs="Times New Roman"/>
          <w:sz w:val="24"/>
          <w:szCs w:val="24"/>
        </w:rPr>
        <w:t xml:space="preserve"> Compton, R. W. (2014). Land cover and topography affect the land transformation caused by wind facilities. PLoS ONE, 9(2). </w:t>
      </w:r>
      <w:hyperlink r:id="rId12" w:history="1">
        <w:r w:rsidR="00283CCF" w:rsidRPr="00283CCF">
          <w:rPr>
            <w:rStyle w:val="Hyperlink"/>
            <w:rFonts w:ascii="Times New Roman" w:hAnsi="Times New Roman" w:cs="Times New Roman"/>
            <w:sz w:val="24"/>
            <w:szCs w:val="24"/>
          </w:rPr>
          <w:t>https://doi.org/10.1371/journal.pone.0088914</w:t>
        </w:r>
      </w:hyperlink>
    </w:p>
    <w:p w:rsidR="00A31A28" w:rsidRDefault="00A31A28" w:rsidP="00983ADF">
      <w:pPr>
        <w:widowControl w:val="0"/>
        <w:spacing w:after="0" w:line="240" w:lineRule="auto"/>
        <w:rPr>
          <w:rFonts w:ascii="Times New Roman" w:hAnsi="Times New Roman" w:cs="Times New Roman"/>
          <w:sz w:val="24"/>
          <w:szCs w:val="24"/>
        </w:rPr>
      </w:pPr>
    </w:p>
    <w:p w:rsidR="00983ADF" w:rsidRDefault="005D73C4" w:rsidP="00983ADF">
      <w:pPr>
        <w:widowControl w:val="0"/>
        <w:spacing w:after="0" w:line="240" w:lineRule="auto"/>
        <w:rPr>
          <w:rFonts w:ascii="Times New Roman" w:hAnsi="Times New Roman" w:cs="Times New Roman"/>
          <w:sz w:val="24"/>
          <w:szCs w:val="24"/>
        </w:rPr>
      </w:pPr>
      <w:r w:rsidRPr="005D73C4">
        <w:rPr>
          <w:rFonts w:ascii="Times New Roman" w:hAnsi="Times New Roman" w:cs="Times New Roman"/>
          <w:sz w:val="24"/>
          <w:szCs w:val="24"/>
        </w:rPr>
        <w:t>Evans J</w:t>
      </w:r>
      <w:r w:rsidR="007648FF">
        <w:rPr>
          <w:rFonts w:ascii="Times New Roman" w:hAnsi="Times New Roman" w:cs="Times New Roman"/>
          <w:sz w:val="24"/>
          <w:szCs w:val="24"/>
        </w:rPr>
        <w:t xml:space="preserve">. </w:t>
      </w:r>
      <w:r w:rsidRPr="005D73C4">
        <w:rPr>
          <w:rFonts w:ascii="Times New Roman" w:hAnsi="Times New Roman" w:cs="Times New Roman"/>
          <w:sz w:val="24"/>
          <w:szCs w:val="24"/>
        </w:rPr>
        <w:t>S</w:t>
      </w:r>
      <w:r w:rsidR="007648FF">
        <w:rPr>
          <w:rFonts w:ascii="Times New Roman" w:hAnsi="Times New Roman" w:cs="Times New Roman"/>
          <w:sz w:val="24"/>
          <w:szCs w:val="24"/>
        </w:rPr>
        <w:t>.</w:t>
      </w:r>
      <w:r w:rsidRPr="005D73C4">
        <w:rPr>
          <w:rFonts w:ascii="Times New Roman" w:hAnsi="Times New Roman" w:cs="Times New Roman"/>
          <w:sz w:val="24"/>
          <w:szCs w:val="24"/>
        </w:rPr>
        <w:t xml:space="preserve">, </w:t>
      </w:r>
      <w:r w:rsidR="00484F44">
        <w:rPr>
          <w:rFonts w:ascii="Times New Roman" w:hAnsi="Times New Roman" w:cs="Times New Roman"/>
          <w:sz w:val="24"/>
          <w:szCs w:val="24"/>
        </w:rPr>
        <w:t xml:space="preserve">and </w:t>
      </w:r>
      <w:r w:rsidRPr="005D73C4">
        <w:rPr>
          <w:rFonts w:ascii="Times New Roman" w:hAnsi="Times New Roman" w:cs="Times New Roman"/>
          <w:sz w:val="24"/>
          <w:szCs w:val="24"/>
        </w:rPr>
        <w:t>Kiesecker J</w:t>
      </w:r>
      <w:r w:rsidR="007648FF">
        <w:rPr>
          <w:rFonts w:ascii="Times New Roman" w:hAnsi="Times New Roman" w:cs="Times New Roman"/>
          <w:sz w:val="24"/>
          <w:szCs w:val="24"/>
        </w:rPr>
        <w:t>.</w:t>
      </w:r>
      <w:r w:rsidRPr="005D73C4">
        <w:rPr>
          <w:rFonts w:ascii="Times New Roman" w:hAnsi="Times New Roman" w:cs="Times New Roman"/>
          <w:sz w:val="24"/>
          <w:szCs w:val="24"/>
        </w:rPr>
        <w:t>M</w:t>
      </w:r>
      <w:r w:rsidR="007648FF">
        <w:rPr>
          <w:rFonts w:ascii="Times New Roman" w:hAnsi="Times New Roman" w:cs="Times New Roman"/>
          <w:sz w:val="24"/>
          <w:szCs w:val="24"/>
        </w:rPr>
        <w:t>.</w:t>
      </w:r>
      <w:r w:rsidRPr="005D73C4">
        <w:rPr>
          <w:rFonts w:ascii="Times New Roman" w:hAnsi="Times New Roman" w:cs="Times New Roman"/>
          <w:sz w:val="24"/>
          <w:szCs w:val="24"/>
        </w:rPr>
        <w:t xml:space="preserve"> (2014)</w:t>
      </w:r>
      <w:r w:rsidR="00484F44">
        <w:rPr>
          <w:rFonts w:ascii="Times New Roman" w:hAnsi="Times New Roman" w:cs="Times New Roman"/>
          <w:sz w:val="24"/>
          <w:szCs w:val="24"/>
        </w:rPr>
        <w:t>.</w:t>
      </w:r>
      <w:r w:rsidRPr="005D73C4">
        <w:rPr>
          <w:rFonts w:ascii="Times New Roman" w:hAnsi="Times New Roman" w:cs="Times New Roman"/>
          <w:sz w:val="24"/>
          <w:szCs w:val="24"/>
        </w:rPr>
        <w:t xml:space="preserve"> Shale Gas, Wind and Water: Assessing the Potential Cumulative Impacts of Energy Development on Ecosystem Services within the Marcellus Play. PLoS ONE 9(2): e89210. </w:t>
      </w:r>
      <w:hyperlink r:id="rId13" w:history="1">
        <w:r w:rsidRPr="004649C7">
          <w:rPr>
            <w:rStyle w:val="Hyperlink"/>
            <w:rFonts w:ascii="Times New Roman" w:hAnsi="Times New Roman" w:cs="Times New Roman"/>
            <w:sz w:val="24"/>
            <w:szCs w:val="24"/>
          </w:rPr>
          <w:t>https://doi.org/10.1371/journal.pone.0089210</w:t>
        </w:r>
      </w:hyperlink>
    </w:p>
    <w:p w:rsidR="00A31A28" w:rsidRDefault="00A31A28" w:rsidP="00AA1F3E">
      <w:pPr>
        <w:widowControl w:val="0"/>
        <w:spacing w:after="0" w:line="240" w:lineRule="auto"/>
        <w:rPr>
          <w:rFonts w:ascii="Times New Roman" w:hAnsi="Times New Roman" w:cs="Times New Roman"/>
          <w:sz w:val="24"/>
          <w:szCs w:val="24"/>
        </w:rPr>
      </w:pPr>
    </w:p>
    <w:p w:rsidR="00A31A28" w:rsidRDefault="00A31A28" w:rsidP="00AA1F3E">
      <w:pPr>
        <w:widowControl w:val="0"/>
        <w:spacing w:after="0" w:line="240" w:lineRule="auto"/>
        <w:rPr>
          <w:rFonts w:ascii="Times New Roman" w:hAnsi="Times New Roman" w:cs="Times New Roman"/>
          <w:sz w:val="24"/>
          <w:szCs w:val="24"/>
        </w:rPr>
      </w:pPr>
      <w:r w:rsidRPr="00A31A28">
        <w:rPr>
          <w:rFonts w:ascii="Times New Roman" w:hAnsi="Times New Roman" w:cs="Times New Roman"/>
          <w:sz w:val="24"/>
          <w:szCs w:val="24"/>
        </w:rPr>
        <w:t xml:space="preserve">International Energy Agency </w:t>
      </w:r>
      <w:r w:rsidR="00484F44">
        <w:rPr>
          <w:rFonts w:ascii="Times New Roman" w:hAnsi="Times New Roman" w:cs="Times New Roman"/>
          <w:sz w:val="24"/>
          <w:szCs w:val="24"/>
        </w:rPr>
        <w:t>(</w:t>
      </w:r>
      <w:r w:rsidRPr="00A31A28">
        <w:rPr>
          <w:rFonts w:ascii="Times New Roman" w:hAnsi="Times New Roman" w:cs="Times New Roman"/>
          <w:sz w:val="24"/>
          <w:szCs w:val="24"/>
        </w:rPr>
        <w:t>2017</w:t>
      </w:r>
      <w:r w:rsidR="00484F44">
        <w:rPr>
          <w:rFonts w:ascii="Times New Roman" w:hAnsi="Times New Roman" w:cs="Times New Roman"/>
          <w:sz w:val="24"/>
          <w:szCs w:val="24"/>
        </w:rPr>
        <w:t>).</w:t>
      </w:r>
      <w:r w:rsidRPr="00A31A28">
        <w:rPr>
          <w:rFonts w:ascii="Times New Roman" w:hAnsi="Times New Roman" w:cs="Times New Roman"/>
          <w:sz w:val="24"/>
          <w:szCs w:val="24"/>
        </w:rPr>
        <w:t xml:space="preserve"> Statistics (</w:t>
      </w:r>
      <w:hyperlink r:id="rId14" w:history="1">
        <w:r w:rsidRPr="00476734">
          <w:rPr>
            <w:rStyle w:val="Hyperlink"/>
            <w:rFonts w:ascii="Times New Roman" w:hAnsi="Times New Roman" w:cs="Times New Roman"/>
            <w:sz w:val="24"/>
            <w:szCs w:val="24"/>
          </w:rPr>
          <w:t>www.iea.org/classicstats/statisticssearch/</w:t>
        </w:r>
      </w:hyperlink>
      <w:r>
        <w:rPr>
          <w:rFonts w:ascii="Times New Roman" w:hAnsi="Times New Roman" w:cs="Times New Roman"/>
          <w:sz w:val="24"/>
          <w:szCs w:val="24"/>
        </w:rPr>
        <w:t>, Accessed 1</w:t>
      </w:r>
      <w:r w:rsidRPr="00A31A28">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2017</w:t>
      </w:r>
      <w:r w:rsidRPr="00A31A28">
        <w:rPr>
          <w:rFonts w:ascii="Times New Roman" w:hAnsi="Times New Roman" w:cs="Times New Roman"/>
          <w:sz w:val="24"/>
          <w:szCs w:val="24"/>
        </w:rPr>
        <w:t>)</w:t>
      </w:r>
    </w:p>
    <w:p w:rsidR="00A31A28" w:rsidRDefault="00A31A28" w:rsidP="00AA1F3E">
      <w:pPr>
        <w:widowControl w:val="0"/>
        <w:spacing w:after="0" w:line="240" w:lineRule="auto"/>
        <w:rPr>
          <w:rFonts w:ascii="Times New Roman" w:hAnsi="Times New Roman" w:cs="Times New Roman"/>
          <w:sz w:val="24"/>
          <w:szCs w:val="24"/>
        </w:rPr>
      </w:pPr>
    </w:p>
    <w:p w:rsidR="0042297A" w:rsidRDefault="0042297A" w:rsidP="00AA1F3E">
      <w:pPr>
        <w:widowControl w:val="0"/>
        <w:spacing w:after="0" w:line="240" w:lineRule="auto"/>
        <w:rPr>
          <w:rFonts w:ascii="Times New Roman" w:hAnsi="Times New Roman" w:cs="Times New Roman"/>
          <w:sz w:val="24"/>
          <w:szCs w:val="24"/>
        </w:rPr>
      </w:pPr>
      <w:r w:rsidRPr="0042297A">
        <w:rPr>
          <w:rFonts w:ascii="Times New Roman" w:hAnsi="Times New Roman" w:cs="Times New Roman"/>
          <w:sz w:val="24"/>
          <w:szCs w:val="24"/>
        </w:rPr>
        <w:t xml:space="preserve">Moomaw, W. et al. </w:t>
      </w:r>
      <w:r w:rsidR="00484F44">
        <w:rPr>
          <w:rFonts w:ascii="Times New Roman" w:hAnsi="Times New Roman" w:cs="Times New Roman"/>
          <w:sz w:val="24"/>
          <w:szCs w:val="24"/>
        </w:rPr>
        <w:t xml:space="preserve">(2014). </w:t>
      </w:r>
      <w:r w:rsidRPr="0042297A">
        <w:rPr>
          <w:rFonts w:ascii="Times New Roman" w:hAnsi="Times New Roman" w:cs="Times New Roman"/>
          <w:sz w:val="24"/>
          <w:szCs w:val="24"/>
        </w:rPr>
        <w:t>Annex II: Methodology. IPCC Spec. Rep. Renew. Energy Sources Clim. Chang. Mitig. 16, NP.</w:t>
      </w:r>
    </w:p>
    <w:p w:rsidR="00A31A28" w:rsidRDefault="00A31A28" w:rsidP="0042297A">
      <w:pPr>
        <w:widowControl w:val="0"/>
        <w:spacing w:after="0" w:line="240" w:lineRule="auto"/>
        <w:rPr>
          <w:rFonts w:ascii="Times New Roman" w:hAnsi="Times New Roman" w:cs="Times New Roman"/>
          <w:sz w:val="24"/>
          <w:szCs w:val="24"/>
        </w:rPr>
      </w:pPr>
    </w:p>
    <w:p w:rsidR="003F7F4D" w:rsidRDefault="0042297A" w:rsidP="0042297A">
      <w:pPr>
        <w:widowControl w:val="0"/>
        <w:spacing w:after="0" w:line="240" w:lineRule="auto"/>
        <w:rPr>
          <w:rFonts w:ascii="Times New Roman" w:hAnsi="Times New Roman" w:cs="Times New Roman"/>
          <w:sz w:val="24"/>
          <w:szCs w:val="24"/>
        </w:rPr>
      </w:pPr>
      <w:r w:rsidRPr="0042297A">
        <w:rPr>
          <w:rFonts w:ascii="Times New Roman" w:hAnsi="Times New Roman" w:cs="Times New Roman"/>
          <w:sz w:val="24"/>
          <w:szCs w:val="24"/>
        </w:rPr>
        <w:t xml:space="preserve">Schlomer, S. et al. </w:t>
      </w:r>
      <w:r w:rsidR="00484F44">
        <w:rPr>
          <w:rFonts w:ascii="Times New Roman" w:hAnsi="Times New Roman" w:cs="Times New Roman"/>
          <w:sz w:val="24"/>
          <w:szCs w:val="24"/>
        </w:rPr>
        <w:t xml:space="preserve">(2014). </w:t>
      </w:r>
      <w:r w:rsidRPr="0042297A">
        <w:rPr>
          <w:rFonts w:ascii="Times New Roman" w:hAnsi="Times New Roman" w:cs="Times New Roman"/>
          <w:sz w:val="24"/>
          <w:szCs w:val="24"/>
        </w:rPr>
        <w:t>Annex III: Technology-specific cost an</w:t>
      </w:r>
      <w:r w:rsidR="00484F44">
        <w:rPr>
          <w:rFonts w:ascii="Times New Roman" w:hAnsi="Times New Roman" w:cs="Times New Roman"/>
          <w:sz w:val="24"/>
          <w:szCs w:val="24"/>
        </w:rPr>
        <w:t>d performance parameters</w:t>
      </w:r>
      <w:r w:rsidRPr="0042297A">
        <w:rPr>
          <w:rFonts w:ascii="Times New Roman" w:hAnsi="Times New Roman" w:cs="Times New Roman"/>
          <w:sz w:val="24"/>
          <w:szCs w:val="24"/>
        </w:rPr>
        <w:t>.</w:t>
      </w:r>
    </w:p>
    <w:p w:rsidR="00A31A28" w:rsidRDefault="00A31A28" w:rsidP="00AA1F3E">
      <w:pPr>
        <w:widowControl w:val="0"/>
        <w:spacing w:after="0" w:line="240" w:lineRule="auto"/>
        <w:rPr>
          <w:rFonts w:ascii="Times New Roman" w:hAnsi="Times New Roman" w:cs="Times New Roman"/>
          <w:sz w:val="24"/>
          <w:szCs w:val="24"/>
        </w:rPr>
      </w:pPr>
    </w:p>
    <w:p w:rsidR="003F7F4D" w:rsidRDefault="003F7F4D" w:rsidP="00AA1F3E">
      <w:pPr>
        <w:widowControl w:val="0"/>
        <w:spacing w:after="0" w:line="240" w:lineRule="auto"/>
        <w:rPr>
          <w:rFonts w:ascii="Times New Roman" w:hAnsi="Times New Roman" w:cs="Times New Roman"/>
          <w:sz w:val="24"/>
          <w:szCs w:val="24"/>
        </w:rPr>
      </w:pPr>
      <w:r w:rsidRPr="003F7F4D">
        <w:rPr>
          <w:rFonts w:ascii="Times New Roman" w:hAnsi="Times New Roman" w:cs="Times New Roman"/>
          <w:sz w:val="24"/>
          <w:szCs w:val="24"/>
        </w:rPr>
        <w:t>UNEPLive. Emissions-Impacts-Climate Chagne. (2017). Available at: https://pre-uneplive.unep.org/theme/index/13#indcs. (Accessed: 1st January 2017)</w:t>
      </w:r>
    </w:p>
    <w:p w:rsidR="00A31A28" w:rsidRDefault="00A31A28" w:rsidP="00AA1F3E">
      <w:pPr>
        <w:widowControl w:val="0"/>
        <w:spacing w:after="0" w:line="240" w:lineRule="auto"/>
        <w:rPr>
          <w:rFonts w:ascii="Times New Roman" w:hAnsi="Times New Roman" w:cs="Times New Roman"/>
          <w:sz w:val="24"/>
          <w:szCs w:val="24"/>
        </w:rPr>
      </w:pPr>
    </w:p>
    <w:p w:rsidR="00DE0953" w:rsidRDefault="00DE0953" w:rsidP="00AA1F3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Wiser, R., Jenni, K., Seel, J., Baker, E., Hand, M., Lantz, E. </w:t>
      </w:r>
      <w:r w:rsidR="00484F44">
        <w:rPr>
          <w:rFonts w:ascii="Times New Roman" w:hAnsi="Times New Roman" w:cs="Times New Roman"/>
          <w:sz w:val="24"/>
          <w:szCs w:val="24"/>
        </w:rPr>
        <w:t>and</w:t>
      </w:r>
      <w:r>
        <w:rPr>
          <w:rFonts w:ascii="Times New Roman" w:hAnsi="Times New Roman" w:cs="Times New Roman"/>
          <w:sz w:val="24"/>
          <w:szCs w:val="24"/>
        </w:rPr>
        <w:t xml:space="preserve"> Smith, A. </w:t>
      </w:r>
      <w:r w:rsidR="00484F44">
        <w:rPr>
          <w:rFonts w:ascii="Times New Roman" w:hAnsi="Times New Roman" w:cs="Times New Roman"/>
          <w:sz w:val="24"/>
          <w:szCs w:val="24"/>
        </w:rPr>
        <w:t xml:space="preserve">(2016). </w:t>
      </w:r>
      <w:r>
        <w:rPr>
          <w:rFonts w:ascii="Times New Roman" w:hAnsi="Times New Roman" w:cs="Times New Roman"/>
          <w:sz w:val="24"/>
          <w:szCs w:val="24"/>
        </w:rPr>
        <w:t>Expert elicitation survey on future wind energy cost</w:t>
      </w:r>
      <w:r w:rsidR="00484F44">
        <w:rPr>
          <w:rFonts w:ascii="Times New Roman" w:hAnsi="Times New Roman" w:cs="Times New Roman"/>
          <w:sz w:val="24"/>
          <w:szCs w:val="24"/>
        </w:rPr>
        <w:t>s. Nature Energy 1, 16135</w:t>
      </w:r>
      <w:r>
        <w:rPr>
          <w:rFonts w:ascii="Times New Roman" w:hAnsi="Times New Roman" w:cs="Times New Roman"/>
          <w:sz w:val="24"/>
          <w:szCs w:val="24"/>
        </w:rPr>
        <w:t>.</w:t>
      </w:r>
    </w:p>
    <w:p w:rsidR="0042297A" w:rsidRPr="00125FC6" w:rsidRDefault="0042297A" w:rsidP="004F7E50">
      <w:pPr>
        <w:widowControl w:val="0"/>
        <w:spacing w:after="0" w:line="240" w:lineRule="auto"/>
        <w:rPr>
          <w:rFonts w:ascii="Times New Roman" w:hAnsi="Times New Roman" w:cs="Times New Roman"/>
          <w:sz w:val="24"/>
          <w:szCs w:val="24"/>
        </w:rPr>
      </w:pPr>
    </w:p>
    <w:sectPr w:rsidR="0042297A" w:rsidRPr="00125FC6" w:rsidSect="006B0CF4">
      <w:footerReference w:type="defaul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68" w:rsidRDefault="00611A68" w:rsidP="006B0CF4">
      <w:pPr>
        <w:spacing w:after="0" w:line="240" w:lineRule="auto"/>
      </w:pPr>
      <w:r>
        <w:separator/>
      </w:r>
    </w:p>
  </w:endnote>
  <w:endnote w:type="continuationSeparator" w:id="0">
    <w:p w:rsidR="00611A68" w:rsidRDefault="00611A68" w:rsidP="006B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7208"/>
      <w:docPartObj>
        <w:docPartGallery w:val="Page Numbers (Bottom of Page)"/>
        <w:docPartUnique/>
      </w:docPartObj>
    </w:sdtPr>
    <w:sdtEndPr>
      <w:rPr>
        <w:noProof/>
      </w:rPr>
    </w:sdtEndPr>
    <w:sdtContent>
      <w:p w:rsidR="006B0CF4" w:rsidRDefault="006B0CF4">
        <w:pPr>
          <w:pStyle w:val="Footer"/>
          <w:jc w:val="right"/>
        </w:pPr>
        <w:r>
          <w:fldChar w:fldCharType="begin"/>
        </w:r>
        <w:r>
          <w:instrText xml:space="preserve"> PAGE   \* MERGEFORMAT </w:instrText>
        </w:r>
        <w:r>
          <w:fldChar w:fldCharType="separate"/>
        </w:r>
        <w:r w:rsidR="007031C5">
          <w:rPr>
            <w:noProof/>
          </w:rPr>
          <w:t>3</w:t>
        </w:r>
        <w:r>
          <w:rPr>
            <w:noProof/>
          </w:rPr>
          <w:fldChar w:fldCharType="end"/>
        </w:r>
      </w:p>
    </w:sdtContent>
  </w:sdt>
  <w:p w:rsidR="006B0CF4" w:rsidRDefault="006B0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68" w:rsidRDefault="00611A68" w:rsidP="006B0CF4">
      <w:pPr>
        <w:spacing w:after="0" w:line="240" w:lineRule="auto"/>
      </w:pPr>
      <w:r>
        <w:separator/>
      </w:r>
    </w:p>
  </w:footnote>
  <w:footnote w:type="continuationSeparator" w:id="0">
    <w:p w:rsidR="00611A68" w:rsidRDefault="00611A68" w:rsidP="006B0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6C"/>
    <w:rsid w:val="00056B6A"/>
    <w:rsid w:val="0005701D"/>
    <w:rsid w:val="00082565"/>
    <w:rsid w:val="00125FC6"/>
    <w:rsid w:val="00173AC8"/>
    <w:rsid w:val="001A6E6C"/>
    <w:rsid w:val="001B43D9"/>
    <w:rsid w:val="001C1277"/>
    <w:rsid w:val="001D1C06"/>
    <w:rsid w:val="001F598C"/>
    <w:rsid w:val="00207E27"/>
    <w:rsid w:val="0021703C"/>
    <w:rsid w:val="0022406F"/>
    <w:rsid w:val="0024157F"/>
    <w:rsid w:val="00283CCF"/>
    <w:rsid w:val="002A4F9A"/>
    <w:rsid w:val="002D03B9"/>
    <w:rsid w:val="00327AE7"/>
    <w:rsid w:val="00356577"/>
    <w:rsid w:val="00361CB4"/>
    <w:rsid w:val="00394739"/>
    <w:rsid w:val="00397D76"/>
    <w:rsid w:val="003F7F4D"/>
    <w:rsid w:val="0042297A"/>
    <w:rsid w:val="00484F44"/>
    <w:rsid w:val="004A4DA8"/>
    <w:rsid w:val="004F7E50"/>
    <w:rsid w:val="00513E98"/>
    <w:rsid w:val="005D73C4"/>
    <w:rsid w:val="005E3F26"/>
    <w:rsid w:val="00611A68"/>
    <w:rsid w:val="00615418"/>
    <w:rsid w:val="006B0CF4"/>
    <w:rsid w:val="006C40D8"/>
    <w:rsid w:val="007031C5"/>
    <w:rsid w:val="0073164A"/>
    <w:rsid w:val="007337C3"/>
    <w:rsid w:val="007648FF"/>
    <w:rsid w:val="007717FF"/>
    <w:rsid w:val="007775E8"/>
    <w:rsid w:val="007A5642"/>
    <w:rsid w:val="00823ECB"/>
    <w:rsid w:val="008F3B0D"/>
    <w:rsid w:val="00960B84"/>
    <w:rsid w:val="00964D29"/>
    <w:rsid w:val="00975C6C"/>
    <w:rsid w:val="00983ADF"/>
    <w:rsid w:val="00985339"/>
    <w:rsid w:val="00994CA1"/>
    <w:rsid w:val="009A1A15"/>
    <w:rsid w:val="00A31A28"/>
    <w:rsid w:val="00A56091"/>
    <w:rsid w:val="00A66B70"/>
    <w:rsid w:val="00AA0E7E"/>
    <w:rsid w:val="00AA1F3E"/>
    <w:rsid w:val="00B5567B"/>
    <w:rsid w:val="00B70B49"/>
    <w:rsid w:val="00BA0065"/>
    <w:rsid w:val="00BC45C7"/>
    <w:rsid w:val="00C56037"/>
    <w:rsid w:val="00CA1604"/>
    <w:rsid w:val="00CA3222"/>
    <w:rsid w:val="00CC2630"/>
    <w:rsid w:val="00D23B58"/>
    <w:rsid w:val="00D65D45"/>
    <w:rsid w:val="00D77760"/>
    <w:rsid w:val="00D923DD"/>
    <w:rsid w:val="00DA4ACB"/>
    <w:rsid w:val="00DD43D1"/>
    <w:rsid w:val="00DE0953"/>
    <w:rsid w:val="00DF7F36"/>
    <w:rsid w:val="00E12D1F"/>
    <w:rsid w:val="00E25194"/>
    <w:rsid w:val="00EE2469"/>
    <w:rsid w:val="00F31A6B"/>
    <w:rsid w:val="00F441A4"/>
    <w:rsid w:val="00F52E12"/>
    <w:rsid w:val="00F5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75C6C"/>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975C6C"/>
    <w:rPr>
      <w:rFonts w:eastAsiaTheme="minorEastAsia"/>
      <w:sz w:val="24"/>
      <w:szCs w:val="24"/>
    </w:rPr>
  </w:style>
  <w:style w:type="character" w:styleId="CommentReference">
    <w:name w:val="annotation reference"/>
    <w:basedOn w:val="DefaultParagraphFont"/>
    <w:uiPriority w:val="99"/>
    <w:semiHidden/>
    <w:unhideWhenUsed/>
    <w:rsid w:val="00125FC6"/>
    <w:rPr>
      <w:sz w:val="16"/>
      <w:szCs w:val="16"/>
    </w:rPr>
  </w:style>
  <w:style w:type="paragraph" w:styleId="BalloonText">
    <w:name w:val="Balloon Text"/>
    <w:basedOn w:val="Normal"/>
    <w:link w:val="BalloonTextChar"/>
    <w:uiPriority w:val="99"/>
    <w:semiHidden/>
    <w:unhideWhenUsed/>
    <w:rsid w:val="00125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C6"/>
    <w:rPr>
      <w:rFonts w:ascii="Tahoma" w:hAnsi="Tahoma" w:cs="Tahoma"/>
      <w:sz w:val="16"/>
      <w:szCs w:val="16"/>
    </w:rPr>
  </w:style>
  <w:style w:type="table" w:styleId="TableGrid">
    <w:name w:val="Table Grid"/>
    <w:basedOn w:val="TableNormal"/>
    <w:uiPriority w:val="59"/>
    <w:rsid w:val="00AA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97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E0953"/>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DE0953"/>
    <w:rPr>
      <w:rFonts w:eastAsiaTheme="minorEastAsia"/>
      <w:b/>
      <w:bCs/>
      <w:sz w:val="20"/>
      <w:szCs w:val="20"/>
    </w:rPr>
  </w:style>
  <w:style w:type="paragraph" w:styleId="Header">
    <w:name w:val="header"/>
    <w:basedOn w:val="Normal"/>
    <w:link w:val="HeaderChar"/>
    <w:uiPriority w:val="99"/>
    <w:unhideWhenUsed/>
    <w:rsid w:val="006B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CF4"/>
  </w:style>
  <w:style w:type="paragraph" w:styleId="Footer">
    <w:name w:val="footer"/>
    <w:basedOn w:val="Normal"/>
    <w:link w:val="FooterChar"/>
    <w:uiPriority w:val="99"/>
    <w:unhideWhenUsed/>
    <w:rsid w:val="006B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CF4"/>
  </w:style>
  <w:style w:type="character" w:styleId="LineNumber">
    <w:name w:val="line number"/>
    <w:basedOn w:val="DefaultParagraphFont"/>
    <w:uiPriority w:val="99"/>
    <w:semiHidden/>
    <w:unhideWhenUsed/>
    <w:rsid w:val="006B0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75C6C"/>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975C6C"/>
    <w:rPr>
      <w:rFonts w:eastAsiaTheme="minorEastAsia"/>
      <w:sz w:val="24"/>
      <w:szCs w:val="24"/>
    </w:rPr>
  </w:style>
  <w:style w:type="character" w:styleId="CommentReference">
    <w:name w:val="annotation reference"/>
    <w:basedOn w:val="DefaultParagraphFont"/>
    <w:uiPriority w:val="99"/>
    <w:semiHidden/>
    <w:unhideWhenUsed/>
    <w:rsid w:val="00125FC6"/>
    <w:rPr>
      <w:sz w:val="16"/>
      <w:szCs w:val="16"/>
    </w:rPr>
  </w:style>
  <w:style w:type="paragraph" w:styleId="BalloonText">
    <w:name w:val="Balloon Text"/>
    <w:basedOn w:val="Normal"/>
    <w:link w:val="BalloonTextChar"/>
    <w:uiPriority w:val="99"/>
    <w:semiHidden/>
    <w:unhideWhenUsed/>
    <w:rsid w:val="00125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C6"/>
    <w:rPr>
      <w:rFonts w:ascii="Tahoma" w:hAnsi="Tahoma" w:cs="Tahoma"/>
      <w:sz w:val="16"/>
      <w:szCs w:val="16"/>
    </w:rPr>
  </w:style>
  <w:style w:type="table" w:styleId="TableGrid">
    <w:name w:val="Table Grid"/>
    <w:basedOn w:val="TableNormal"/>
    <w:uiPriority w:val="59"/>
    <w:rsid w:val="00AA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97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E0953"/>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DE0953"/>
    <w:rPr>
      <w:rFonts w:eastAsiaTheme="minorEastAsia"/>
      <w:b/>
      <w:bCs/>
      <w:sz w:val="20"/>
      <w:szCs w:val="20"/>
    </w:rPr>
  </w:style>
  <w:style w:type="paragraph" w:styleId="Header">
    <w:name w:val="header"/>
    <w:basedOn w:val="Normal"/>
    <w:link w:val="HeaderChar"/>
    <w:uiPriority w:val="99"/>
    <w:unhideWhenUsed/>
    <w:rsid w:val="006B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CF4"/>
  </w:style>
  <w:style w:type="paragraph" w:styleId="Footer">
    <w:name w:val="footer"/>
    <w:basedOn w:val="Normal"/>
    <w:link w:val="FooterChar"/>
    <w:uiPriority w:val="99"/>
    <w:unhideWhenUsed/>
    <w:rsid w:val="006B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CF4"/>
  </w:style>
  <w:style w:type="character" w:styleId="LineNumber">
    <w:name w:val="line number"/>
    <w:basedOn w:val="DefaultParagraphFont"/>
    <w:uiPriority w:val="99"/>
    <w:semiHidden/>
    <w:unhideWhenUsed/>
    <w:rsid w:val="006B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371/journal.pone.008921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371/journal.pone.00889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ea.org/classicstats/statistic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C4AE-9188-4E9C-B9C0-DE3DFEAE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TNC_User</dc:creator>
  <cp:lastModifiedBy>jkiesecker</cp:lastModifiedBy>
  <cp:revision>3</cp:revision>
  <dcterms:created xsi:type="dcterms:W3CDTF">2019-09-27T07:25:00Z</dcterms:created>
  <dcterms:modified xsi:type="dcterms:W3CDTF">2019-09-27T12:03:00Z</dcterms:modified>
</cp:coreProperties>
</file>