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2C" w:rsidRPr="00C6303D" w:rsidRDefault="002C3C2C" w:rsidP="002C3C2C">
      <w:pPr>
        <w:rPr>
          <w:rFonts w:cs="Times New Roman"/>
          <w:szCs w:val="24"/>
          <w:u w:val="single"/>
        </w:rPr>
      </w:pPr>
    </w:p>
    <w:p w:rsidR="002C3C2C" w:rsidRPr="00C6303D" w:rsidRDefault="002C3C2C" w:rsidP="002C3C2C">
      <w:pPr>
        <w:pStyle w:val="berschrift2"/>
        <w:tabs>
          <w:tab w:val="clear" w:pos="567"/>
        </w:tabs>
        <w:ind w:left="0" w:firstLine="0"/>
      </w:pPr>
      <w:r>
        <w:t xml:space="preserve">Supplementary </w:t>
      </w:r>
      <w:r w:rsidRPr="00C6303D">
        <w:t>Mat</w:t>
      </w:r>
      <w:bookmarkStart w:id="0" w:name="_GoBack"/>
      <w:bookmarkEnd w:id="0"/>
      <w:r w:rsidRPr="00C6303D">
        <w:t>erials and Methods</w:t>
      </w:r>
    </w:p>
    <w:p w:rsidR="002C3C2C" w:rsidRPr="00C6303D" w:rsidRDefault="002C3C2C" w:rsidP="002C3C2C">
      <w:pPr>
        <w:spacing w:line="480" w:lineRule="auto"/>
        <w:rPr>
          <w:rFonts w:eastAsia="Times New Roman" w:cs="Times New Roman"/>
          <w:sz w:val="20"/>
          <w:szCs w:val="20"/>
          <w:lang w:eastAsia="de-DE"/>
        </w:rPr>
      </w:pPr>
      <w:r w:rsidRPr="00C6303D">
        <w:rPr>
          <w:rFonts w:ascii="Arial" w:hAnsi="Arial" w:cs="Arial"/>
          <w:i/>
          <w:sz w:val="20"/>
          <w:szCs w:val="20"/>
        </w:rPr>
        <w:t xml:space="preserve">Cell lines. </w:t>
      </w:r>
      <w:r w:rsidRPr="00C6303D">
        <w:rPr>
          <w:rFonts w:ascii="Arial" w:hAnsi="Arial" w:cs="Arial"/>
          <w:sz w:val="20"/>
          <w:szCs w:val="20"/>
        </w:rPr>
        <w:t>Human colorectal cancer cell lines SW48 (ATCC CCL-231), SW480 (ATCC CCL-228) and SW620 (ATCC CCL-227) or DLD-1 (ATCC CCL-221) were cultivated in DMEM or RPMI respectively (both Life Technologies, Carlsbad, USA), supplemented with 10% (v/v) FBS (Merck Millipore, Billerica, USA) and 1% (v/v) penicillin/streptomycin (Gibco/Life Technologies) at 37°C in a humidified atmosphere including 5% CO</w:t>
      </w:r>
      <w:r w:rsidRPr="00C6303D">
        <w:rPr>
          <w:rFonts w:ascii="Arial" w:hAnsi="Arial" w:cs="Arial"/>
          <w:sz w:val="20"/>
          <w:szCs w:val="20"/>
          <w:vertAlign w:val="subscript"/>
        </w:rPr>
        <w:t>2</w:t>
      </w:r>
      <w:r w:rsidRPr="00C6303D">
        <w:rPr>
          <w:rFonts w:ascii="Arial" w:hAnsi="Arial" w:cs="Arial"/>
          <w:sz w:val="20"/>
          <w:szCs w:val="20"/>
        </w:rPr>
        <w:t xml:space="preserve">. Ba/F3 cells (CSC-C2045, Creative Bioarray, New York, USA) were kindly provided by Stefan Horn (UKE, Hamburg, Germany) and maintained in RPMI medium containing 10% (v/v) FBS, 1% (v/v) penicillin/streptomycin and 10 ng/ml recombinant murine interleukin-3 (IL-3) purchased from Peprotech (Rocky Hill, USA). </w:t>
      </w:r>
      <w:r w:rsidRPr="00C6303D">
        <w:rPr>
          <w:rFonts w:ascii="Arial" w:eastAsia="Times New Roman" w:hAnsi="Arial" w:cs="Arial"/>
          <w:i/>
          <w:iCs/>
          <w:color w:val="000000"/>
          <w:sz w:val="20"/>
          <w:szCs w:val="20"/>
          <w:bdr w:val="none" w:sz="0" w:space="0" w:color="auto" w:frame="1"/>
          <w:lang w:eastAsia="de-DE"/>
        </w:rPr>
        <w:t>Mycoplasma</w:t>
      </w:r>
      <w:r w:rsidRPr="00C6303D">
        <w:rPr>
          <w:rFonts w:ascii="Arial" w:eastAsia="Times New Roman" w:hAnsi="Arial" w:cs="Arial"/>
          <w:color w:val="000000"/>
          <w:sz w:val="20"/>
          <w:szCs w:val="20"/>
          <w:shd w:val="clear" w:color="auto" w:fill="FFFFFF"/>
          <w:lang w:eastAsia="de-DE"/>
        </w:rPr>
        <w:t> testing was done in June 2016 (Venor- GeM kit, Merck Millipore). For experiments, cells were used at passage 3 - 15 after thawing.</w:t>
      </w:r>
    </w:p>
    <w:p w:rsidR="002C3C2C" w:rsidRPr="00C6303D" w:rsidRDefault="002C3C2C" w:rsidP="002C3C2C">
      <w:pPr>
        <w:spacing w:line="480" w:lineRule="auto"/>
        <w:jc w:val="both"/>
        <w:rPr>
          <w:rFonts w:ascii="Arial" w:hAnsi="Arial" w:cs="Arial"/>
          <w:sz w:val="20"/>
          <w:szCs w:val="20"/>
        </w:rPr>
      </w:pPr>
    </w:p>
    <w:p w:rsidR="002C3C2C" w:rsidRPr="00C6303D" w:rsidRDefault="002C3C2C" w:rsidP="002C3C2C">
      <w:pPr>
        <w:spacing w:line="480" w:lineRule="auto"/>
        <w:jc w:val="both"/>
        <w:rPr>
          <w:rFonts w:ascii="Arial" w:hAnsi="Arial" w:cs="Arial"/>
          <w:sz w:val="20"/>
          <w:szCs w:val="20"/>
        </w:rPr>
      </w:pPr>
    </w:p>
    <w:p w:rsidR="002C3C2C" w:rsidRPr="00C6303D" w:rsidRDefault="002C3C2C" w:rsidP="002C3C2C">
      <w:pPr>
        <w:spacing w:line="480" w:lineRule="auto"/>
        <w:jc w:val="both"/>
        <w:rPr>
          <w:rFonts w:ascii="Arial" w:hAnsi="Arial" w:cs="Arial"/>
          <w:i/>
          <w:sz w:val="20"/>
          <w:szCs w:val="20"/>
        </w:rPr>
      </w:pPr>
      <w:r w:rsidRPr="00C6303D">
        <w:rPr>
          <w:rFonts w:ascii="Arial" w:hAnsi="Arial" w:cs="Arial"/>
          <w:i/>
          <w:sz w:val="20"/>
          <w:szCs w:val="20"/>
        </w:rPr>
        <w:t xml:space="preserve">Cloning of EGFR- and RAS expression constructs. </w:t>
      </w:r>
      <w:r w:rsidRPr="00C6303D">
        <w:rPr>
          <w:rFonts w:ascii="Arial" w:hAnsi="Arial" w:cs="Arial"/>
          <w:sz w:val="20"/>
          <w:szCs w:val="20"/>
        </w:rPr>
        <w:t xml:space="preserve">For ectopic expression of the complete human wild-type EGFR (hEGFR), the respective full-length cDNA was inserted into a third-generation, self-inactivating (SIN) lentiviral gene ontology vectors LeGO-iG3-Puro+/eGFP as well as LeGO-iG3-Puro+/mCherry as described previously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{"citationItems":[{"id":"ITEM-1","itemData":{"DOI":"10.18632/oncotarget.3574","ISSN":"1949-2553","PMID":"26059438","abstract":"Acquired resistance to epidermal growth factor receptor (EGFR) targeted antibodies represents a clinical challenge in the treatment of gastrointestinal tumors such as metastatic colorectal cancer, but its molecular mechanisms are incompletely understood. We scanned KRAS exon 2/3/4, NRAS exon 2/3/4 and the overlapping epitopes of the EGFR antibodies cetuximab and panitumumab for mutations in pre- and post-treatment tumor tissue of 21 patients with gastrointestinal cancer treated with chemotherapy +/- EGFR antibodies by next-generation sequencing (\"tumor tissue\" cohort). We describe a novel EGFR exon 12 mutation acquired in tumors of 1 out of 3 patients treated with panitumumab. The EGFR G465R mutation introduces a positive charge within the overlap of the panitumumab and cetuximab epitopes. It abrogates antibody binding and mediates cross-resistance to both antibodies in EGFR G465R-transfected Ba/F3 cells. In circulating tumor DNA from an independent \"liquid biopsy\" cohort of 27 patients, we found this novel mutation in 1 out of 6 panitumumab-treated cases while about one third of patients show acquired RAS mutations. We show that acquired resistance by epitope-changing mutations also emerges during panitumumab treatment, which can be easily detected by a liquid biopsy approach even before clinical resistance occurs and this may help in tailoring EGFR-targeted therapies.","author":[{"dropping-particle":"","family":"Braig","given":"Friederike","non-dropping-particle":"","parse-names":false,"suffix":""},{"dropping-particle":"","family":"März","given":"Manuela","non-dropping-particle":"","parse-names":false,"suffix":""},{"dropping-particle":"","family":"Schieferdecker","given":"Aneta","non-dropping-particle":"","parse-names":false,"suffix":""},{"dropping-particle":"","family":"Schulte","given":"Alexander","non-dropping-particle":"","parse-names":false,"suffix":""},{"dropping-particle":"","family":"Voigt","given":"Mareike","non-dropping-particle":"","parse-names":false,"suffix":""},{"dropping-particle":"","family":"Stein","given":"Alexander","non-dropping-particle":"","parse-names":false,"suffix":""},{"dropping-particle":"","family":"Grob","given":"Tobias","non-dropping-particle":"","parse-names":false,"suffix":""},{"dropping-particle":"","family":"Alawi","given":"Malik","non-dropping-particle":"","parse-names":false,"suffix":""},{"dropping-particle":"","family":"Indenbirken","given":"Daniela","non-dropping-particle":"","parse-names":false,"suffix":""},{"dropping-particle":"","family":"Kriegs","given":"Malte","non-dropping-particle":"","parse-names":false,"suffix":""},{"dropping-particle":"","family":"Engel","given":"Erik","non-dropping-particle":"","parse-names":false,"suffix":""},{"dropping-particle":"","family":"Vanhoefer","given":"Udo","non-dropping-particle":"","parse-names":false,"suffix":""},{"dropping-particle":"","family":"Grundhoff","given":"Adam","non-dropping-particle":"","parse-names":false,"suffix":""},{"dropping-particle":"","family":"Loges","given":"Sonja","non-dropping-particle":"","parse-names":false,"suffix":""},{"dropping-particle":"","family":"Riecken","given":"Kristoffer","non-dropping-particle":"","parse-names":false,"suffix":""},{"dropping-particle":"","family":"Fehse","given":"Boris","non-dropping-particle":"","parse-names":false,"suffix":""},{"dropping-particle":"","family":"Bokemeyer","given":"Carsten","non-dropping-particle":"","parse-names":false,"suffix":""},{"dropping-particle":"","family":"Binder","given":"Mascha","non-dropping-particle":"","parse-names":false,"suffix":""}],"container-title":"Oncotarget","id":"ITEM-1","issue":"14","issued":{"date-parts":[["2015"]]},"page":"12035-12047","title":"Epidermal growth factor receptor mutation mediates cross-resistance to panitumumab and cetuximab in gastrointestinal cancer","type":"article-journal","volume":"6"},"uris":["http://www.mendeley.com/documents/?uuid=158eaa28-7045-4259-b1e3-2b470be198cb"]},{"id":"ITEM-2","itemData":{"DOI":"10.1038/mt.2008.6","ISBN":"1525-0024 (Electronic)\\r1525-0016 (Linking)","ISSN":"15250016","PMID":"18362927","abstract":"Functional gene analysis requires the possibility of overexpression, as well as downregulation of one, or ideally several, potentially interacting genes. Lentiviral vectors are well suited for this purpose as they ensure stable expression of complementary DNAs (cDNAs), as well as short-hairpin RNAs (shRNAs), and can efficiently transduce a wide spectrum of cell targets when packaged within the coat proteins of other viruses. Here we introduce a multicolor panel of novel lentiviral \"gene ontology\" (LeGO) vectors designed according to the \"building blocks\" principle. Using a wide spectrum of different fluorescent markers, including drug-selectable enhanced green fluorescent protein (eGFP)- and dTomato-blasticidin-S resistance fusion proteins, LeGO vectors allow simultaneous analysis of multiple genes and shRNAs of interest within single, easily identifiable cells. Furthermore, each functional module is flanked by unique cloning sites, ensuring flexibility and individual optimization. The efficacy of these vectors for analyzing multiple genes in a single cell was demonstrated in several different cell types, including hematopoietic, endothelial, and neural stem and progenitor cells, as well as hepatocytes. LeGO vectors thus represent a valuable tool for investigating gene networks using conditional ectopic expression and knock-down approaches simultaneously.","author":[{"dropping-particle":"","family":"Weber","given":"Kristoffer","non-dropping-particle":"","parse-names":false,"suffix":""},{"dropping-particle":"","family":"Bartsch","given":"Udo","non-dropping-particle":"","parse-names":false,"suffix":""},{"dropping-particle":"","family":"Stocking","given":"Carol","non-dropping-particle":"","parse-names":false,"suffix":""},{"dropping-particle":"","family":"Fehse","given":"Boris","non-dropping-particle":"","parse-names":false,"suffix":""}],"container-title":"Molecular Therapy","id":"ITEM-2","issue":"4","issued":{"date-parts":[["2008"]]},"page":"698-706","publisher":"The American Society of Gene Therapy","title":"A multicolor panel of novel lentiviral \"gene ontology\" (LeGO) vectors for functional gene analysis","type":"article-journal","volume":"16"},"uris":["http://www.mendeley.com/documents/?uuid=951ae9c2-0037-414b-ad63-c4db110c4bed"]}],"mendeley":{"formattedCitation":"(1,2)","plainTextFormattedCitation":"(1,2)","previouslyFormattedCitation":"&lt;sup&gt;1,2&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(1,2)</w:t>
      </w:r>
      <w:r w:rsidRPr="00C6303D">
        <w:rPr>
          <w:rFonts w:ascii="Arial" w:hAnsi="Arial" w:cs="Arial"/>
          <w:sz w:val="20"/>
          <w:szCs w:val="20"/>
        </w:rPr>
        <w:fldChar w:fldCharType="end"/>
      </w:r>
      <w:r w:rsidRPr="00C6303D">
        <w:rPr>
          <w:rFonts w:ascii="Arial" w:hAnsi="Arial" w:cs="Arial"/>
          <w:sz w:val="20"/>
          <w:szCs w:val="20"/>
        </w:rPr>
        <w:t xml:space="preserve">. The hEGFR mutant G465R was generated from the wild-type construct in the pcDNA3.1(+) vector with the QuikChange XL Site-Directed Mutagenesis Kit (Agilent Technologies, Santa Clara, USA) as described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{"citationItems":[{"id":"ITEM-1","itemData":{"DOI":"10.18632/oncotarget.3574","ISSN":"1949-2553","PMID":"26059438","abstract":"Acquired resistance to epidermal growth factor receptor (EGFR) targeted antibodies represents a clinical challenge in the treatment of gastrointestinal tumors such as metastatic colorectal cancer, but its molecular mechanisms are incompletely understood. We scanned KRAS exon 2/3/4, NRAS exon 2/3/4 and the overlapping epitopes of the EGFR antibodies cetuximab and panitumumab for mutations in pre- and post-treatment tumor tissue of 21 patients with gastrointestinal cancer treated with chemotherapy +/- EGFR antibodies by next-generation sequencing (\"tumor tissue\" cohort). We describe a novel EGFR exon 12 mutation acquired in tumors of 1 out of 3 patients treated with panitumumab. The EGFR G465R mutation introduces a positive charge within the overlap of the panitumumab and cetuximab epitopes. It abrogates antibody binding and mediates cross-resistance to both antibodies in EGFR G465R-transfected Ba/F3 cells. In circulating tumor DNA from an independent \"liquid biopsy\" cohort of 27 patients, we found this novel mutation in 1 out of 6 panitumumab-treated cases while about one third of patients show acquired RAS mutations. We show that acquired resistance by epitope-changing mutations also emerges during panitumumab treatment, which can be easily detected by a liquid biopsy approach even before clinical resistance occurs and this may help in tailoring EGFR-targeted therapies.","author":[{"dropping-particle":"","family":"Braig","given":"Friederike","non-dropping-particle":"","parse-names":false,"suffix":""},{"dropping-particle":"","family":"März","given":"Manuela","non-dropping-particle":"","parse-names":false,"suffix":""},{"dropping-particle":"","family":"Schieferdecker","given":"Aneta","non-dropping-particle":"","parse-names":false,"suffix":""},{"dropping-particle":"","family":"Schulte","given":"Alexander","non-dropping-particle":"","parse-names":false,"suffix":""},{"dropping-particle":"","family":"Voigt","given":"Mareike","non-dropping-particle":"","parse-names":false,"suffix":""},{"dropping-particle":"","family":"Stein","given":"Alexander","non-dropping-particle":"","parse-names":false,"suffix":""},{"dropping-particle":"","family":"Grob","given":"Tobias","non-dropping-particle":"","parse-names":false,"suffix":""},{"dropping-particle":"","family":"Alawi","given":"Malik","non-dropping-particle":"","parse-names":false,"suffix":""},{"dropping-particle":"","family":"Indenbirken","given":"Daniela","non-dropping-particle":"","parse-names":false,"suffix":""},{"dropping-particle":"","family":"Kriegs","given":"Malte","non-dropping-particle":"","parse-names":false,"suffix":""},{"dropping-particle":"","family":"Engel","given":"Erik","non-dropping-particle":"","parse-names":false,"suffix":""},{"dropping-particle":"","family":"Vanhoefer","given":"Udo","non-dropping-particle":"","parse-names":false,"suffix":""},{"dropping-particle":"","family":"Grundhoff","given":"Adam","non-dropping-particle":"","parse-names":false,"suffix":""},{"dropping-particle":"","family":"Loges","given":"Sonja","non-dropping-particle":"","parse-names":false,"suffix":""},{"dropping-particle":"","family":"Riecken","given":"Kristoffer","non-dropping-particle":"","parse-names":false,"suffix":""},{"dropping-particle":"","family":"Fehse","given":"Boris","non-dropping-particle":"","parse-names":false,"suffix":""},{"dropping-particle":"","family":"Bokemeyer","given":"Carsten","non-dropping-particle":"","parse-names":false,"suffix":""},{"dropping-particle":"","family":"Binder","given":"Mascha","non-dropping-particle":"","parse-names":false,"suffix":""}],"container-title":"Oncotarget","id":"ITEM-1","issue":"14","issued":{"date-parts":[["2015"]]},"page":"12035-12047","title":"Epidermal growth factor receptor mutation mediates cross-resistance to panitumumab and cetuximab in gastrointestinal cancer","type":"article-journal","volume":"6"},"uris":["http://www.mendeley.com/documents/?uuid=158eaa28-7045-4259-b1e3-2b470be198cb"]}],"mendeley":{"formattedCitation":"(2)","plainTextFormattedCitation":"(2)","previouslyFormattedCitation":"&lt;sup&gt;1&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(2)</w:t>
      </w:r>
      <w:r w:rsidRPr="00C6303D">
        <w:rPr>
          <w:rFonts w:ascii="Arial" w:hAnsi="Arial" w:cs="Arial"/>
          <w:sz w:val="20"/>
          <w:szCs w:val="20"/>
        </w:rPr>
        <w:fldChar w:fldCharType="end"/>
      </w:r>
      <w:r w:rsidRPr="00C6303D">
        <w:rPr>
          <w:rFonts w:ascii="Arial" w:hAnsi="Arial" w:cs="Arial"/>
          <w:sz w:val="20"/>
          <w:szCs w:val="20"/>
        </w:rPr>
        <w:t xml:space="preserve">, amplified using individually designed oligonucleotides (Supplementary Table 2) and cloned into the LeGO-iG3-Puro+/eGFP vector using the In-Fusion HD Cloning Plus (Takara Bio, Paris, France). The gene encoding wild-type human KRAS (hKRAS) was amplified from human colon Cancer cell line SW48 and hKRAS bearing an oncogenic mutation GGT&gt;GTT that leads to the amino acid substitution G12V was amplified from human SW480 colorectal cancer cells and cloned into LeGO-iC2-Zeo+/mCherry. Vector maps and sequence data for all parental vectors are available at http://www.LentiGO-Vectors.de. </w:t>
      </w:r>
    </w:p>
    <w:p w:rsidR="002C3C2C" w:rsidRPr="00C6303D" w:rsidRDefault="002C3C2C" w:rsidP="002C3C2C">
      <w:pPr>
        <w:spacing w:line="480" w:lineRule="auto"/>
        <w:jc w:val="both"/>
        <w:rPr>
          <w:rFonts w:ascii="Arial" w:hAnsi="Arial" w:cs="Arial"/>
          <w:i/>
          <w:sz w:val="20"/>
          <w:szCs w:val="20"/>
        </w:rPr>
      </w:pPr>
    </w:p>
    <w:p w:rsidR="002C3C2C" w:rsidRPr="00C6303D" w:rsidRDefault="002C3C2C" w:rsidP="002C3C2C">
      <w:pPr>
        <w:spacing w:line="480" w:lineRule="auto"/>
        <w:jc w:val="both"/>
        <w:rPr>
          <w:rFonts w:ascii="Arial" w:hAnsi="Arial" w:cs="Arial"/>
          <w:sz w:val="20"/>
          <w:szCs w:val="20"/>
        </w:rPr>
      </w:pPr>
      <w:r w:rsidRPr="00C6303D">
        <w:rPr>
          <w:rFonts w:ascii="Arial" w:hAnsi="Arial" w:cs="Arial"/>
          <w:i/>
          <w:sz w:val="20"/>
          <w:szCs w:val="20"/>
        </w:rPr>
        <w:lastRenderedPageBreak/>
        <w:t xml:space="preserve">Cell transduction with hEGFR and hKRAS expression constructs. </w:t>
      </w:r>
      <w:r w:rsidRPr="00C6303D">
        <w:rPr>
          <w:rFonts w:ascii="Arial" w:hAnsi="Arial" w:cs="Arial"/>
          <w:sz w:val="20"/>
          <w:szCs w:val="20"/>
        </w:rPr>
        <w:t xml:space="preserve">Ba/F3 cells were lentivirally transduced with wild-type or mutant hEGFR and/or wild-type hKRAS or hKRAS G12V encoding vector. Virus production was described earlier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{"citationItems":[{"id":"ITEM-1","itemData":{"DOI":"10.1038/mt.2008.6","ISBN":"1525-0024 (Electronic)\\r1525-0016 (Linking)","ISSN":"15250016","PMID":"18362927","abstract":"Functional gene analysis requires the possibility of overexpression, as well as downregulation of one, or ideally several, potentially interacting genes. Lentiviral vectors are well suited for this purpose as they ensure stable expression of complementary DNAs (cDNAs), as well as short-hairpin RNAs (shRNAs), and can efficiently transduce a wide spectrum of cell targets when packaged within the coat proteins of other viruses. Here we introduce a multicolor panel of novel lentiviral \"gene ontology\" (LeGO) vectors designed according to the \"building blocks\" principle. Using a wide spectrum of different fluorescent markers, including drug-selectable enhanced green fluorescent protein (eGFP)- and dTomato-blasticidin-S resistance fusion proteins, LeGO vectors allow simultaneous analysis of multiple genes and shRNAs of interest within single, easily identifiable cells. Furthermore, each functional module is flanked by unique cloning sites, ensuring flexibility and individual optimization. The efficacy of these vectors for analyzing multiple genes in a single cell was demonstrated in several different cell types, including hematopoietic, endothelial, and neural stem and progenitor cells, as well as hepatocytes. LeGO vectors thus represent a valuable tool for investigating gene networks using conditional ectopic expression and knock-down approaches simultaneously.","author":[{"dropping-particle":"","family":"Weber","given":"Kristoffer","non-dropping-particle":"","parse-names":false,"suffix":""},{"dropping-particle":"","family":"Bartsch","given":"Udo","non-dropping-particle":"","parse-names":false,"suffix":""},{"dropping-particle":"","family":"Stocking","given":"Carol","non-dropping-particle":"","parse-names":false,"suffix":""},{"dropping-particle":"","family":"Fehse","given":"Boris","non-dropping-particle":"","parse-names":false,"suffix":""}],"container-title":"Molecular Therapy","id":"ITEM-1","issue":"4","issued":{"date-parts":[["2008"]]},"page":"698-706","publisher":"The American Society of Gene Therapy","title":"A multicolor panel of novel lentiviral \"gene ontology\" (LeGO) vectors for functional gene analysis","type":"article-journal","volume":"16"},"uris":["http://www.mendeley.com/documents/?uuid=951ae9c2-0037-414b-ad63-c4db110c4bed"]}],"mendeley":{"formattedCitation":"(1)","plainTextFormattedCitation":"(1)","previouslyFormattedCitation":"&lt;sup&gt;2&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(1)</w:t>
      </w:r>
      <w:r w:rsidRPr="00C6303D">
        <w:rPr>
          <w:rFonts w:ascii="Arial" w:hAnsi="Arial" w:cs="Arial"/>
          <w:sz w:val="20"/>
          <w:szCs w:val="20"/>
        </w:rPr>
        <w:fldChar w:fldCharType="end"/>
      </w:r>
      <w:r w:rsidRPr="00C6303D">
        <w:rPr>
          <w:rFonts w:ascii="Arial" w:hAnsi="Arial" w:cs="Arial"/>
          <w:noProof/>
          <w:sz w:val="20"/>
          <w:szCs w:val="20"/>
        </w:rPr>
        <w:t>.</w:t>
      </w:r>
      <w:r w:rsidRPr="00C6303D">
        <w:rPr>
          <w:rFonts w:ascii="Arial" w:hAnsi="Arial" w:cs="Arial"/>
          <w:sz w:val="20"/>
          <w:szCs w:val="20"/>
        </w:rPr>
        <w:t xml:space="preserve"> Transduction efficiency was </w:t>
      </w:r>
      <w:proofErr w:type="gramStart"/>
      <w:r w:rsidRPr="00C6303D">
        <w:rPr>
          <w:rFonts w:ascii="Arial" w:hAnsi="Arial" w:cs="Arial"/>
          <w:sz w:val="20"/>
          <w:szCs w:val="20"/>
        </w:rPr>
        <w:t>determined</w:t>
      </w:r>
      <w:proofErr w:type="gramEnd"/>
      <w:r w:rsidRPr="00C6303D" w:rsidDel="00C75B06">
        <w:rPr>
          <w:rFonts w:ascii="Arial" w:hAnsi="Arial" w:cs="Arial"/>
          <w:sz w:val="20"/>
          <w:szCs w:val="20"/>
        </w:rPr>
        <w:t xml:space="preserve"> </w:t>
      </w:r>
      <w:r w:rsidRPr="00C6303D">
        <w:rPr>
          <w:rFonts w:ascii="Arial" w:hAnsi="Arial" w:cs="Arial"/>
          <w:sz w:val="20"/>
          <w:szCs w:val="20"/>
        </w:rPr>
        <w:t>and transduced cells were sorted based on their selective fluorescent marker by fluorescence-activated cell sorting (FACS) on a FACS Aria Illu (Becton Dickinson, Heidelberg, Germany). Polyclonal cell lines stably expressing hEGFR wild-type, G465R mutant and/or hKRAS wild-type or G12V were established by puromycin (1 µg/ml; InvivoGen, San Diego, USA) and zeocin (100 µg/ml; InvivoGen, San Diego, USA) selection. Cells were transformed to IL-3 independence by subsequent culturing in the absence of IL-3 and in the presence of 5 ng/ml human EGF (hEGF) and were used for drug-sensitivity experiments.</w:t>
      </w:r>
    </w:p>
    <w:p w:rsidR="002C3C2C" w:rsidRPr="00C6303D" w:rsidRDefault="002C3C2C" w:rsidP="002C3C2C">
      <w:pPr>
        <w:spacing w:line="480" w:lineRule="auto"/>
        <w:jc w:val="both"/>
        <w:rPr>
          <w:rFonts w:ascii="Arial" w:hAnsi="Arial" w:cs="Arial"/>
          <w:sz w:val="20"/>
          <w:szCs w:val="20"/>
        </w:rPr>
      </w:pPr>
    </w:p>
    <w:p w:rsidR="002C3C2C" w:rsidRPr="00C6303D" w:rsidRDefault="002C3C2C" w:rsidP="002C3C2C">
      <w:pPr>
        <w:spacing w:line="480" w:lineRule="auto"/>
        <w:rPr>
          <w:rFonts w:ascii="Arial" w:hAnsi="Arial" w:cs="Arial"/>
          <w:sz w:val="20"/>
          <w:szCs w:val="20"/>
        </w:rPr>
      </w:pPr>
      <w:r w:rsidRPr="00C6303D">
        <w:rPr>
          <w:rFonts w:ascii="Arial" w:hAnsi="Arial" w:cs="Arial"/>
          <w:i/>
          <w:sz w:val="20"/>
          <w:szCs w:val="20"/>
        </w:rPr>
        <w:t xml:space="preserve">Cellular drug-sensitivity and proliferation assays. </w:t>
      </w:r>
      <w:r w:rsidRPr="00C6303D">
        <w:rPr>
          <w:rFonts w:ascii="Arial" w:hAnsi="Arial" w:cs="Arial"/>
          <w:sz w:val="20"/>
          <w:szCs w:val="20"/>
        </w:rPr>
        <w:t>Cetuximab (Merck, Darmstadt, Germany) and panitumumab (Amgen, Thousand Oaks, USA) were purchased from the Hospital Pharmacy. Ba/F3 cells transduced with hEGFR and/or hKRAS encoding vectors were seeded in triplicate at equal densities of 1.0 x 10</w:t>
      </w:r>
      <w:r w:rsidRPr="00C6303D">
        <w:rPr>
          <w:rFonts w:ascii="Arial" w:hAnsi="Arial" w:cs="Arial"/>
          <w:sz w:val="20"/>
          <w:szCs w:val="20"/>
          <w:vertAlign w:val="superscript"/>
        </w:rPr>
        <w:t>5</w:t>
      </w:r>
      <w:r w:rsidRPr="00C6303D">
        <w:rPr>
          <w:rFonts w:ascii="Arial" w:hAnsi="Arial" w:cs="Arial"/>
          <w:sz w:val="20"/>
          <w:szCs w:val="20"/>
        </w:rPr>
        <w:t> cells/ml and cultured in the absence or presence of hEGF in combination with 5 µg/ml cetuximab or 2.5 µg/ml panitumumab. The average number of viable cells was measured by trypan blue staining every 24 hours for seven days using Vi-CELL Cell Viability Analyzer (Beckman Coulter, Brea, USA). Ligand and therapeutics were added freshly every 24 hours. EGFR expression of Ba/F3 cells was assessed by flow cytometry using EGFR antibody (R&amp;D Systems, Minneapolis, USA), and specific secondary antibody (R&amp;D Systems, Minneapolis, USA). Mean fluorescent intensity was measured by FACS on a FACSCanto (Becton Dickinson, Franklin Lakes, USA). Cell viability was assessed by WST-8 assay (cell counting kit-8, Sigma-Aldrich, St. Louis, USA). For this assay, 20000 cells were seeded in 100 µl hEGF-containing culture medium with the respective growth factor and/or inhibitor in 96-well culture plates and incubated for 72 hours. Viable cell numbers were determined by adding 10 µl of WST-8 reagent and absorbance was measured after two to three hours at a wavelength of 450 nm with a reference wavelength of 650 nm using a microplate reader. For combination treatment of Ba/F3 hEGFR wt / hKRAS G12V with cytostatics, the median inhibitory concentration (IC50 value) of oxaliplatinum and irinotecan was also determined by WST-8 assay. To do so, 5000 cells were seeded in hEGF-containing culture medium with serially diluted cytostatics in 96-well culture plates. Medium-</w:t>
      </w:r>
      <w:r w:rsidRPr="00C6303D">
        <w:rPr>
          <w:rFonts w:ascii="Arial" w:hAnsi="Arial" w:cs="Arial"/>
          <w:sz w:val="20"/>
          <w:szCs w:val="20"/>
        </w:rPr>
        <w:lastRenderedPageBreak/>
        <w:t>only and 100 µM cisplatinum containing wells were added as controls. Cytotoxicity was assessed after 72 hours by using WST-8 reagents.</w:t>
      </w:r>
    </w:p>
    <w:p w:rsidR="002C3C2C" w:rsidRPr="00C6303D" w:rsidRDefault="002C3C2C" w:rsidP="002C3C2C">
      <w:pPr>
        <w:spacing w:line="480" w:lineRule="auto"/>
        <w:jc w:val="both"/>
        <w:rPr>
          <w:rFonts w:ascii="Arial" w:hAnsi="Arial" w:cs="Arial"/>
          <w:sz w:val="20"/>
          <w:szCs w:val="20"/>
        </w:rPr>
      </w:pPr>
      <w:r w:rsidRPr="00C6303D">
        <w:rPr>
          <w:rFonts w:ascii="Arial" w:hAnsi="Arial" w:cs="Arial"/>
          <w:sz w:val="20"/>
          <w:szCs w:val="20"/>
        </w:rPr>
        <w:t>For cell proliferation assay of adherent colorectal cancer cell lines, SW48, SW480 SW620 or DLD-1 cells were seeded in triplicate at equal densities of 5 x 10</w:t>
      </w:r>
      <w:r w:rsidRPr="00C6303D">
        <w:rPr>
          <w:rFonts w:ascii="Arial" w:hAnsi="Arial" w:cs="Arial"/>
          <w:sz w:val="20"/>
          <w:szCs w:val="20"/>
          <w:vertAlign w:val="superscript"/>
        </w:rPr>
        <w:t>4</w:t>
      </w:r>
      <w:r w:rsidRPr="00C6303D">
        <w:rPr>
          <w:rFonts w:ascii="Arial" w:hAnsi="Arial" w:cs="Arial"/>
          <w:sz w:val="20"/>
          <w:szCs w:val="20"/>
        </w:rPr>
        <w:t> cell/well in 12-well format. Cells were stimulated with 5 ng/ml hEGF 24 hours post-seeding. Proliferation was assessed after washing cells with phosphate buffered saline (PBS) following trypsinization (0.25% trypsin, 0.02% EDTA). Proliferation of cells was assayed as described above by acquiring data at 1, 2, 4, 5 and 7 days after initiation of treatment.</w:t>
      </w:r>
    </w:p>
    <w:p w:rsidR="002C3C2C" w:rsidRPr="00C6303D" w:rsidRDefault="002C3C2C" w:rsidP="002C3C2C">
      <w:pPr>
        <w:spacing w:line="480" w:lineRule="auto"/>
        <w:jc w:val="both"/>
        <w:rPr>
          <w:rFonts w:ascii="Arial" w:hAnsi="Arial" w:cs="Arial"/>
          <w:sz w:val="20"/>
          <w:szCs w:val="20"/>
        </w:rPr>
      </w:pPr>
    </w:p>
    <w:p w:rsidR="002C3C2C" w:rsidRPr="00C6303D" w:rsidRDefault="002C3C2C" w:rsidP="002C3C2C">
      <w:pPr>
        <w:spacing w:line="480" w:lineRule="auto"/>
        <w:jc w:val="both"/>
        <w:rPr>
          <w:rFonts w:ascii="Arial" w:hAnsi="Arial" w:cs="Arial"/>
          <w:sz w:val="20"/>
          <w:szCs w:val="20"/>
        </w:rPr>
      </w:pPr>
      <w:r w:rsidRPr="00C6303D">
        <w:rPr>
          <w:rFonts w:ascii="Arial" w:hAnsi="Arial" w:cs="Arial"/>
          <w:i/>
          <w:sz w:val="20"/>
          <w:szCs w:val="20"/>
        </w:rPr>
        <w:t>PamGene serine/threonine kinase array analyses</w:t>
      </w:r>
      <w:r w:rsidRPr="00C6303D">
        <w:rPr>
          <w:rFonts w:ascii="Arial" w:hAnsi="Arial" w:cs="Arial"/>
          <w:sz w:val="20"/>
          <w:szCs w:val="20"/>
        </w:rPr>
        <w:t>. The differential kinase activity between Ba/F3 hEGFR wt / hKRAS G12V cells treated with hEGF versus hEGF + cetuximab was estimated using a PamGene serine/threonine Chip according to the manufacturer's instructions. Briefly, 1 x 10</w:t>
      </w:r>
      <w:r w:rsidRPr="00C6303D">
        <w:rPr>
          <w:rFonts w:ascii="Arial" w:hAnsi="Arial" w:cs="Arial"/>
          <w:sz w:val="20"/>
          <w:szCs w:val="20"/>
          <w:vertAlign w:val="superscript"/>
        </w:rPr>
        <w:t>6</w:t>
      </w:r>
      <w:r w:rsidRPr="00C6303D">
        <w:rPr>
          <w:rFonts w:ascii="Arial" w:hAnsi="Arial" w:cs="Arial"/>
          <w:sz w:val="20"/>
          <w:szCs w:val="20"/>
        </w:rPr>
        <w:t xml:space="preserve"> cells were lysed in M-PER Mammalian Extraction Buffer (Pierce) and subsequently treated as described previously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author":[{"dropping-particle":"","family":"Haetscher","given":"Nadine","non-dropping-particle":"","parse-names":false,"suffix":""},{"dropping-particle":"","family":"Feuermann","given":"Yonatan","non-dropping-particle":"","parse-names":false,"suffix":""},{"dropping-particle":"","family":"Wingert","given":"Susanne","non-dropping-particle":"","parse-names":false,"suffix":""},{"dropping-particle":"","family":"Rehage","given":"Maike","non-dropping-particle":"","parse-names":false,"suffix":""},{"dropping-particle":"","family":"Thalheimer","given":"Frederic B","non-dropping-particle":"","parse-names":false,"suffix":""},{"dropping-particle":"","family":"Weiser","given":"Christian","non-dropping-particle":"","parse-names":false,"suffix":""},{"dropping-particle":"","family":"Bohnenberger","given":"Hanibal","non-dropping-particle":"","parse-names":false,"suffix":""},{"dropping-particle":"","family":"Jung","given":"Klaus","non-dropping-particle":"","parse-names":false,"suffix":""},{"dropping-particle":"","family":"Schroeder","given":"Timm","non-dropping-particle":"","parse-names":false,"suffix":""},{"dropping-particle":"","family":"Serve","given":"Hubert","non-dropping-particle":"","parse-names":false,"suffix":""},{"dropping-particle":"","family":"Oellerich","given":"Thomas","non-dropping-particle":"","parse-names":false,"suffix":""},{"dropping-particle":"","family":"Hennighausen","given":"Lothar","non-dropping-particle":"","parse-names":false,"suffix":""},{"dropping-particle":"","family":"Rieger","given":"Michael A","non-dropping-particle":"","parse-names":false,"suffix":""}],"container-title":"Nature Communications","id":"ITEM-1","issued":{"date-parts":[["2015","11"]]},"page":"8928","publisher":"The Author(s)","title":"STAT5-regulated microRNA-193b controls haematopoietic stem and progenitor cell expansion by modulating cytokine receptor signalling","type":"article-journal","volume":"6"},"uris":["http://www.mendeley.com/documents/?uuid=2d3ccbfc-7439-4935-81c0-03fc9636310c","http://www.mendeley.com/documents/?uuid=3994f186-e81a-47ea-9447-3445f524fea3"]}],"mendeley":{"formattedCitation":"(3)","plainTextFormattedCitation":"(3)","previouslyFormattedCitation":"&lt;sup&gt;3&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(3)</w:t>
      </w:r>
      <w:r w:rsidRPr="00C6303D">
        <w:rPr>
          <w:rFonts w:ascii="Arial" w:hAnsi="Arial" w:cs="Arial"/>
          <w:sz w:val="20"/>
          <w:szCs w:val="20"/>
        </w:rPr>
        <w:fldChar w:fldCharType="end"/>
      </w:r>
      <w:r w:rsidRPr="00C6303D">
        <w:rPr>
          <w:rFonts w:ascii="Arial" w:hAnsi="Arial" w:cs="Arial"/>
          <w:sz w:val="20"/>
          <w:szCs w:val="20"/>
        </w:rPr>
        <w:t xml:space="preserve">. Image analysis, signal quantification for kinomic analysis and data analysis was performed using the BioNavigator software v. 6.2 (PamGene). </w:t>
      </w:r>
    </w:p>
    <w:p w:rsidR="002C3C2C" w:rsidRPr="00C6303D" w:rsidRDefault="002C3C2C" w:rsidP="002C3C2C">
      <w:pPr>
        <w:spacing w:line="480" w:lineRule="auto"/>
        <w:jc w:val="both"/>
        <w:rPr>
          <w:rFonts w:ascii="Arial" w:hAnsi="Arial" w:cs="Arial"/>
          <w:sz w:val="20"/>
          <w:szCs w:val="20"/>
        </w:rPr>
      </w:pPr>
    </w:p>
    <w:p w:rsidR="002C3C2C" w:rsidRPr="00C6303D" w:rsidRDefault="002C3C2C" w:rsidP="002C3C2C">
      <w:pPr>
        <w:spacing w:line="480" w:lineRule="auto"/>
        <w:jc w:val="both"/>
        <w:rPr>
          <w:rFonts w:ascii="Arial" w:hAnsi="Arial" w:cs="Arial"/>
          <w:sz w:val="20"/>
          <w:szCs w:val="20"/>
          <w:vertAlign w:val="superscript"/>
        </w:rPr>
      </w:pPr>
      <w:r w:rsidRPr="00C6303D">
        <w:rPr>
          <w:rFonts w:ascii="Arial" w:hAnsi="Arial" w:cs="Arial"/>
          <w:i/>
          <w:sz w:val="20"/>
          <w:szCs w:val="20"/>
        </w:rPr>
        <w:t xml:space="preserve">Targeted next-generation sequencing (NGS) of RAS exons. </w:t>
      </w:r>
      <w:r w:rsidRPr="00C6303D">
        <w:rPr>
          <w:rFonts w:ascii="Arial" w:hAnsi="Arial" w:cs="Arial"/>
          <w:sz w:val="20"/>
          <w:szCs w:val="20"/>
        </w:rPr>
        <w:t xml:space="preserve">To assess expression of murine RAS isoforms in Ba/F3 cell lines, murine KRAS, NRAS and HRAS exon 2 sequences were amplified from genomic DNA and cDNA in two consecutive PCR reactions using the proof-reading polymerase Phusion HS II (Thermo Fisher Scientific Inc., Wilmington, USA) including overhangs for hybridization of amplicons to the Illumina flow cell for sequencing-primer annealing essentially as previously described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{"citationItems":[{"id":"ITEM-1","itemData":{"DOI":"10.3892/mmr.2015.3245","ISSN":"17913004","PMID":"25625229","abstract":"Epidermal growth factor receptor (EGFR) and insulinlike growth factor receptorI (IGFIR) are frequently overexpressed in gastric cancer cells. However, these cells are resistant to the antiEGFR monoclonal antibody cetuximab. The aim of the present study was to determine whether cetuximab resistance in gastric cancer cells resulted from activation of the IGFIR signaling pathway by cetuximab. The results demonstrated that EGFR phosphorylation was markedly inhibited in gastric cancer cell lines (SGC7901 and MGC803) which possessed functional Kras and BRAF following treatment with cetuximab. However, cetuximab treatment did not diminish cell viability; by contrast, IGFIR activation was observed. Knockdown of IGFIR or the use of an IGFIR inhibitor were found to increase the sensitivity of gastric cancer cells to cetuximab. Furthermore, cetuximab induced phosphorylation of the nonreceptor tyrosine kinase csteroid receptor coactivator (Src). Treatment of gastric cancer cells with a Src inhibitor was shown to significantly reduce cetuximabinduced phosphorylation of IGFIR as well as Src, which resulted in enhanced sensitivity to cetuximab treatment. In conclusion, the results of the present study demonstrated that cetuximabinduced IGFIR activation was involved in cetuximab resistance in gastric cancer cells and that Src was an important mediator for IGFIR activation.","author":[{"dropping-particle":"","family":"Li","given":"Xin","non-dropping-particle":"","parse-names":false,"suffix":""},{"dropping-particle":"","family":"Xu","given":"Ling","non-dropping-particle":"","parse-names":false,"suffix":""},{"dropping-particle":"","family":"Li","given":"Heming","non-dropping-particle":"","parse-names":false,"suffix":""},{"dropping-particle":"","family":"Zhao","given":"Lei","non-dropping-particle":"","parse-names":false,"suffix":""},{"dropping-particle":"","family":"Luo","given":"Ying","non-dropping-particle":"","parse-names":false,"suffix":""},{"dropping-particle":"","family":"Zhu","given":"Zhitu","non-dropping-particle":"","parse-names":false,"suffix":""},{"dropping-particle":"","family":"Liu","given":"Yunpeng","non-dropping-particle":"","parse-names":false,"suffix":""},{"dropping-particle":"","family":"Qu","given":"Xiujuan","non-dropping-particle":"","parse-names":false,"suffix":""}],"container-title":"Molecular Medicine Reports","id":"ITEM-1","issue":"6","issued":{"date-parts":[["2015"]]},"page":"4547-4554","title":"Cetuximab-induced insulin-like growth factor receptor i activation mediates cetuximab resistance in gastric cancer cells","type":"article-journal","volume":"11"},"uris":["http://www.mendeley.com/documents/?uuid=c17b443d-2ffb-4170-851c-7aeda348a50e"]},{"id":"ITEM-2","itemData":{"DOI":"10.18632/oncotarget.3574","ISSN":"1949-2553","PMID":"26059438","abstract":"Acquired resistance to epidermal growth factor receptor (EGFR) targeted antibodies represents a clinical challenge in the treatment of gastrointestinal tumors such as metastatic colorectal cancer, but its molecular mechanisms are incompletely understood. We scanned KRAS exon 2/3/4, NRAS exon 2/3/4 and the overlapping epitopes of the EGFR antibodies cetuximab and panitumumab for mutations in pre- and post-treatment tumor tissue of 21 patients with gastrointestinal cancer treated with chemotherapy +/- EGFR antibodies by next-generation sequencing (\"tumor tissue\" cohort). We describe a novel EGFR exon 12 mutation acquired in tumors of 1 out of 3 patients treated with panitumumab. The EGFR G465R mutation introduces a positive charge within the overlap of the panitumumab and cetuximab epitopes. It abrogates antibody binding and mediates cross-resistance to both antibodies in EGFR G465R-transfected Ba/F3 cells. In circulating tumor DNA from an independent \"liquid biopsy\" cohort of 27 patients, we found this novel mutation in 1 out of 6 panitumumab-treated cases while about one third of patients show acquired RAS mutations. We show that acquired resistance by epitope-changing mutations also emerges during panitumumab treatment, which can be easily detected by a liquid biopsy approach even before clinical resistance occurs and this may help in tailoring EGFR-targeted therapies.","author":[{"dropping-particle":"","family":"Braig","given":"Friederike","non-dropping-particle":"","parse-names":false,"suffix":""},{"dropping-particle":"","family":"März","given":"Manuela","non-dropping-particle":"","parse-names":false,"suffix":""},{"dropping-particle":"","family":"Schieferdecker","given":"Aneta","non-dropping-particle":"","parse-names":false,"suffix":""},{"dropping-particle":"","family":"Schulte","given":"Alexander","non-dropping-particle":"","parse-names":false,"suffix":""},{"dropping-particle":"","family":"Voigt","given":"Mareike","non-dropping-particle":"","parse-names":false,"suffix":""},{"dropping-particle":"","family":"Stein","given":"Alexander","non-dropping-particle":"","parse-names":false,"suffix":""},{"dropping-particle":"","family":"Grob","given":"Tobias","non-dropping-particle":"","parse-names":false,"suffix":""},{"dropping-particle":"","family":"Alawi","given":"Malik","non-dropping-particle":"","parse-names":false,"suffix":""},{"dropping-particle":"","family":"Indenbirken","given":"Daniela","non-dropping-particle":"","parse-names":false,"suffix":""},{"dropping-particle":"","family":"Kriegs","given":"Malte","non-dropping-particle":"","parse-names":false,"suffix":""},{"dropping-particle":"","family":"Engel","given":"Erik","non-dropping-particle":"","parse-names":false,"suffix":""},{"dropping-particle":"","family":"Vanhoefer","given":"Udo","non-dropping-particle":"","parse-names":false,"suffix":""},{"dropping-particle":"","family":"Grundhoff","given":"Adam","non-dropping-particle":"","parse-names":false,"suffix":""},{"dropping-particle":"","family":"Loges","given":"Sonja","non-dropping-particle":"","parse-names":false,"suffix":""},{"dropping-particle":"","family":"Riecken","given":"Kristoffer","non-dropping-particle":"","parse-names":false,"suffix":""},{"dropping-particle":"","family":"Fehse","given":"Boris","non-dropping-particle":"","parse-names":false,"suffix":""},{"dropping-particle":"","family":"Bokemeyer","given":"Carsten","non-dropping-particle":"","parse-names":false,"suffix":""},{"dropping-particle":"","family":"Binder","given":"Mascha","non-dropping-particle":"","parse-names":false,"suffix":""}],"container-title":"Oncotarget","id":"ITEM-2","issue":"14","issued":{"date-parts":[["2015"]]},"page":"12035-12047","title":"Epidermal growth factor receptor mutation mediates cross-resistance to panitumumab and cetuximab in gastrointestinal cancer","type":"article-journal","volume":"6"},"uris":["http://www.mendeley.com/documents/?uuid=158eaa28-7045-4259-b1e3-2b470be198cb"]}],"mendeley":{"formattedCitation":"(2,4)","plainTextFormattedCitation":"(2,4)","previouslyFormattedCitation":"&lt;sup&gt;1,4&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(2,4)</w:t>
      </w:r>
      <w:r w:rsidRPr="00C6303D">
        <w:rPr>
          <w:rFonts w:ascii="Arial" w:hAnsi="Arial" w:cs="Arial"/>
          <w:sz w:val="20"/>
          <w:szCs w:val="20"/>
        </w:rPr>
        <w:fldChar w:fldCharType="end"/>
      </w:r>
      <w:r w:rsidRPr="00C6303D">
        <w:rPr>
          <w:rFonts w:ascii="Arial" w:hAnsi="Arial" w:cs="Arial"/>
          <w:sz w:val="20"/>
          <w:szCs w:val="20"/>
        </w:rPr>
        <w:t xml:space="preserve">. All primers are shown in </w:t>
      </w:r>
      <w:r w:rsidRPr="00C6303D">
        <w:rPr>
          <w:rFonts w:ascii="Arial" w:hAnsi="Arial" w:cs="Arial"/>
          <w:color w:val="000000" w:themeColor="text1"/>
          <w:sz w:val="20"/>
          <w:szCs w:val="20"/>
        </w:rPr>
        <w:t>Supplementary Table 3</w:t>
      </w:r>
      <w:r w:rsidRPr="00C6303D">
        <w:rPr>
          <w:rFonts w:ascii="Arial" w:hAnsi="Arial" w:cs="Arial"/>
          <w:sz w:val="20"/>
          <w:szCs w:val="20"/>
        </w:rPr>
        <w:t xml:space="preserve">. Amplicons were purified after agarose gel electrophoresis using the NucleoSpin Gel and PCR Clean-up kit (Macherey-Nagel, Düren, Germany). All amplicons were multiplex-sequenced with a 500-cycle single indexed (8 nucleotides) paired-end run on a MiSeq (Illumina, San Diego, USA) machine. Overlapping paired reads were merged using the software FLASH (v1.2.6)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{"citationItems":[{"id":"ITEM-1","itemData":{"DOI":"10.1093/bioinformatics/btr507","ISBN":"1367-4811 (Electronic) 1367-4803 (Linking)","ISSN":"13674803","PMID":"21903629","abstract":"MOTIVATION: Next-generation sequencing technologies generate very large numbers of short reads. Even with very deep genome coverage, short read lengths cause problems in de novo assemblies. The use of paired-end libraries with a fragment size shorter than twice the read length provides an opportunity to generate much longer reads by overlapping and merging read pairs before assembling a genome.\\n\\nRESULTS: We present FLASH, a fast computational tool to extend the length of short reads by overlapping paired-end reads from fragment libraries that are sufficiently short. We tested the correctness of the tool on one million simulated read pairs, and we then applied it as a pre-processor for genome assemblies of Illumina reads from the bacterium Staphylococcus aureus and human chromosome 14. FLASH correctly extended and merged reads &gt;99% of the time on simulated reads with an error rate of &lt;1%. With adequately set parameters, FLASH correctly merged reads over 90% of the time even when the reads contained up to 5% errors. When FLASH was used to extend reads prior to assembly, the resulting assemblies had substantially greater N50 lengths for both contigs and scaffolds.\\n\\nAVAILABILITY AND IMPLEMENTATION: The FLASH system is implemented in C and is freely available as open-source code at http://www.cbcb.umd.edu/software/flash.\\n\\nCONTACT: t.magoc@gmail.com.","author":[{"dropping-particle":"","family":"Magoč","given":"Tanja","non-dropping-particle":"","parse-names":false,"suffix":""},{"dropping-particle":"","family":"Salzberg","given":"Steven L.","non-dropping-particle":"","parse-names":false,"suffix":""}],"container-title":"Bioinformatics","id":"ITEM-1","issue":"21","issued":{"date-parts":[["2011"]]},"page":"2957-2963","title":"FLASH: Fast length adjustment of short reads to improve genome assemblies","type":"article-journal","volume":"27"},"uris":["http://www.mendeley.com/documents/?uuid=2849b072-ed27-401f-864f-ecf283c1ae3d"]}],"mendeley":{"formattedCitation":"(5)","plainTextFormattedCitation":"(5)","previouslyFormattedCitation":"&lt;sup&gt;5&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(5)</w:t>
      </w:r>
      <w:r w:rsidRPr="00C6303D">
        <w:rPr>
          <w:rFonts w:ascii="Arial" w:hAnsi="Arial" w:cs="Arial"/>
          <w:sz w:val="20"/>
          <w:szCs w:val="20"/>
        </w:rPr>
        <w:fldChar w:fldCharType="end"/>
      </w:r>
      <w:r w:rsidRPr="00C6303D">
        <w:rPr>
          <w:rFonts w:ascii="Arial" w:hAnsi="Arial" w:cs="Arial"/>
          <w:sz w:val="20"/>
          <w:szCs w:val="20"/>
        </w:rPr>
        <w:t xml:space="preserve">. Non-overlapping reads were excluded from further analysis. Usearch (v6.0.307) </w:t>
      </w:r>
      <w:r w:rsidRPr="00C6303D">
        <w:rPr>
          <w:rFonts w:ascii="Arial" w:hAnsi="Arial" w:cs="Arial"/>
          <w:sz w:val="20"/>
          <w:szCs w:val="20"/>
        </w:rPr>
        <w:fldChar w:fldCharType="begin" w:fldLock="1"/>
      </w:r>
      <w:r w:rsidRPr="00C6303D">
        <w:rPr>
          <w:rFonts w:ascii="Arial" w:hAnsi="Arial" w:cs="Arial"/>
          <w:sz w:val="20"/>
          <w:szCs w:val="20"/>
        </w:rPr>
        <w:instrText>ADDIN CSL_CITATION {"citationItems":[{"id":"ITEM-1","itemData":{"DOI":"10.1093/bioinformatics/btq461","ISBN":"1367-4811 (Electronic)\\r1367-4803 (Linking)","ISSN":"13674803","PMID":"20709691","abstract":"Biological sequence data is accumulating rapidly, motivating the development of improved high-throughput methods for sequence classification.","author":[{"dropping-particle":"","family":"Edgar","given":"Robert C.","non-dropping-particle":"","parse-names":false,"suffix":""}],"container-title":"Bioinformatics","id":"ITEM-1","issue":"19","issued":{"date-parts":[["2010"]]},"page":"2460-2461","title":"Search and clustering orders of magnitude faster than BLAST","type":"article-journal","volume":"26"},"uris":["http://www.mendeley.com/documents/?uuid=65520377-1286-4173-8867-8b7bd93f08b8"]}],"mendeley":{"formattedCitation":"(6)","plainTextFormattedCitation":"(6)","previouslyFormattedCitation":"&lt;sup&gt;6&lt;/sup&gt;"},"properties":{"noteIndex":0},"schema":"https://github.com/citation-style-language/schema/raw/master/csl-citation.json"}</w:instrText>
      </w:r>
      <w:r w:rsidRPr="00C6303D">
        <w:rPr>
          <w:rFonts w:ascii="Arial" w:hAnsi="Arial" w:cs="Arial"/>
          <w:sz w:val="20"/>
          <w:szCs w:val="20"/>
        </w:rPr>
        <w:fldChar w:fldCharType="separate"/>
      </w:r>
      <w:r w:rsidRPr="00C6303D">
        <w:rPr>
          <w:rFonts w:ascii="Arial" w:hAnsi="Arial" w:cs="Arial"/>
          <w:noProof/>
          <w:sz w:val="20"/>
          <w:szCs w:val="20"/>
        </w:rPr>
        <w:t>(6)</w:t>
      </w:r>
      <w:r w:rsidRPr="00C6303D">
        <w:rPr>
          <w:rFonts w:ascii="Arial" w:hAnsi="Arial" w:cs="Arial"/>
          <w:sz w:val="20"/>
          <w:szCs w:val="20"/>
        </w:rPr>
        <w:fldChar w:fldCharType="end"/>
      </w:r>
      <w:r w:rsidRPr="00C6303D">
        <w:rPr>
          <w:rFonts w:ascii="Arial" w:hAnsi="Arial" w:cs="Arial"/>
          <w:sz w:val="20"/>
          <w:szCs w:val="20"/>
        </w:rPr>
        <w:t xml:space="preserve"> was employed to dereplicate and cluster the merged reads. Sequences observed less than 30 times were discarded and the remaining sequences were clustered according to their similarity with reference RAS sequences.</w:t>
      </w:r>
    </w:p>
    <w:p w:rsidR="002C3C2C" w:rsidRPr="00C6303D" w:rsidRDefault="002C3C2C" w:rsidP="002C3C2C">
      <w:pPr>
        <w:autoSpaceDE w:val="0"/>
        <w:autoSpaceDN w:val="0"/>
        <w:adjustRightInd w:val="0"/>
        <w:spacing w:line="480" w:lineRule="auto"/>
        <w:jc w:val="both"/>
        <w:rPr>
          <w:rFonts w:ascii="Arial" w:hAnsi="Arial" w:cs="Arial"/>
          <w:sz w:val="20"/>
          <w:szCs w:val="20"/>
        </w:rPr>
      </w:pPr>
    </w:p>
    <w:p w:rsidR="002C3C2C" w:rsidRPr="00C6303D" w:rsidRDefault="002C3C2C" w:rsidP="002C3C2C">
      <w:pPr>
        <w:spacing w:line="480" w:lineRule="auto"/>
        <w:jc w:val="both"/>
        <w:rPr>
          <w:rFonts w:ascii="Arial" w:hAnsi="Arial" w:cs="Arial"/>
          <w:color w:val="000000" w:themeColor="text1"/>
          <w:sz w:val="20"/>
          <w:szCs w:val="20"/>
        </w:rPr>
      </w:pPr>
      <w:r w:rsidRPr="00C6303D">
        <w:rPr>
          <w:rFonts w:ascii="Arial" w:hAnsi="Arial" w:cs="Arial"/>
          <w:i/>
          <w:sz w:val="20"/>
          <w:szCs w:val="20"/>
        </w:rPr>
        <w:t xml:space="preserve">MAPK signaling. </w:t>
      </w:r>
      <w:r w:rsidRPr="00C6303D">
        <w:rPr>
          <w:rFonts w:ascii="Arial" w:hAnsi="Arial" w:cs="Arial"/>
          <w:sz w:val="20"/>
          <w:szCs w:val="20"/>
        </w:rPr>
        <w:t>hEGFR wt or hEGFR wt / hKRAS G12V transduced Ba/F3 cells were cultured with or without hEGF (5 ng/</w:t>
      </w:r>
      <w:r w:rsidRPr="00C6303D">
        <w:rPr>
          <w:rFonts w:ascii="Arial" w:hAnsi="Arial" w:cs="Arial"/>
          <w:color w:val="000000" w:themeColor="text1"/>
          <w:sz w:val="20"/>
          <w:szCs w:val="20"/>
        </w:rPr>
        <w:t xml:space="preserve">ml) in combination with cetuximab (5 µg/ml) for 2, 6, 24 or 96 hours. Protein from whole cell lysates was subjected to Western blot analysis using primary antibodies recognizing ERK1/2 </w:t>
      </w:r>
      <w:r w:rsidRPr="00C6303D">
        <w:rPr>
          <w:rFonts w:ascii="Arial" w:hAnsi="Arial" w:cs="Arial"/>
          <w:sz w:val="20"/>
          <w:szCs w:val="20"/>
        </w:rPr>
        <w:t>(#9107) and pERK1/2 (Thr202/Tyr204) (#9101, Cell Signaling Technology, Danvers, USA)</w:t>
      </w:r>
      <w:r w:rsidRPr="00C6303D">
        <w:rPr>
          <w:rFonts w:ascii="Arial" w:hAnsi="Arial" w:cs="Arial"/>
          <w:i/>
          <w:sz w:val="20"/>
          <w:szCs w:val="20"/>
        </w:rPr>
        <w:t xml:space="preserve">, </w:t>
      </w:r>
      <w:r w:rsidRPr="00C6303D">
        <w:rPr>
          <w:rFonts w:ascii="Arial" w:hAnsi="Arial" w:cs="Arial"/>
          <w:iCs/>
          <w:sz w:val="20"/>
          <w:szCs w:val="20"/>
        </w:rPr>
        <w:t>and</w:t>
      </w:r>
      <w:r w:rsidRPr="00C6303D">
        <w:rPr>
          <w:rFonts w:ascii="Arial" w:hAnsi="Arial" w:cs="Arial"/>
          <w:i/>
          <w:sz w:val="20"/>
          <w:szCs w:val="20"/>
        </w:rPr>
        <w:t xml:space="preserve"> </w:t>
      </w:r>
      <w:r w:rsidRPr="00C6303D">
        <w:rPr>
          <w:rFonts w:ascii="Arial" w:hAnsi="Arial" w:cs="Arial"/>
          <w:sz w:val="20"/>
          <w:szCs w:val="20"/>
        </w:rPr>
        <w:t xml:space="preserve">GAPDH (#32233) or </w:t>
      </w:r>
      <w:r w:rsidRPr="00C6303D">
        <w:rPr>
          <w:rFonts w:ascii="Arial" w:hAnsi="Arial" w:cs="Arial"/>
          <w:color w:val="000000" w:themeColor="text1"/>
          <w:sz w:val="20"/>
          <w:szCs w:val="20"/>
        </w:rPr>
        <w:t xml:space="preserve">β-Actin (#47778, Santa Cruz </w:t>
      </w:r>
      <w:r w:rsidRPr="00C6303D">
        <w:rPr>
          <w:rFonts w:ascii="Arial" w:hAnsi="Arial" w:cs="Arial"/>
          <w:sz w:val="20"/>
          <w:szCs w:val="20"/>
        </w:rPr>
        <w:t xml:space="preserve">Biotechnology, Inc. Texas, USA) as a loading control. IRDye 680RD and IRDye 800CW conjugated secondary antibodies were obtained from LI-COR Biosciences (Lincoln, USA). The Odyssey CLx Infrared Imaging System (LI-COR Biosciences) was used for signal detection and quantification. </w:t>
      </w:r>
    </w:p>
    <w:p w:rsidR="002C3C2C" w:rsidRPr="00C6303D" w:rsidRDefault="002C3C2C" w:rsidP="002C3C2C">
      <w:pPr>
        <w:pStyle w:val="p"/>
        <w:spacing w:before="0" w:beforeAutospacing="0" w:after="0" w:afterAutospacing="0" w:line="480" w:lineRule="auto"/>
        <w:jc w:val="both"/>
        <w:rPr>
          <w:rFonts w:ascii="Arial" w:hAnsi="Arial" w:cs="Arial"/>
          <w:sz w:val="20"/>
          <w:szCs w:val="20"/>
          <w:lang w:val="en-US"/>
        </w:rPr>
      </w:pPr>
    </w:p>
    <w:p w:rsidR="002C3C2C" w:rsidRPr="00C6303D" w:rsidRDefault="002C3C2C" w:rsidP="002C3C2C">
      <w:pPr>
        <w:spacing w:line="480" w:lineRule="auto"/>
        <w:jc w:val="both"/>
        <w:rPr>
          <w:rFonts w:ascii="Arial" w:hAnsi="Arial" w:cs="Arial"/>
          <w:b/>
          <w:bCs/>
          <w:color w:val="000000" w:themeColor="text1"/>
          <w:sz w:val="20"/>
          <w:szCs w:val="20"/>
        </w:rPr>
      </w:pPr>
      <w:r w:rsidRPr="00C6303D">
        <w:rPr>
          <w:rFonts w:ascii="Arial" w:hAnsi="Arial" w:cs="Arial"/>
          <w:i/>
          <w:color w:val="000000" w:themeColor="text1"/>
          <w:sz w:val="20"/>
          <w:szCs w:val="20"/>
        </w:rPr>
        <w:t xml:space="preserve">GTP-RAS pulldown. </w:t>
      </w:r>
      <w:r w:rsidRPr="00C6303D">
        <w:rPr>
          <w:rFonts w:ascii="Arial" w:hAnsi="Arial" w:cs="Arial"/>
          <w:color w:val="000000" w:themeColor="text1"/>
          <w:sz w:val="20"/>
          <w:szCs w:val="20"/>
        </w:rPr>
        <w:t>hEGFR wt or h</w:t>
      </w:r>
      <w:r w:rsidRPr="00C6303D">
        <w:rPr>
          <w:rFonts w:ascii="Arial" w:hAnsi="Arial" w:cs="Arial"/>
          <w:sz w:val="20"/>
          <w:szCs w:val="20"/>
        </w:rPr>
        <w:t xml:space="preserve">EGFR wt / hKRAS G12V </w:t>
      </w:r>
      <w:r w:rsidRPr="00C6303D">
        <w:rPr>
          <w:rFonts w:ascii="Arial" w:hAnsi="Arial" w:cs="Arial"/>
          <w:color w:val="000000" w:themeColor="text1"/>
          <w:sz w:val="20"/>
          <w:szCs w:val="20"/>
        </w:rPr>
        <w:t>transduced Ba/F3 cells were cultured with or without hEGF (5 ng/ml), in combination with cetuximab (5 µg/ml) for 2 hours. Active, RAS</w:t>
      </w:r>
      <w:r w:rsidRPr="00C6303D">
        <w:rPr>
          <w:rFonts w:ascii="Arial" w:hAnsi="Arial" w:cs="Arial"/>
          <w:color w:val="000000" w:themeColor="text1"/>
          <w:sz w:val="20"/>
          <w:szCs w:val="20"/>
          <w:vertAlign w:val="subscript"/>
        </w:rPr>
        <w:t>GTP</w:t>
      </w:r>
      <w:r w:rsidRPr="00C6303D">
        <w:rPr>
          <w:rFonts w:ascii="Arial" w:hAnsi="Arial" w:cs="Arial"/>
          <w:color w:val="000000" w:themeColor="text1"/>
          <w:sz w:val="20"/>
          <w:szCs w:val="20"/>
        </w:rPr>
        <w:t xml:space="preserve"> was precipitated using </w:t>
      </w:r>
      <w:r w:rsidRPr="00C6303D">
        <w:rPr>
          <w:rFonts w:ascii="Arial" w:hAnsi="Arial" w:cs="Arial"/>
          <w:sz w:val="20"/>
          <w:szCs w:val="20"/>
        </w:rPr>
        <w:t>GST-Raf-1-RAS binding domain fusion proteins according to the manufacturer’s protocol (PR-950, JenaBioscience, Jena, Germany). Total protein and pulldown samples were separated by SDS-PAGE, followed by Western Blot. Ectopic human KRAS as well as murine RAS isoforms (KRAS, NRAS, HRAS) were detected with a pan-RAS mouse monoclonal antibody. Total lysates were immunoblotted with anti-GAPDH (#32233, Santa Cruz Biotechnology, Inc. Texas, USA) as a loading control. Signal was detected as described above.</w:t>
      </w:r>
    </w:p>
    <w:p w:rsidR="002C3C2C" w:rsidRPr="00C6303D" w:rsidRDefault="002C3C2C" w:rsidP="002C3C2C">
      <w:pPr>
        <w:spacing w:line="480" w:lineRule="auto"/>
        <w:jc w:val="both"/>
        <w:rPr>
          <w:rFonts w:ascii="Arial" w:hAnsi="Arial" w:cs="Arial"/>
          <w:b/>
          <w:bCs/>
          <w:color w:val="000000" w:themeColor="text1"/>
          <w:sz w:val="20"/>
          <w:szCs w:val="20"/>
        </w:rPr>
      </w:pPr>
    </w:p>
    <w:p w:rsidR="002C3C2C" w:rsidRPr="00C6303D" w:rsidRDefault="002C3C2C" w:rsidP="002C3C2C">
      <w:pPr>
        <w:spacing w:line="480" w:lineRule="auto"/>
        <w:jc w:val="both"/>
        <w:rPr>
          <w:rFonts w:ascii="Arial" w:hAnsi="Arial" w:cs="Arial"/>
          <w:sz w:val="20"/>
          <w:szCs w:val="20"/>
        </w:rPr>
      </w:pPr>
      <w:r w:rsidRPr="00C6303D">
        <w:rPr>
          <w:rFonts w:ascii="Arial" w:hAnsi="Arial" w:cs="Arial"/>
          <w:i/>
          <w:sz w:val="20"/>
          <w:szCs w:val="20"/>
        </w:rPr>
        <w:t xml:space="preserve">Data evaluation and statistical analysis. </w:t>
      </w:r>
      <w:r w:rsidRPr="00C6303D">
        <w:rPr>
          <w:rFonts w:ascii="Arial" w:hAnsi="Arial" w:cs="Arial"/>
          <w:sz w:val="20"/>
          <w:szCs w:val="20"/>
        </w:rPr>
        <w:t xml:space="preserve">Data was plotted using GraphPad Prism version 7.00 (GraphPad Software, La Jolla California USA). Unpaired student’s t-test or two-way ANOVA followed by appropriate test for multiple comparison were applied for statistical evaluation with p-values being calculated using two-sided tests. Findings were considered significant for p&lt;0.05 (*), very significant for p&lt;0.01 (**) and highly significant for p&lt;0.001 (***). In all experiments, data shows mean ± SD or SEM of representative or combined experiments performed in triplicates as indicated. </w:t>
      </w:r>
    </w:p>
    <w:p w:rsidR="002C3C2C" w:rsidRPr="00C6303D" w:rsidRDefault="002C3C2C" w:rsidP="002C3C2C">
      <w:pPr>
        <w:spacing w:line="480" w:lineRule="auto"/>
        <w:jc w:val="both"/>
        <w:rPr>
          <w:rFonts w:ascii="Arial" w:hAnsi="Arial" w:cs="Arial"/>
          <w:sz w:val="20"/>
          <w:szCs w:val="20"/>
        </w:rPr>
      </w:pPr>
    </w:p>
    <w:p w:rsidR="002C3C2C" w:rsidRPr="00C6303D" w:rsidRDefault="002C3C2C" w:rsidP="002C3C2C">
      <w:pPr>
        <w:widowControl w:val="0"/>
        <w:autoSpaceDE w:val="0"/>
        <w:autoSpaceDN w:val="0"/>
        <w:adjustRightInd w:val="0"/>
        <w:spacing w:line="480" w:lineRule="auto"/>
        <w:ind w:left="640" w:hanging="640"/>
        <w:rPr>
          <w:rFonts w:ascii="Arial" w:eastAsia="Times New Roman" w:hAnsi="Arial" w:cs="Arial"/>
          <w:noProof/>
          <w:sz w:val="20"/>
        </w:rPr>
      </w:pPr>
      <w:r w:rsidRPr="00C6303D">
        <w:rPr>
          <w:rFonts w:ascii="Arial" w:hAnsi="Arial" w:cs="Arial"/>
          <w:sz w:val="20"/>
          <w:szCs w:val="20"/>
        </w:rPr>
        <w:fldChar w:fldCharType="begin" w:fldLock="1"/>
      </w:r>
      <w:r w:rsidRPr="00C6303D">
        <w:rPr>
          <w:rFonts w:ascii="Arial" w:hAnsi="Arial" w:cs="Arial"/>
          <w:sz w:val="20"/>
          <w:szCs w:val="20"/>
        </w:rPr>
        <w:instrText xml:space="preserve">ADDIN Mendeley Bibliography CSL_BIBLIOGRAPHY </w:instrText>
      </w:r>
      <w:r w:rsidRPr="00C6303D">
        <w:rPr>
          <w:rFonts w:ascii="Arial" w:hAnsi="Arial" w:cs="Arial"/>
          <w:sz w:val="20"/>
          <w:szCs w:val="20"/>
        </w:rPr>
        <w:fldChar w:fldCharType="separate"/>
      </w:r>
      <w:r w:rsidRPr="00C6303D">
        <w:rPr>
          <w:rFonts w:ascii="Arial" w:eastAsia="Times New Roman" w:hAnsi="Arial" w:cs="Arial"/>
          <w:noProof/>
          <w:sz w:val="20"/>
        </w:rPr>
        <w:t xml:space="preserve">1. </w:t>
      </w:r>
      <w:r w:rsidRPr="00C6303D">
        <w:rPr>
          <w:rFonts w:ascii="Arial" w:eastAsia="Times New Roman" w:hAnsi="Arial" w:cs="Arial"/>
          <w:noProof/>
          <w:sz w:val="20"/>
        </w:rPr>
        <w:tab/>
        <w:t xml:space="preserve">Weber K, Bartsch U, Stocking C, Fehse B. A multicolor panel of novel lentiviral ‘gene ontology’ (LeGO) vectors for functional gene analysis. Mol Ther [Internet]. The American Society of Gene Therapy; </w:t>
      </w:r>
      <w:r w:rsidRPr="00C6303D">
        <w:rPr>
          <w:rFonts w:ascii="Arial" w:eastAsia="Times New Roman" w:hAnsi="Arial" w:cs="Arial"/>
          <w:noProof/>
          <w:sz w:val="20"/>
        </w:rPr>
        <w:lastRenderedPageBreak/>
        <w:t>2008;16:698–706. Available from: http://linkinghub.elsevier.com/retrieve/pii/S1525001616314514</w:t>
      </w:r>
    </w:p>
    <w:p w:rsidR="002C3C2C" w:rsidRPr="00C6303D" w:rsidRDefault="002C3C2C" w:rsidP="002C3C2C">
      <w:pPr>
        <w:widowControl w:val="0"/>
        <w:autoSpaceDE w:val="0"/>
        <w:autoSpaceDN w:val="0"/>
        <w:adjustRightInd w:val="0"/>
        <w:spacing w:line="480" w:lineRule="auto"/>
        <w:ind w:left="640" w:hanging="640"/>
        <w:rPr>
          <w:rFonts w:ascii="Arial" w:eastAsia="Times New Roman" w:hAnsi="Arial" w:cs="Arial"/>
          <w:noProof/>
          <w:sz w:val="20"/>
        </w:rPr>
      </w:pPr>
      <w:r w:rsidRPr="00C6303D">
        <w:rPr>
          <w:rFonts w:ascii="Arial" w:eastAsia="Times New Roman" w:hAnsi="Arial" w:cs="Arial"/>
          <w:noProof/>
          <w:sz w:val="20"/>
          <w:lang w:val="de-DE"/>
        </w:rPr>
        <w:t xml:space="preserve">2. </w:t>
      </w:r>
      <w:r w:rsidRPr="00C6303D">
        <w:rPr>
          <w:rFonts w:ascii="Arial" w:eastAsia="Times New Roman" w:hAnsi="Arial" w:cs="Arial"/>
          <w:noProof/>
          <w:sz w:val="20"/>
          <w:lang w:val="de-DE"/>
        </w:rPr>
        <w:tab/>
        <w:t xml:space="preserve">Braig F, März M, Schieferdecker A, Schulte A, Voigt M, Stein A, et al. </w:t>
      </w:r>
      <w:r w:rsidRPr="00C6303D">
        <w:rPr>
          <w:rFonts w:ascii="Arial" w:eastAsia="Times New Roman" w:hAnsi="Arial" w:cs="Arial"/>
          <w:noProof/>
          <w:sz w:val="20"/>
        </w:rPr>
        <w:t>Epidermal growth factor receptor mutation mediates cross-resistance to panitumumab and cetuximab in gastrointestinal cancer. Oncotarget [Internet]. 2015;6:12035–47. Available from: http://www.oncotarget.com/fulltext/3574</w:t>
      </w:r>
    </w:p>
    <w:p w:rsidR="002C3C2C" w:rsidRPr="00C6303D" w:rsidRDefault="002C3C2C" w:rsidP="002C3C2C">
      <w:pPr>
        <w:widowControl w:val="0"/>
        <w:autoSpaceDE w:val="0"/>
        <w:autoSpaceDN w:val="0"/>
        <w:adjustRightInd w:val="0"/>
        <w:spacing w:line="480" w:lineRule="auto"/>
        <w:ind w:left="640" w:hanging="640"/>
        <w:rPr>
          <w:rFonts w:ascii="Arial" w:eastAsia="Times New Roman" w:hAnsi="Arial" w:cs="Arial"/>
          <w:noProof/>
          <w:sz w:val="20"/>
        </w:rPr>
      </w:pPr>
      <w:r w:rsidRPr="00C6303D">
        <w:rPr>
          <w:rFonts w:ascii="Arial" w:eastAsia="Times New Roman" w:hAnsi="Arial" w:cs="Arial"/>
          <w:noProof/>
          <w:sz w:val="20"/>
        </w:rPr>
        <w:t xml:space="preserve">3. </w:t>
      </w:r>
      <w:r w:rsidRPr="00C6303D">
        <w:rPr>
          <w:rFonts w:ascii="Arial" w:eastAsia="Times New Roman" w:hAnsi="Arial" w:cs="Arial"/>
          <w:noProof/>
          <w:sz w:val="20"/>
        </w:rPr>
        <w:tab/>
        <w:t xml:space="preserve">Haetscher N, Feuermann Y, Wingert S, Rehage M, Thalheimer FB, Weiser C, et al. STAT5-regulated microRNA-193b controls haematopoietic stem and progenitor cell expansion by modulating cytokine receptor signalling. Nat Commun. The Author(s); 2015;6:8928. </w:t>
      </w:r>
    </w:p>
    <w:p w:rsidR="002C3C2C" w:rsidRPr="00C6303D" w:rsidRDefault="002C3C2C" w:rsidP="002C3C2C">
      <w:pPr>
        <w:widowControl w:val="0"/>
        <w:autoSpaceDE w:val="0"/>
        <w:autoSpaceDN w:val="0"/>
        <w:adjustRightInd w:val="0"/>
        <w:spacing w:line="480" w:lineRule="auto"/>
        <w:ind w:left="640" w:hanging="640"/>
        <w:rPr>
          <w:rFonts w:ascii="Arial" w:eastAsia="Times New Roman" w:hAnsi="Arial" w:cs="Arial"/>
          <w:noProof/>
          <w:sz w:val="20"/>
        </w:rPr>
      </w:pPr>
      <w:r w:rsidRPr="00C6303D">
        <w:rPr>
          <w:rFonts w:ascii="Arial" w:eastAsia="Times New Roman" w:hAnsi="Arial" w:cs="Arial"/>
          <w:noProof/>
          <w:sz w:val="20"/>
        </w:rPr>
        <w:t xml:space="preserve">4. </w:t>
      </w:r>
      <w:r w:rsidRPr="00C6303D">
        <w:rPr>
          <w:rFonts w:ascii="Arial" w:eastAsia="Times New Roman" w:hAnsi="Arial" w:cs="Arial"/>
          <w:noProof/>
          <w:sz w:val="20"/>
        </w:rPr>
        <w:tab/>
        <w:t xml:space="preserve">Li X, Xu L, Li H, Zhao L, Luo Y, Zhu Z, et al. Cetuximab-induced insulin-like growth factor receptor i activation mediates cetuximab resistance in gastric cancer cells. Mol Med Rep. 2015;11:4547–54. </w:t>
      </w:r>
    </w:p>
    <w:p w:rsidR="002C3C2C" w:rsidRPr="00C6303D" w:rsidRDefault="002C3C2C" w:rsidP="002C3C2C">
      <w:pPr>
        <w:widowControl w:val="0"/>
        <w:autoSpaceDE w:val="0"/>
        <w:autoSpaceDN w:val="0"/>
        <w:adjustRightInd w:val="0"/>
        <w:spacing w:line="480" w:lineRule="auto"/>
        <w:ind w:left="640" w:hanging="640"/>
        <w:rPr>
          <w:rFonts w:ascii="Arial" w:eastAsia="Times New Roman" w:hAnsi="Arial" w:cs="Arial"/>
          <w:noProof/>
          <w:sz w:val="20"/>
        </w:rPr>
      </w:pPr>
      <w:r w:rsidRPr="00C6303D">
        <w:rPr>
          <w:rFonts w:ascii="Arial" w:eastAsia="Times New Roman" w:hAnsi="Arial" w:cs="Arial"/>
          <w:noProof/>
          <w:sz w:val="20"/>
        </w:rPr>
        <w:t xml:space="preserve">5. </w:t>
      </w:r>
      <w:r w:rsidRPr="00C6303D">
        <w:rPr>
          <w:rFonts w:ascii="Arial" w:eastAsia="Times New Roman" w:hAnsi="Arial" w:cs="Arial"/>
          <w:noProof/>
          <w:sz w:val="20"/>
        </w:rPr>
        <w:tab/>
        <w:t xml:space="preserve">Magoč T, Salzberg SL. FLASH: Fast length adjustment of short reads to improve genome assemblies. Bioinformatics. 2011;27:2957–63. </w:t>
      </w:r>
    </w:p>
    <w:p w:rsidR="002C3C2C" w:rsidRPr="00C6303D" w:rsidRDefault="002C3C2C" w:rsidP="002C3C2C">
      <w:pPr>
        <w:widowControl w:val="0"/>
        <w:autoSpaceDE w:val="0"/>
        <w:autoSpaceDN w:val="0"/>
        <w:adjustRightInd w:val="0"/>
        <w:spacing w:line="480" w:lineRule="auto"/>
        <w:ind w:left="640" w:hanging="640"/>
        <w:rPr>
          <w:rFonts w:ascii="Arial" w:hAnsi="Arial" w:cs="Arial"/>
          <w:noProof/>
          <w:sz w:val="20"/>
        </w:rPr>
      </w:pPr>
      <w:r w:rsidRPr="00C6303D">
        <w:rPr>
          <w:rFonts w:ascii="Arial" w:eastAsia="Times New Roman" w:hAnsi="Arial" w:cs="Arial"/>
          <w:noProof/>
          <w:sz w:val="20"/>
        </w:rPr>
        <w:t xml:space="preserve">6. </w:t>
      </w:r>
      <w:r w:rsidRPr="00C6303D">
        <w:rPr>
          <w:rFonts w:ascii="Arial" w:eastAsia="Times New Roman" w:hAnsi="Arial" w:cs="Arial"/>
          <w:noProof/>
          <w:sz w:val="20"/>
        </w:rPr>
        <w:tab/>
        <w:t xml:space="preserve">Edgar RC. Search and clustering orders of magnitude faster than BLAST. Bioinformatics. 2010;26:2460–1. </w:t>
      </w:r>
    </w:p>
    <w:p w:rsidR="002C3C2C" w:rsidRPr="00A75A46" w:rsidRDefault="002C3C2C" w:rsidP="002C3C2C">
      <w:pPr>
        <w:widowControl w:val="0"/>
        <w:autoSpaceDE w:val="0"/>
        <w:autoSpaceDN w:val="0"/>
        <w:adjustRightInd w:val="0"/>
        <w:spacing w:line="480" w:lineRule="auto"/>
        <w:ind w:left="640" w:hanging="640"/>
        <w:rPr>
          <w:rFonts w:ascii="Arial" w:hAnsi="Arial" w:cs="Arial"/>
          <w:sz w:val="20"/>
          <w:szCs w:val="20"/>
        </w:rPr>
      </w:pPr>
      <w:r w:rsidRPr="00C6303D">
        <w:rPr>
          <w:rFonts w:ascii="Arial" w:hAnsi="Arial" w:cs="Arial"/>
          <w:sz w:val="20"/>
          <w:szCs w:val="20"/>
        </w:rPr>
        <w:fldChar w:fldCharType="end"/>
      </w:r>
    </w:p>
    <w:p w:rsidR="002C3C2C" w:rsidRPr="00A75A46" w:rsidRDefault="002C3C2C" w:rsidP="002C3C2C">
      <w:pPr>
        <w:rPr>
          <w:sz w:val="20"/>
          <w:szCs w:val="20"/>
        </w:rPr>
      </w:pPr>
    </w:p>
    <w:p w:rsidR="002C3C2C" w:rsidRPr="001C21A3" w:rsidRDefault="002C3C2C" w:rsidP="002C3C2C"/>
    <w:p w:rsidR="002C3C2C" w:rsidRPr="001C21A3" w:rsidRDefault="002C3C2C" w:rsidP="002C3C2C">
      <w:pPr>
        <w:keepNext/>
        <w:rPr>
          <w:rFonts w:cs="Times New Roman"/>
          <w:szCs w:val="24"/>
        </w:rPr>
      </w:pPr>
    </w:p>
    <w:p w:rsidR="002C3C2C" w:rsidRPr="001C21A3" w:rsidRDefault="002C3C2C" w:rsidP="002C3C2C">
      <w:pPr>
        <w:spacing w:before="240"/>
        <w:rPr>
          <w:rFonts w:cs="Times New Roman"/>
        </w:rPr>
      </w:pPr>
    </w:p>
    <w:p w:rsidR="00DD5344" w:rsidRDefault="002C3C2C"/>
    <w:sectPr w:rsidR="00DD5344" w:rsidSect="0093429D">
      <w:headerReference w:type="even" r:id="rId5"/>
      <w:footerReference w:type="even" r:id="rId6"/>
      <w:footerReference w:type="default" r:id="rId7"/>
      <w:headerReference w:type="first" r:id="rId8"/>
      <w:pgSz w:w="12240" w:h="15840"/>
      <w:pgMar w:top="1138" w:right="1181" w:bottom="1138" w:left="128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577C4C" w:rsidRDefault="002C3C2C">
    <w:pPr>
      <w:rPr>
        <w:color w:val="C00000"/>
        <w:szCs w:val="24"/>
      </w:rPr>
    </w:pPr>
    <w:r>
      <w:rPr>
        <w:noProof/>
        <w:lang w:val="de-DE" w:eastAsia="de-DE"/>
      </w:rPr>
      <mc:AlternateContent>
        <mc:Choice Requires="wps">
          <w:drawing>
            <wp:anchor distT="0" distB="0" distL="114300" distR="114300" simplePos="0" relativeHeight="251660288" behindDoc="0" locked="0" layoutInCell="1" allowOverlap="1" wp14:anchorId="12125303" wp14:editId="64075282">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2C3C2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125303"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rsidR="00995F6A" w:rsidRPr="00577C4C" w:rsidRDefault="002C3C2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577C4C" w:rsidRDefault="002C3C2C">
    <w:pPr>
      <w:rPr>
        <w:b/>
        <w:sz w:val="20"/>
        <w:szCs w:val="24"/>
      </w:rPr>
    </w:pPr>
    <w:r>
      <w:rPr>
        <w:noProof/>
        <w:lang w:val="de-DE" w:eastAsia="de-DE"/>
      </w:rPr>
      <mc:AlternateContent>
        <mc:Choice Requires="wps">
          <w:drawing>
            <wp:anchor distT="0" distB="0" distL="114300" distR="114300" simplePos="0" relativeHeight="251659264" behindDoc="0" locked="0" layoutInCell="1" allowOverlap="1" wp14:anchorId="07F53CD1" wp14:editId="662ACD8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2C3C2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F53CD1"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rsidR="00995F6A" w:rsidRPr="00577C4C" w:rsidRDefault="002C3C2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13</w:t>
                    </w:r>
                    <w:r w:rsidRPr="00577C4C">
                      <w:rPr>
                        <w:color w:val="000000" w:themeColor="text1"/>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Pr="009151AA" w:rsidRDefault="002C3C2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6A" w:rsidRDefault="002C3C2C" w:rsidP="0093429D">
    <w:r w:rsidRPr="005A1D84">
      <w:rPr>
        <w:b/>
        <w:noProof/>
        <w:color w:val="A6A6A6" w:themeColor="background1" w:themeShade="A6"/>
        <w:lang w:val="de-DE" w:eastAsia="de-DE"/>
      </w:rPr>
      <w:drawing>
        <wp:inline distT="0" distB="0" distL="0" distR="0" wp14:anchorId="131AB4D1" wp14:editId="02977F6F">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0601A"/>
    <w:multiLevelType w:val="multilevel"/>
    <w:tmpl w:val="2D740DBE"/>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5243290B"/>
    <w:multiLevelType w:val="multilevel"/>
    <w:tmpl w:val="F6BAE43C"/>
    <w:lvl w:ilvl="0">
      <w:start w:val="1"/>
      <w:numFmt w:val="decimal"/>
      <w:pStyle w:val="Verzeichnis1"/>
      <w:isLgl/>
      <w:lvlText w:val="%1."/>
      <w:lvlJc w:val="left"/>
      <w:pPr>
        <w:ind w:left="720" w:hanging="360"/>
      </w:pPr>
      <w:rPr>
        <w:rFonts w:hint="default"/>
      </w:rPr>
    </w:lvl>
    <w:lvl w:ilvl="1">
      <w:start w:val="1"/>
      <w:numFmt w:val="decimal"/>
      <w:pStyle w:val="Verzeichnis2"/>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5AC5CE0"/>
    <w:multiLevelType w:val="multilevel"/>
    <w:tmpl w:val="0407001F"/>
    <w:styleLink w:val="FacharbeitRonja"/>
    <w:lvl w:ilvl="0">
      <w:start w:val="1"/>
      <w:numFmt w:val="decimal"/>
      <w:lvlText w:val="%1."/>
      <w:lvlJc w:val="left"/>
      <w:pPr>
        <w:ind w:left="360" w:hanging="360"/>
      </w:pPr>
      <w:rPr>
        <w:rFonts w:ascii="Arial" w:hAnsi="Arial"/>
        <w:b/>
        <w:sz w:val="28"/>
        <w:u w:val="single"/>
      </w:rPr>
    </w:lvl>
    <w:lvl w:ilvl="1">
      <w:start w:val="1"/>
      <w:numFmt w:val="decimal"/>
      <w:lvlText w:val="%1.%2."/>
      <w:lvlJc w:val="left"/>
      <w:pPr>
        <w:ind w:left="792" w:hanging="432"/>
      </w:pPr>
      <w:rPr>
        <w:rFonts w:ascii="Arial" w:hAnsi="Arial"/>
        <w:b/>
        <w:sz w:val="24"/>
      </w:rPr>
    </w:lvl>
    <w:lvl w:ilvl="2">
      <w:start w:val="1"/>
      <w:numFmt w:val="decimal"/>
      <w:lvlText w:val="%1.%2.%3."/>
      <w:lvlJc w:val="left"/>
      <w:pPr>
        <w:ind w:left="1224" w:hanging="504"/>
      </w:pPr>
      <w:rPr>
        <w:rFonts w:ascii="Arial" w:hAnsi="Arial"/>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2C"/>
    <w:rsid w:val="00015434"/>
    <w:rsid w:val="0006792B"/>
    <w:rsid w:val="00071152"/>
    <w:rsid w:val="00073330"/>
    <w:rsid w:val="00095934"/>
    <w:rsid w:val="000C4366"/>
    <w:rsid w:val="000E4D62"/>
    <w:rsid w:val="00181902"/>
    <w:rsid w:val="00184F5E"/>
    <w:rsid w:val="001B2820"/>
    <w:rsid w:val="001D0666"/>
    <w:rsid w:val="00205F0F"/>
    <w:rsid w:val="00293716"/>
    <w:rsid w:val="00297878"/>
    <w:rsid w:val="002C263B"/>
    <w:rsid w:val="002C3C2C"/>
    <w:rsid w:val="002F0616"/>
    <w:rsid w:val="003256F5"/>
    <w:rsid w:val="003407A2"/>
    <w:rsid w:val="00355AA1"/>
    <w:rsid w:val="0036086A"/>
    <w:rsid w:val="003C453F"/>
    <w:rsid w:val="004716F9"/>
    <w:rsid w:val="004A4816"/>
    <w:rsid w:val="004E4D7A"/>
    <w:rsid w:val="00521100"/>
    <w:rsid w:val="00524AB6"/>
    <w:rsid w:val="005368CD"/>
    <w:rsid w:val="00553ACA"/>
    <w:rsid w:val="00585683"/>
    <w:rsid w:val="005B16B0"/>
    <w:rsid w:val="005B2B7B"/>
    <w:rsid w:val="005C6E88"/>
    <w:rsid w:val="00602828"/>
    <w:rsid w:val="006121DD"/>
    <w:rsid w:val="0061476D"/>
    <w:rsid w:val="00733E72"/>
    <w:rsid w:val="00750B03"/>
    <w:rsid w:val="007B1FBD"/>
    <w:rsid w:val="0083476C"/>
    <w:rsid w:val="008633AF"/>
    <w:rsid w:val="008D7144"/>
    <w:rsid w:val="00943430"/>
    <w:rsid w:val="009703B4"/>
    <w:rsid w:val="009B3D3D"/>
    <w:rsid w:val="009C0E7A"/>
    <w:rsid w:val="00A46EAC"/>
    <w:rsid w:val="00A67DDA"/>
    <w:rsid w:val="00A87AA1"/>
    <w:rsid w:val="00AF4155"/>
    <w:rsid w:val="00B00912"/>
    <w:rsid w:val="00B22C26"/>
    <w:rsid w:val="00B42A4F"/>
    <w:rsid w:val="00B47BD6"/>
    <w:rsid w:val="00B67FE4"/>
    <w:rsid w:val="00B751AB"/>
    <w:rsid w:val="00BF0EF7"/>
    <w:rsid w:val="00CF1DB8"/>
    <w:rsid w:val="00D16D74"/>
    <w:rsid w:val="00D67F1A"/>
    <w:rsid w:val="00D73702"/>
    <w:rsid w:val="00E3476A"/>
    <w:rsid w:val="00E7180C"/>
    <w:rsid w:val="00E72B06"/>
    <w:rsid w:val="00ED1823"/>
    <w:rsid w:val="00ED79F6"/>
    <w:rsid w:val="00F2591A"/>
    <w:rsid w:val="00F4619F"/>
    <w:rsid w:val="00F465C9"/>
    <w:rsid w:val="00F605BE"/>
    <w:rsid w:val="00FC299B"/>
    <w:rsid w:val="00FF29B3"/>
    <w:rsid w:val="00FF3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EE612CB"/>
  <w15:chartTrackingRefBased/>
  <w15:docId w15:val="{C34BAE04-FEEB-2041-A39B-6F290609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C3C2C"/>
    <w:pPr>
      <w:spacing w:before="120" w:after="240"/>
    </w:pPr>
    <w:rPr>
      <w:rFonts w:ascii="Times New Roman" w:hAnsi="Times New Roman"/>
      <w:szCs w:val="22"/>
      <w:lang w:val="en-US"/>
    </w:rPr>
  </w:style>
  <w:style w:type="paragraph" w:styleId="berschrift1">
    <w:name w:val="heading 1"/>
    <w:basedOn w:val="Standard"/>
    <w:next w:val="Standard"/>
    <w:link w:val="berschrift1Zchn"/>
    <w:autoRedefine/>
    <w:uiPriority w:val="2"/>
    <w:qFormat/>
    <w:rsid w:val="00CF1DB8"/>
    <w:pPr>
      <w:keepNext/>
      <w:keepLines/>
      <w:spacing w:before="240" w:line="480" w:lineRule="auto"/>
      <w:outlineLvl w:val="0"/>
    </w:pPr>
    <w:rPr>
      <w:rFonts w:ascii="Arial" w:eastAsiaTheme="majorEastAsia" w:hAnsi="Arial" w:cstheme="majorBidi"/>
      <w:b/>
      <w:color w:val="2F5496" w:themeColor="accent1" w:themeShade="BF"/>
      <w:sz w:val="28"/>
      <w:szCs w:val="32"/>
    </w:rPr>
  </w:style>
  <w:style w:type="paragraph" w:styleId="berschrift2">
    <w:name w:val="heading 2"/>
    <w:basedOn w:val="berschrift1"/>
    <w:next w:val="Standard"/>
    <w:link w:val="berschrift2Zchn"/>
    <w:uiPriority w:val="2"/>
    <w:qFormat/>
    <w:rsid w:val="002C3C2C"/>
    <w:pPr>
      <w:keepNext w:val="0"/>
      <w:keepLines w:val="0"/>
      <w:tabs>
        <w:tab w:val="num" w:pos="567"/>
      </w:tabs>
      <w:spacing w:after="200" w:line="240" w:lineRule="auto"/>
      <w:ind w:left="567" w:hanging="567"/>
      <w:outlineLvl w:val="1"/>
    </w:pPr>
    <w:rPr>
      <w:rFonts w:ascii="Times New Roman" w:eastAsia="Cambria" w:hAnsi="Times New Roman" w:cs="Times New Roman"/>
      <w:color w:val="auto"/>
      <w:sz w:val="24"/>
      <w:szCs w:val="24"/>
    </w:rPr>
  </w:style>
  <w:style w:type="paragraph" w:styleId="berschrift3">
    <w:name w:val="heading 3"/>
    <w:basedOn w:val="Standard"/>
    <w:next w:val="Standard"/>
    <w:link w:val="berschrift3Zchn"/>
    <w:uiPriority w:val="2"/>
    <w:qFormat/>
    <w:rsid w:val="002C3C2C"/>
    <w:pPr>
      <w:keepNext/>
      <w:keepLines/>
      <w:tabs>
        <w:tab w:val="num" w:pos="567"/>
      </w:tabs>
      <w:spacing w:before="40" w:after="120"/>
      <w:ind w:left="567" w:hanging="567"/>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2C3C2C"/>
    <w:pPr>
      <w:outlineLvl w:val="3"/>
    </w:pPr>
    <w:rPr>
      <w:iCs/>
    </w:rPr>
  </w:style>
  <w:style w:type="paragraph" w:styleId="berschrift5">
    <w:name w:val="heading 5"/>
    <w:basedOn w:val="berschrift4"/>
    <w:next w:val="Standard"/>
    <w:link w:val="berschrift5Zchn"/>
    <w:uiPriority w:val="2"/>
    <w:qFormat/>
    <w:rsid w:val="002C3C2C"/>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acharbeitRonja">
    <w:name w:val="Facharbeit Ronja"/>
    <w:uiPriority w:val="99"/>
    <w:rsid w:val="00B42A4F"/>
    <w:pPr>
      <w:numPr>
        <w:numId w:val="1"/>
      </w:numPr>
    </w:pPr>
  </w:style>
  <w:style w:type="paragraph" w:styleId="Verzeichnis1">
    <w:name w:val="toc 1"/>
    <w:aliases w:val="Diss 1"/>
    <w:basedOn w:val="Standard"/>
    <w:next w:val="Standard"/>
    <w:autoRedefine/>
    <w:qFormat/>
    <w:rsid w:val="00A46EAC"/>
    <w:pPr>
      <w:numPr>
        <w:numId w:val="3"/>
      </w:numPr>
      <w:spacing w:line="480" w:lineRule="auto"/>
    </w:pPr>
    <w:rPr>
      <w:rFonts w:ascii="Arial" w:eastAsia="Times New Roman" w:hAnsi="Arial" w:cs="Times New Roman"/>
      <w:b/>
      <w:sz w:val="28"/>
      <w:lang w:eastAsia="de-DE"/>
    </w:rPr>
  </w:style>
  <w:style w:type="paragraph" w:styleId="Verzeichnis2">
    <w:name w:val="toc 2"/>
    <w:basedOn w:val="Standard"/>
    <w:next w:val="Standard"/>
    <w:autoRedefine/>
    <w:qFormat/>
    <w:rsid w:val="00A46EAC"/>
    <w:pPr>
      <w:numPr>
        <w:ilvl w:val="1"/>
        <w:numId w:val="3"/>
      </w:numPr>
      <w:spacing w:line="480" w:lineRule="auto"/>
    </w:pPr>
    <w:rPr>
      <w:rFonts w:ascii="Arial" w:eastAsia="Times New Roman" w:hAnsi="Arial" w:cs="Times New Roman"/>
      <w:b/>
      <w:lang w:eastAsia="de-DE"/>
    </w:rPr>
  </w:style>
  <w:style w:type="character" w:customStyle="1" w:styleId="berschrift1Zchn">
    <w:name w:val="Überschrift 1 Zchn"/>
    <w:basedOn w:val="Absatz-Standardschriftart"/>
    <w:link w:val="berschrift1"/>
    <w:rsid w:val="00CF1DB8"/>
    <w:rPr>
      <w:rFonts w:ascii="Arial" w:eastAsiaTheme="majorEastAsia" w:hAnsi="Arial" w:cstheme="majorBidi"/>
      <w:b/>
      <w:color w:val="2F5496" w:themeColor="accent1" w:themeShade="BF"/>
      <w:sz w:val="28"/>
      <w:szCs w:val="32"/>
    </w:rPr>
  </w:style>
  <w:style w:type="character" w:customStyle="1" w:styleId="berschrift2Zchn">
    <w:name w:val="Überschrift 2 Zchn"/>
    <w:basedOn w:val="Absatz-Standardschriftart"/>
    <w:link w:val="berschrift2"/>
    <w:uiPriority w:val="2"/>
    <w:rsid w:val="002C3C2C"/>
    <w:rPr>
      <w:rFonts w:ascii="Times New Roman" w:eastAsia="Cambria" w:hAnsi="Times New Roman" w:cs="Times New Roman"/>
      <w:b/>
      <w:lang w:val="en-US"/>
    </w:rPr>
  </w:style>
  <w:style w:type="character" w:customStyle="1" w:styleId="berschrift3Zchn">
    <w:name w:val="Überschrift 3 Zchn"/>
    <w:basedOn w:val="Absatz-Standardschriftart"/>
    <w:link w:val="berschrift3"/>
    <w:uiPriority w:val="2"/>
    <w:rsid w:val="002C3C2C"/>
    <w:rPr>
      <w:rFonts w:ascii="Times New Roman" w:eastAsiaTheme="majorEastAsia" w:hAnsi="Times New Roman" w:cstheme="majorBidi"/>
      <w:b/>
      <w:lang w:val="en-US"/>
    </w:rPr>
  </w:style>
  <w:style w:type="character" w:customStyle="1" w:styleId="berschrift4Zchn">
    <w:name w:val="Überschrift 4 Zchn"/>
    <w:basedOn w:val="Absatz-Standardschriftart"/>
    <w:link w:val="berschrift4"/>
    <w:uiPriority w:val="2"/>
    <w:rsid w:val="002C3C2C"/>
    <w:rPr>
      <w:rFonts w:ascii="Times New Roman" w:eastAsiaTheme="majorEastAsia" w:hAnsi="Times New Roman" w:cstheme="majorBidi"/>
      <w:b/>
      <w:iCs/>
      <w:lang w:val="en-US"/>
    </w:rPr>
  </w:style>
  <w:style w:type="character" w:customStyle="1" w:styleId="berschrift5Zchn">
    <w:name w:val="Überschrift 5 Zchn"/>
    <w:basedOn w:val="Absatz-Standardschriftart"/>
    <w:link w:val="berschrift5"/>
    <w:uiPriority w:val="2"/>
    <w:rsid w:val="002C3C2C"/>
    <w:rPr>
      <w:rFonts w:ascii="Times New Roman" w:eastAsiaTheme="majorEastAsia" w:hAnsi="Times New Roman" w:cstheme="majorBidi"/>
      <w:b/>
      <w:iCs/>
      <w:lang w:val="en-US"/>
    </w:rPr>
  </w:style>
  <w:style w:type="numbering" w:customStyle="1" w:styleId="Headings">
    <w:name w:val="Headings"/>
    <w:uiPriority w:val="99"/>
    <w:rsid w:val="002C3C2C"/>
    <w:pPr>
      <w:numPr>
        <w:numId w:val="4"/>
      </w:numPr>
    </w:pPr>
  </w:style>
  <w:style w:type="paragraph" w:customStyle="1" w:styleId="p">
    <w:name w:val="p"/>
    <w:basedOn w:val="Standard"/>
    <w:rsid w:val="002C3C2C"/>
    <w:pPr>
      <w:spacing w:before="100" w:beforeAutospacing="1" w:after="100" w:afterAutospacing="1"/>
    </w:pPr>
    <w:rPr>
      <w:rFonts w:eastAsia="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5093</Words>
  <Characters>32093</Characters>
  <Application>Microsoft Office Word</Application>
  <DocSecurity>0</DocSecurity>
  <Lines>267</Lines>
  <Paragraphs>74</Paragraphs>
  <ScaleCrop>false</ScaleCrop>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Tintelnot</dc:creator>
  <cp:keywords/>
  <dc:description/>
  <cp:lastModifiedBy>Joseph Tintelnot</cp:lastModifiedBy>
  <cp:revision>1</cp:revision>
  <dcterms:created xsi:type="dcterms:W3CDTF">2019-12-27T12:57:00Z</dcterms:created>
  <dcterms:modified xsi:type="dcterms:W3CDTF">2019-12-27T12:59:00Z</dcterms:modified>
</cp:coreProperties>
</file>