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CFB" w:rsidRPr="005D18B5" w:rsidRDefault="00746CFB" w:rsidP="00746CFB">
      <w:pPr>
        <w:pStyle w:val="1"/>
        <w:spacing w:before="120" w:after="120"/>
        <w:rPr>
          <w:rFonts w:asciiTheme="minorHAnsi" w:hAnsiTheme="minorHAnsi" w:cstheme="minorHAnsi"/>
        </w:rPr>
      </w:pPr>
      <w:r w:rsidRPr="005D18B5">
        <w:rPr>
          <w:rFonts w:asciiTheme="minorHAnsi" w:hAnsiTheme="minorHAnsi" w:cstheme="minorHAnsi"/>
        </w:rPr>
        <w:t>Appendix</w:t>
      </w:r>
    </w:p>
    <w:p w:rsidR="00746CFB" w:rsidRPr="00CC3066" w:rsidRDefault="00746CFB" w:rsidP="00746CFB">
      <w:pPr>
        <w:pStyle w:val="2"/>
        <w:spacing w:before="120"/>
        <w:rPr>
          <w:rFonts w:asciiTheme="minorHAnsi" w:hAnsiTheme="minorHAnsi" w:cstheme="minorHAnsi"/>
          <w:color w:val="auto"/>
        </w:rPr>
      </w:pPr>
      <w:r w:rsidRPr="00CC3066">
        <w:rPr>
          <w:rFonts w:asciiTheme="minorHAnsi" w:hAnsiTheme="minorHAnsi" w:cstheme="minorHAnsi"/>
          <w:color w:val="auto"/>
        </w:rPr>
        <w:t>Feature extraction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5688"/>
        <w:gridCol w:w="709"/>
        <w:gridCol w:w="1370"/>
      </w:tblGrid>
      <w:tr w:rsidR="00746CFB" w:rsidRPr="00CC3066" w:rsidTr="001932F4">
        <w:tc>
          <w:tcPr>
            <w:tcW w:w="9450" w:type="dxa"/>
            <w:gridSpan w:val="4"/>
          </w:tcPr>
          <w:p w:rsidR="00746CFB" w:rsidRPr="00CC3066" w:rsidRDefault="00746CFB" w:rsidP="001932F4">
            <w:pPr>
              <w:pStyle w:val="2"/>
              <w:spacing w:before="120"/>
              <w:jc w:val="left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Summary of the texture features</w:t>
            </w:r>
          </w:p>
        </w:tc>
      </w:tr>
      <w:tr w:rsidR="00746CFB" w:rsidRPr="00CC3066" w:rsidTr="001932F4"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Feature type</w:t>
            </w:r>
          </w:p>
        </w:tc>
        <w:tc>
          <w:tcPr>
            <w:tcW w:w="5688" w:type="dxa"/>
            <w:tcBorders>
              <w:bottom w:val="single" w:sz="4" w:space="0" w:color="auto"/>
            </w:tcBorders>
            <w:shd w:val="clear" w:color="auto" w:fill="auto"/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Feature name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Feature number</w:t>
            </w:r>
          </w:p>
        </w:tc>
      </w:tr>
      <w:tr w:rsidR="00746CFB" w:rsidRPr="00CC3066" w:rsidTr="001932F4">
        <w:tc>
          <w:tcPr>
            <w:tcW w:w="1683" w:type="dxa"/>
            <w:tcBorders>
              <w:bottom w:val="nil"/>
            </w:tcBorders>
            <w:shd w:val="clear" w:color="auto" w:fill="auto"/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Histogram</w:t>
            </w:r>
          </w:p>
        </w:tc>
        <w:tc>
          <w:tcPr>
            <w:tcW w:w="5688" w:type="dxa"/>
            <w:tcBorders>
              <w:bottom w:val="nil"/>
            </w:tcBorders>
            <w:shd w:val="clear" w:color="auto" w:fill="auto"/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1) Energy 2) entropy 3) </w:t>
            </w:r>
            <w:proofErr w:type="spellStart"/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Tkurtosis</w:t>
            </w:r>
            <w:proofErr w:type="spellEnd"/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4) mean 5) MAD 6) media 7) Range 8)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uniformity 9) variance 10) RMS 11) skewness 12) deviation 13) kurtosis 14) mean 15) variance 16) skewness</w:t>
            </w:r>
          </w:p>
        </w:tc>
        <w:tc>
          <w:tcPr>
            <w:tcW w:w="709" w:type="dxa"/>
            <w:tcBorders>
              <w:bottom w:val="nil"/>
            </w:tcBorders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>16</w:t>
            </w:r>
          </w:p>
        </w:tc>
      </w:tr>
      <w:tr w:rsidR="00746CFB" w:rsidRPr="00CC3066" w:rsidTr="001932F4">
        <w:tc>
          <w:tcPr>
            <w:tcW w:w="1683" w:type="dxa"/>
            <w:tcBorders>
              <w:top w:val="nil"/>
              <w:bottom w:val="nil"/>
            </w:tcBorders>
            <w:shd w:val="clear" w:color="auto" w:fill="auto"/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GLCM</w:t>
            </w:r>
          </w:p>
        </w:tc>
        <w:tc>
          <w:tcPr>
            <w:tcW w:w="5688" w:type="dxa"/>
            <w:tcBorders>
              <w:top w:val="nil"/>
              <w:bottom w:val="nil"/>
            </w:tcBorders>
            <w:shd w:val="clear" w:color="auto" w:fill="auto"/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17) Energy 18) entropy 19) dissimilarity 20) contrast 21) inversed difference 22) correlation 23) homogeneity 24) autocorrelation 25) cluster shade 26)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cluster prominence 27) maximum probability 28) sum of squares 29) sum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average 30) sum variance 31) sum entropy 32) difference variance 33)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difference entropy 34) information measures of correlation1 35) information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measures of correlation2 36) maximal correlation coefficient 37)maximal correlation coefficient 38) inverse difference normalized 39) inverse difference moment normalized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>23</w:t>
            </w:r>
          </w:p>
        </w:tc>
      </w:tr>
      <w:tr w:rsidR="00746CFB" w:rsidRPr="00CC3066" w:rsidTr="001932F4">
        <w:tc>
          <w:tcPr>
            <w:tcW w:w="1683" w:type="dxa"/>
            <w:tcBorders>
              <w:top w:val="nil"/>
              <w:bottom w:val="nil"/>
            </w:tcBorders>
            <w:shd w:val="clear" w:color="auto" w:fill="auto"/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GLRLM</w:t>
            </w:r>
          </w:p>
        </w:tc>
        <w:tc>
          <w:tcPr>
            <w:tcW w:w="5688" w:type="dxa"/>
            <w:tcBorders>
              <w:top w:val="nil"/>
              <w:bottom w:val="nil"/>
            </w:tcBorders>
            <w:shd w:val="clear" w:color="auto" w:fill="auto"/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40) Short-run emphasis 41) long-run emphasis 42) gray-level nonuniformity 43) run-length nonuniformity 44) run percentage 45) low gray-level run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emphasis 46) high gray-level run emphasis 47) short-run low gray-level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emphasis 48) short-run high gray-level emphasis 49) long-run low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gray-level emphasis 50) long-run high gray-level emphasis 51) gray-level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variance 52) run-length variance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>13</w:t>
            </w:r>
          </w:p>
        </w:tc>
      </w:tr>
      <w:tr w:rsidR="00746CFB" w:rsidRPr="00CC3066" w:rsidTr="001932F4">
        <w:tc>
          <w:tcPr>
            <w:tcW w:w="1683" w:type="dxa"/>
            <w:tcBorders>
              <w:top w:val="nil"/>
              <w:bottom w:val="nil"/>
            </w:tcBorders>
            <w:shd w:val="clear" w:color="auto" w:fill="auto"/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GLSZM</w:t>
            </w:r>
          </w:p>
        </w:tc>
        <w:tc>
          <w:tcPr>
            <w:tcW w:w="5688" w:type="dxa"/>
            <w:tcBorders>
              <w:top w:val="nil"/>
              <w:bottom w:val="nil"/>
            </w:tcBorders>
            <w:shd w:val="clear" w:color="auto" w:fill="auto"/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53) Small zone emphasis 54) large zone emphasis 55) gray-level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nonuniformity 56) zone-size nonuniformity 57) zone percentage 58) low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gray-level zone emphasis 59) high gray-level zone emphasis 60) small zone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low gray-level emphasis 61) small zone high gray-level emphasis 62) large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zone low gray-level emphasis 63) large zone high gray-level emphasis 64)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gray-level variance 65) zone-size variance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auto"/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>13</w:t>
            </w:r>
          </w:p>
        </w:tc>
      </w:tr>
      <w:tr w:rsidR="00746CFB" w:rsidRPr="00CC3066" w:rsidTr="001932F4">
        <w:tc>
          <w:tcPr>
            <w:tcW w:w="1683" w:type="dxa"/>
            <w:tcBorders>
              <w:top w:val="nil"/>
            </w:tcBorders>
            <w:shd w:val="clear" w:color="auto" w:fill="auto"/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NGTDM</w:t>
            </w:r>
          </w:p>
        </w:tc>
        <w:tc>
          <w:tcPr>
            <w:tcW w:w="5688" w:type="dxa"/>
            <w:tcBorders>
              <w:top w:val="nil"/>
            </w:tcBorders>
            <w:shd w:val="clear" w:color="auto" w:fill="auto"/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66) Coarseness 67) contrast 68) busyness 69) complexity 70) strength</w:t>
            </w:r>
          </w:p>
        </w:tc>
        <w:tc>
          <w:tcPr>
            <w:tcW w:w="709" w:type="dxa"/>
            <w:tcBorders>
              <w:top w:val="nil"/>
            </w:tcBorders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746CFB" w:rsidRPr="00CC3066" w:rsidRDefault="00746CFB" w:rsidP="001932F4">
            <w:pPr>
              <w:pStyle w:val="2"/>
              <w:spacing w:before="12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</w:pPr>
            <w:r w:rsidRPr="00CC3066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zh-CN"/>
              </w:rPr>
              <w:t>5</w:t>
            </w:r>
          </w:p>
        </w:tc>
      </w:tr>
    </w:tbl>
    <w:p w:rsidR="00746CFB" w:rsidRDefault="00746CFB" w:rsidP="00746CFB">
      <w:pPr>
        <w:rPr>
          <w:rFonts w:cstheme="minorHAnsi"/>
          <w:lang w:val="x-none" w:eastAsia="de-DE"/>
        </w:rPr>
      </w:pPr>
    </w:p>
    <w:p w:rsidR="00746CFB" w:rsidRDefault="00746CFB" w:rsidP="00746CFB">
      <w:pPr>
        <w:rPr>
          <w:rFonts w:cstheme="minorHAnsi"/>
          <w:lang w:val="x-none" w:eastAsia="de-DE"/>
        </w:rPr>
      </w:pPr>
    </w:p>
    <w:p w:rsidR="00746CFB" w:rsidRDefault="00746CFB" w:rsidP="00746CFB">
      <w:pPr>
        <w:rPr>
          <w:rFonts w:cstheme="minorHAnsi"/>
          <w:lang w:val="x-none" w:eastAsia="de-DE"/>
        </w:rPr>
      </w:pPr>
    </w:p>
    <w:p w:rsidR="00746CFB" w:rsidRDefault="00746CFB" w:rsidP="00746CFB">
      <w:pPr>
        <w:rPr>
          <w:rFonts w:cstheme="minorHAnsi"/>
          <w:lang w:val="x-none" w:eastAsia="de-DE"/>
        </w:rPr>
      </w:pPr>
    </w:p>
    <w:p w:rsidR="00746CFB" w:rsidRDefault="00746CFB" w:rsidP="00746CFB">
      <w:pPr>
        <w:rPr>
          <w:rFonts w:cstheme="minorHAnsi"/>
          <w:lang w:val="x-none" w:eastAsia="de-DE"/>
        </w:rPr>
      </w:pPr>
    </w:p>
    <w:p w:rsidR="00746CFB" w:rsidRDefault="00746CFB" w:rsidP="00746CFB">
      <w:pPr>
        <w:rPr>
          <w:rFonts w:cstheme="minorHAnsi"/>
          <w:lang w:val="x-none" w:eastAsia="de-DE"/>
        </w:rPr>
      </w:pPr>
    </w:p>
    <w:p w:rsidR="00746CFB" w:rsidRDefault="00746CFB" w:rsidP="00746CFB">
      <w:pPr>
        <w:rPr>
          <w:rFonts w:cstheme="minorHAnsi"/>
          <w:lang w:val="x-none" w:eastAsia="de-DE"/>
        </w:rPr>
      </w:pPr>
    </w:p>
    <w:p w:rsidR="00746CFB" w:rsidRPr="00CC3066" w:rsidRDefault="00746CFB" w:rsidP="00746CFB">
      <w:pPr>
        <w:rPr>
          <w:rFonts w:cstheme="minorHAnsi"/>
          <w:lang w:val="x-none" w:eastAsia="de-DE"/>
        </w:rPr>
      </w:pPr>
    </w:p>
    <w:p w:rsidR="00746CFB" w:rsidRPr="008F7AB3" w:rsidRDefault="00746CFB" w:rsidP="00746CFB">
      <w:pPr>
        <w:pStyle w:val="2"/>
        <w:spacing w:before="120"/>
        <w:rPr>
          <w:rFonts w:asciiTheme="minorHAnsi" w:hAnsiTheme="minorHAnsi" w:cstheme="minorHAnsi"/>
          <w:color w:val="auto"/>
        </w:rPr>
      </w:pPr>
      <w:r w:rsidRPr="008F7AB3">
        <w:rPr>
          <w:rFonts w:asciiTheme="minorHAnsi" w:hAnsiTheme="minorHAnsi" w:cstheme="minorHAnsi"/>
          <w:color w:val="auto"/>
        </w:rPr>
        <w:lastRenderedPageBreak/>
        <w:t>Feature selection</w:t>
      </w:r>
    </w:p>
    <w:p w:rsidR="00746CFB" w:rsidRPr="008F7AB3" w:rsidRDefault="00746CFB" w:rsidP="00746CFB">
      <w:r w:rsidRPr="008F7AB3">
        <w:t>SR-based feature selection identifies the most relevant features according to the importance index generated by each iteration.</w:t>
      </w:r>
      <w:r w:rsidRPr="008F7AB3">
        <w:rPr>
          <w:rFonts w:hint="eastAsia"/>
        </w:rPr>
        <w:t xml:space="preserve"> </w:t>
      </w:r>
      <w:r w:rsidRPr="008F7AB3">
        <w:t>An iterative process can be</w:t>
      </w:r>
      <w:r w:rsidRPr="008F7AB3">
        <w:rPr>
          <w:rFonts w:hint="eastAsia"/>
        </w:rPr>
        <w:t xml:space="preserve"> </w:t>
      </w:r>
      <w:r w:rsidRPr="008F7AB3">
        <w:t>expressed as:</w:t>
      </w:r>
    </w:p>
    <w:p w:rsidR="00746CFB" w:rsidRPr="008F7AB3" w:rsidRDefault="00746CFB" w:rsidP="00746CFB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(k)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argmin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(k)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(k)</m:t>
                      </m:r>
                    </m:sup>
                  </m:sSup>
                  <m:r>
                    <w:rPr>
                      <w:rFonts w:ascii="Cambria Math" w:hAnsi="Cambria Math"/>
                    </w:rPr>
                    <m:t>d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+ε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:rsidR="00746CFB" w:rsidRPr="008F7AB3" w:rsidRDefault="00746CFB" w:rsidP="00746CFB">
      <w:r w:rsidRPr="008F7AB3">
        <w:t xml:space="preserve">Where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(K)</m:t>
            </m:r>
          </m:sup>
        </m:sSup>
      </m:oMath>
      <w:r w:rsidRPr="008F7AB3">
        <w:t xml:space="preserve"> is the label used for the k-th iteration;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(k)</m:t>
            </m:r>
          </m:sup>
        </m:sSup>
      </m:oMath>
      <w:r w:rsidRPr="008F7AB3">
        <w:t xml:space="preserve"> is the feature selected for the k-th iteration; </w:t>
      </w:r>
      <m:oMath>
        <m:r>
          <m:rPr>
            <m:sty m:val="p"/>
          </m:rPr>
          <w:rPr>
            <w:rFonts w:ascii="Cambria Math" w:hAnsi="Cambria Math"/>
          </w:rPr>
          <m:t>ε</m:t>
        </m:r>
      </m:oMath>
      <w:r w:rsidRPr="008F7AB3">
        <w:t xml:space="preserve"> is a small constant;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d</m:t>
                </m:r>
              </m:e>
            </m:acc>
          </m:e>
          <m:sup>
            <m:r>
              <w:rPr>
                <w:rFonts w:ascii="Cambria Math" w:hAnsi="Cambria Math"/>
              </w:rPr>
              <m:t>(k)</m:t>
            </m:r>
          </m:sup>
        </m:sSup>
      </m:oMath>
      <w:r w:rsidRPr="008F7AB3">
        <w:t xml:space="preserve"> is the coefficient calculated by the k-th iteration. The average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d</m:t>
                </m:r>
              </m:e>
            </m:acc>
          </m:e>
          <m:sup>
            <m:r>
              <w:rPr>
                <w:rFonts w:ascii="Cambria Math" w:hAnsi="Cambria Math"/>
              </w:rPr>
              <m:t>(k)</m:t>
            </m:r>
          </m:sup>
        </m:sSup>
      </m:oMath>
      <w:r w:rsidRPr="008F7AB3">
        <w:t xml:space="preserve"> for the k-th iteration can be calculated as:</w:t>
      </w:r>
    </w:p>
    <w:p w:rsidR="00746CFB" w:rsidRPr="008F7AB3" w:rsidRDefault="00746CFB" w:rsidP="00746CFB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d</m:t>
              </m:r>
            </m:e>
            <m:sup>
              <m:r>
                <w:rPr>
                  <w:rFonts w:ascii="Cambria Math" w:hAnsi="Cambria Math"/>
                </w:rPr>
                <m:t>(k)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k</m:t>
              </m:r>
            </m:den>
          </m:f>
          <m:nary>
            <m:naryPr>
              <m:chr m:val="∑"/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k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(k)</m:t>
                  </m:r>
                </m:sup>
              </m:sSup>
            </m:e>
          </m:nary>
        </m:oMath>
      </m:oMathPara>
    </w:p>
    <w:p w:rsidR="00746CFB" w:rsidRPr="008F7AB3" w:rsidRDefault="00746CFB" w:rsidP="00746CFB">
      <w:r w:rsidRPr="008F7AB3">
        <w:t xml:space="preserve">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</m:t>
                </m:r>
              </m:e>
            </m:d>
          </m:sup>
        </m:sSup>
      </m:oMath>
      <w:r w:rsidRPr="008F7AB3">
        <w:t>used for feature selection was the features’ scores through the averaging operation of k</w:t>
      </w:r>
      <w:r w:rsidRPr="008F7AB3">
        <w:rPr>
          <w:rFonts w:hint="eastAsia"/>
        </w:rPr>
        <w:t xml:space="preserve"> </w:t>
      </w:r>
      <w:proofErr w:type="spellStart"/>
      <w:r w:rsidRPr="008F7AB3">
        <w:rPr>
          <w:rFonts w:hint="eastAsia"/>
        </w:rPr>
        <w:t>itarations</w:t>
      </w:r>
      <w:proofErr w:type="spellEnd"/>
      <w:r w:rsidRPr="008F7AB3">
        <w:rPr>
          <w:rFonts w:hint="eastAsia"/>
        </w:rPr>
        <w:t>.</w:t>
      </w:r>
      <w:r w:rsidRPr="008F7AB3">
        <w:t xml:space="preserve"> </w:t>
      </w:r>
    </w:p>
    <w:p w:rsidR="00746CFB" w:rsidRPr="008F7AB3" w:rsidRDefault="00746CFB" w:rsidP="00746CFB">
      <w:r w:rsidRPr="008F7AB3">
        <w:t>The higher the score, the more importance of the feature. In this way, In this way, we can sort the importance of features and obtain the feature selection results.</w:t>
      </w:r>
    </w:p>
    <w:p w:rsidR="00746CFB" w:rsidRPr="008F7AB3" w:rsidRDefault="00746CFB" w:rsidP="00746CFB"/>
    <w:p w:rsidR="00746CFB" w:rsidRPr="008F7AB3" w:rsidRDefault="00746CFB" w:rsidP="00746CFB"/>
    <w:p w:rsidR="00746CFB" w:rsidRPr="008F7AB3" w:rsidRDefault="00746CFB" w:rsidP="00746CFB"/>
    <w:p w:rsidR="00746CFB" w:rsidRPr="00CC3066" w:rsidRDefault="00746CFB" w:rsidP="00746CFB"/>
    <w:p w:rsidR="00746CFB" w:rsidRDefault="00746CFB" w:rsidP="00746CFB"/>
    <w:p w:rsidR="00746CFB" w:rsidRPr="000C63BC" w:rsidRDefault="00746CFB" w:rsidP="00746CFB"/>
    <w:p w:rsidR="00746CFB" w:rsidRPr="004353D7" w:rsidRDefault="00746CFB" w:rsidP="00746CFB">
      <w:pPr>
        <w:pStyle w:val="a7"/>
        <w:ind w:left="1134" w:hanging="1134"/>
        <w:rPr>
          <w:rFonts w:cstheme="minorHAnsi"/>
        </w:rPr>
      </w:pPr>
    </w:p>
    <w:p w:rsidR="008715F6" w:rsidRPr="00746CFB" w:rsidRDefault="00746CFB">
      <w:bookmarkStart w:id="0" w:name="_GoBack"/>
      <w:bookmarkEnd w:id="0"/>
    </w:p>
    <w:sectPr w:rsidR="008715F6" w:rsidRPr="00746CFB" w:rsidSect="00746CFB">
      <w:footerReference w:type="even" r:id="rId4"/>
      <w:footerReference w:type="default" r:id="rId5"/>
      <w:pgSz w:w="11906" w:h="16838"/>
      <w:pgMar w:top="1440" w:right="1376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76B" w:rsidRDefault="00746CFB" w:rsidP="00740582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676B" w:rsidRDefault="00746CFB" w:rsidP="00A438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76B" w:rsidRDefault="00746CFB" w:rsidP="00740582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19</w:t>
    </w:r>
    <w:r>
      <w:rPr>
        <w:rStyle w:val="a5"/>
      </w:rPr>
      <w:fldChar w:fldCharType="end"/>
    </w:r>
  </w:p>
  <w:p w:rsidR="002E676B" w:rsidRDefault="00746CFB" w:rsidP="00A4380E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FB"/>
    <w:rsid w:val="003B4015"/>
    <w:rsid w:val="004429B2"/>
    <w:rsid w:val="00472FE5"/>
    <w:rsid w:val="0053178E"/>
    <w:rsid w:val="0054534E"/>
    <w:rsid w:val="00746CFB"/>
    <w:rsid w:val="00A85600"/>
    <w:rsid w:val="00C13166"/>
    <w:rsid w:val="00D0136F"/>
    <w:rsid w:val="00F0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0FA34-FE1B-4DA4-B701-1D988B76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46CFB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46CFB"/>
    <w:pPr>
      <w:spacing w:before="480" w:after="240"/>
      <w:outlineLvl w:val="0"/>
    </w:pPr>
    <w:rPr>
      <w:rFonts w:ascii="Calibri" w:eastAsia="宋体" w:hAnsi="Calibri" w:cs="Times New Roman"/>
      <w:b/>
      <w:snapToGrid w:val="0"/>
      <w:color w:val="000080"/>
      <w:kern w:val="0"/>
      <w:sz w:val="28"/>
      <w:szCs w:val="20"/>
      <w:lang w:eastAsia="de-DE"/>
    </w:rPr>
  </w:style>
  <w:style w:type="paragraph" w:styleId="2">
    <w:name w:val="heading 2"/>
    <w:basedOn w:val="a"/>
    <w:next w:val="a"/>
    <w:link w:val="20"/>
    <w:qFormat/>
    <w:rsid w:val="00746CFB"/>
    <w:pPr>
      <w:spacing w:before="360" w:after="120"/>
      <w:outlineLvl w:val="1"/>
    </w:pPr>
    <w:rPr>
      <w:rFonts w:ascii="Calibri" w:eastAsia="宋体" w:hAnsi="Calibri" w:cs="Times New Roman"/>
      <w:b/>
      <w:iCs/>
      <w:color w:val="000080"/>
      <w:kern w:val="0"/>
      <w:sz w:val="24"/>
      <w:szCs w:val="20"/>
      <w:lang w:val="x-non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46CFB"/>
    <w:rPr>
      <w:rFonts w:ascii="Calibri" w:eastAsia="宋体" w:hAnsi="Calibri" w:cs="Times New Roman"/>
      <w:b/>
      <w:snapToGrid w:val="0"/>
      <w:color w:val="000080"/>
      <w:kern w:val="0"/>
      <w:sz w:val="28"/>
      <w:szCs w:val="20"/>
      <w:lang w:eastAsia="de-DE"/>
    </w:rPr>
  </w:style>
  <w:style w:type="character" w:customStyle="1" w:styleId="20">
    <w:name w:val="标题 2 字符"/>
    <w:basedOn w:val="a0"/>
    <w:link w:val="2"/>
    <w:rsid w:val="00746CFB"/>
    <w:rPr>
      <w:rFonts w:ascii="Calibri" w:eastAsia="宋体" w:hAnsi="Calibri" w:cs="Times New Roman"/>
      <w:b/>
      <w:iCs/>
      <w:color w:val="000080"/>
      <w:kern w:val="0"/>
      <w:sz w:val="24"/>
      <w:szCs w:val="20"/>
      <w:lang w:val="x-none" w:eastAsia="de-DE"/>
    </w:rPr>
  </w:style>
  <w:style w:type="paragraph" w:styleId="a3">
    <w:name w:val="footer"/>
    <w:basedOn w:val="a"/>
    <w:link w:val="a4"/>
    <w:uiPriority w:val="99"/>
    <w:unhideWhenUsed/>
    <w:rsid w:val="00746CFB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46CFB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746CFB"/>
  </w:style>
  <w:style w:type="table" w:styleId="a6">
    <w:name w:val="Table Grid"/>
    <w:basedOn w:val="a1"/>
    <w:uiPriority w:val="39"/>
    <w:rsid w:val="00746CFB"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99"/>
    <w:qFormat/>
    <w:rsid w:val="00746CFB"/>
    <w:pPr>
      <w:spacing w:before="120" w:after="120"/>
      <w:ind w:left="2268" w:hanging="2268"/>
    </w:pPr>
    <w:rPr>
      <w:rFonts w:ascii="Calibri" w:eastAsia="宋体" w:hAnsi="Calibri" w:cs="Calibri"/>
      <w:b/>
      <w:bCs/>
      <w:color w:val="003300"/>
      <w:kern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DAISY</dc:creator>
  <cp:keywords/>
  <dc:description/>
  <cp:lastModifiedBy>DONG DAISY</cp:lastModifiedBy>
  <cp:revision>1</cp:revision>
  <dcterms:created xsi:type="dcterms:W3CDTF">2019-11-05T03:43:00Z</dcterms:created>
  <dcterms:modified xsi:type="dcterms:W3CDTF">2019-11-05T03:44:00Z</dcterms:modified>
</cp:coreProperties>
</file>