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cs="Arial" w:eastAsiaTheme="minorEastAsia"/>
          <w:lang w:val="en-US" w:eastAsia="zh-CN"/>
        </w:rPr>
      </w:pPr>
      <w:r>
        <w:rPr>
          <w:rFonts w:hint="eastAsia" w:ascii="Arial" w:hAnsi="Arial" w:cs="Arial"/>
          <w:b/>
          <w:lang w:val="en-US" w:eastAsia="zh-CN"/>
        </w:rPr>
        <w:t xml:space="preserve">Supplemental </w:t>
      </w:r>
      <w:r>
        <w:rPr>
          <w:rFonts w:ascii="Arial" w:hAnsi="Arial" w:cs="Arial"/>
          <w:b/>
        </w:rPr>
        <w:t xml:space="preserve">Table </w:t>
      </w:r>
      <w:r>
        <w:rPr>
          <w:rFonts w:hint="eastAsia" w:ascii="Arial" w:hAnsi="Arial" w:cs="Arial"/>
          <w:b/>
          <w:lang w:val="en-US" w:eastAsia="zh-CN"/>
        </w:rPr>
        <w:t>2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KEGG analysis of genes in the significant module traits with </w:t>
      </w:r>
      <w:r>
        <w:rPr>
          <w:rFonts w:ascii="Arial" w:hAnsi="Arial" w:cs="Arial"/>
          <w:color w:val="131413"/>
          <w:szCs w:val="21"/>
        </w:rPr>
        <w:t xml:space="preserve">the clinical stage of </w:t>
      </w:r>
      <w:r>
        <w:rPr>
          <w:rFonts w:hint="eastAsia" w:ascii="Arial" w:hAnsi="Arial" w:cs="Arial"/>
          <w:color w:val="131413"/>
          <w:szCs w:val="21"/>
          <w:lang w:val="en-US" w:eastAsia="zh-CN"/>
        </w:rPr>
        <w:t>head and neck cancer</w:t>
      </w:r>
      <w:bookmarkStart w:id="0" w:name="_GoBack"/>
      <w:bookmarkEnd w:id="0"/>
    </w:p>
    <w:tbl>
      <w:tblPr>
        <w:tblStyle w:val="2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695"/>
        <w:gridCol w:w="1351"/>
        <w:gridCol w:w="563"/>
        <w:gridCol w:w="817"/>
        <w:gridCol w:w="43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Group</w:t>
            </w:r>
          </w:p>
        </w:tc>
        <w:tc>
          <w:tcPr>
            <w:tcW w:w="695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Clinical</w:t>
            </w:r>
          </w:p>
        </w:tc>
        <w:tc>
          <w:tcPr>
            <w:tcW w:w="1351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Color</w:t>
            </w:r>
          </w:p>
        </w:tc>
        <w:tc>
          <w:tcPr>
            <w:tcW w:w="563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R</w:t>
            </w: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</w:t>
            </w: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 value</w:t>
            </w:r>
          </w:p>
        </w:tc>
        <w:tc>
          <w:tcPr>
            <w:tcW w:w="4315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KEGG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 xml:space="preserve">High 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Stage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palevioletred3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−0.26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0.01</w:t>
            </w:r>
          </w:p>
        </w:tc>
        <w:tc>
          <w:tcPr>
            <w:tcW w:w="431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hsa04141:Protein processing in endoplasmic reticulum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tan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−0.22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0.04</w:t>
            </w: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hsa04612:Antigen processing and presentation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hsa04514:Cell adhesion molecules (CAMs)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hsa04623:Cytosolic DNA-sensing pathway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hsa04668:TNF signaling pathway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hsa04622:RIG-I-like receptor signaling pathway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hsa04060:Cytokine-cytokine receptor interaction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hsa04620:Toll-like receptor signaling pathway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hsa04210:Apoptosis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hsa05203:Viral carcinogenesis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 xml:space="preserve">Low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Stage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honeydew1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−0.25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0.01</w:t>
            </w: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hsa00510:N-Glycan biosynthesis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hsa00020:Citrate cycle (TCA cycle)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navajowhite2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−0.22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0.03</w:t>
            </w: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hsa00600:Sphingolipid metabolism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salmon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−0.25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0.01</w:t>
            </w: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hsa04514:Cell adhesion molecules (CAMs)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hsa04022:cGMP-PKG signaling pathway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darkorange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−0.27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0.006</w:t>
            </w: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hsa00531:Glycosaminoglycan degradation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tan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0.21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0.04</w:t>
            </w: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hsa03030:DNA replication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hsa04110:Cell cycle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hsa03440:Homologous recombination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hsa03430:Mismatch repair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hsa03420:Nucleotide excision repair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hsa03410:Base excision repair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hsa04115:p53 signaling pathway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darkturquoise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−0.22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hsa04510:Focal adhesion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hsa04350:TGF-beta signaling pathway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hsa04512:ECM-receptor interaction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hsa04060:Cytokine-cytokine receptor interaction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hsa04668:TNF signaling pathway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hsa04621:NOD-like receptor signaling pathway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hsa04151:PI3K-Akt signaling pathway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833D7"/>
    <w:rsid w:val="1184129F"/>
    <w:rsid w:val="2B3833E2"/>
    <w:rsid w:val="2C58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2020-05-07T11:24:00Z</dcterms:created>
  <dc:creator>小白</dc:creator>
  <cp:lastModifiedBy>小白</cp:lastModifiedBy>
  <dcterms:modified xsi:type="dcterms:W3CDTF">2020-07-11T18:12:58Z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