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9CF300" w14:textId="77777777" w:rsidR="00394E99" w:rsidRDefault="00394E99" w:rsidP="00394E99">
      <w:pPr>
        <w:pStyle w:val="Heading1"/>
        <w:rPr>
          <w:rFonts w:ascii="Times New Roman" w:eastAsia="Times New Roman" w:hAnsi="Times New Roman" w:cs="Times New Roman"/>
          <w:sz w:val="48"/>
          <w:szCs w:val="48"/>
          <w:lang w:val="en-GB"/>
        </w:rPr>
      </w:pPr>
      <w:r>
        <w:rPr>
          <w:color w:val="000000"/>
          <w:sz w:val="24"/>
          <w:szCs w:val="24"/>
        </w:rPr>
        <w:t>Supplementary Information</w:t>
      </w:r>
    </w:p>
    <w:p w14:paraId="6B2311ED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14:paraId="3B73A384" w14:textId="2082A974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  <w:r>
        <w:rPr>
          <w:color w:val="000000"/>
          <w:bdr w:val="none" w:sz="0" w:space="0" w:color="auto" w:frame="1"/>
        </w:rPr>
        <w:fldChar w:fldCharType="begin"/>
      </w:r>
      <w:r>
        <w:rPr>
          <w:color w:val="000000"/>
          <w:bdr w:val="none" w:sz="0" w:space="0" w:color="auto" w:frame="1"/>
        </w:rPr>
        <w:instrText xml:space="preserve"> INCLUDEPICTURE "https://lh4.googleusercontent.com/Ab5TqEqf-AkeLOhtOuNUboJNPNebB9-icP5X8WRAjalqX88ChaZ_N0zZOeX-4rq4UGQRuuo7n6DjRkESeCFfvZE2Zxr6LyeOHwxeTdPcFAa9aOFiKAWYEc82urGXFg" \* MERGEFORMATINET </w:instrText>
      </w:r>
      <w:r>
        <w:rPr>
          <w:color w:val="000000"/>
          <w:bdr w:val="none" w:sz="0" w:space="0" w:color="auto" w:frame="1"/>
        </w:rPr>
        <w:fldChar w:fldCharType="separate"/>
      </w:r>
      <w:r>
        <w:rPr>
          <w:noProof/>
          <w:color w:val="000000"/>
          <w:bdr w:val="none" w:sz="0" w:space="0" w:color="auto" w:frame="1"/>
        </w:rPr>
        <w:drawing>
          <wp:inline distT="0" distB="0" distL="0" distR="0" wp14:anchorId="4BC3B884" wp14:editId="592CA354">
            <wp:extent cx="5943600" cy="4117340"/>
            <wp:effectExtent l="0" t="0" r="0" b="0"/>
            <wp:docPr id="6" name="Picture 6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bdr w:val="none" w:sz="0" w:space="0" w:color="auto" w:frame="1"/>
        </w:rPr>
        <w:fldChar w:fldCharType="end"/>
      </w:r>
    </w:p>
    <w:p w14:paraId="5E54C084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Figure S1: (a) Vertical profiles of dissolved iron (</w:t>
      </w:r>
      <w:proofErr w:type="spellStart"/>
      <w:r>
        <w:rPr>
          <w:color w:val="000000"/>
        </w:rPr>
        <w:t>DFe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nM</w:t>
      </w:r>
      <w:proofErr w:type="spellEnd"/>
      <w:r>
        <w:rPr>
          <w:color w:val="000000"/>
        </w:rPr>
        <w:t>) with the summer range of the mixed layer depth (MLD), the summer range of the euphotic zone (</w:t>
      </w:r>
      <w:proofErr w:type="spellStart"/>
      <w:r>
        <w:rPr>
          <w:color w:val="000000"/>
        </w:rPr>
        <w:t>E</w:t>
      </w:r>
      <w:r>
        <w:rPr>
          <w:color w:val="000000"/>
          <w:sz w:val="14"/>
          <w:szCs w:val="14"/>
          <w:vertAlign w:val="subscript"/>
        </w:rPr>
        <w:t>z</w:t>
      </w:r>
      <w:proofErr w:type="spellEnd"/>
      <w:r>
        <w:rPr>
          <w:color w:val="000000"/>
        </w:rPr>
        <w:t xml:space="preserve">) and the experimental water depth collection. (b) The mean depth integrated </w:t>
      </w:r>
      <w:proofErr w:type="spellStart"/>
      <w:r>
        <w:rPr>
          <w:color w:val="000000"/>
        </w:rPr>
        <w:t>DFe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μmol</w:t>
      </w:r>
      <w:proofErr w:type="spellEnd"/>
      <w:r>
        <w:rPr>
          <w:color w:val="000000"/>
        </w:rPr>
        <w:t xml:space="preserve"> m</w:t>
      </w:r>
      <w:r>
        <w:rPr>
          <w:color w:val="000000"/>
          <w:sz w:val="14"/>
          <w:szCs w:val="14"/>
          <w:vertAlign w:val="superscript"/>
        </w:rPr>
        <w:t>-2</w:t>
      </w:r>
      <w:r>
        <w:rPr>
          <w:color w:val="000000"/>
        </w:rPr>
        <w:t xml:space="preserve">) with ± standard deviations between total and euphotic reservoirs. Redrawn from </w:t>
      </w:r>
      <w:proofErr w:type="spellStart"/>
      <w:r>
        <w:rPr>
          <w:color w:val="000000"/>
        </w:rPr>
        <w:t>Mtshali</w:t>
      </w:r>
      <w:proofErr w:type="spellEnd"/>
      <w:r>
        <w:rPr>
          <w:color w:val="000000"/>
        </w:rPr>
        <w:t xml:space="preserve"> et al. (2019).</w:t>
      </w:r>
    </w:p>
    <w:p w14:paraId="746A5F51" w14:textId="487FD3EF" w:rsidR="00394E99" w:rsidRDefault="00394E99" w:rsidP="00394E99">
      <w:pPr>
        <w:spacing w:after="240"/>
      </w:pPr>
    </w:p>
    <w:p w14:paraId="6AF25914" w14:textId="535BC64C" w:rsidR="00FC66A3" w:rsidRDefault="00FC66A3" w:rsidP="00394E99">
      <w:pPr>
        <w:spacing w:after="240"/>
      </w:pPr>
      <w:r>
        <w:rPr>
          <w:noProof/>
        </w:rPr>
        <w:lastRenderedPageBreak/>
        <w:drawing>
          <wp:inline distT="0" distB="0" distL="0" distR="0" wp14:anchorId="70550137" wp14:editId="636C789B">
            <wp:extent cx="5943600" cy="3714750"/>
            <wp:effectExtent l="0" t="0" r="0" b="6350"/>
            <wp:docPr id="2" name="Picture 2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xperiment1_NPQ_exampl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1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39802B" w14:textId="26E9BB1B" w:rsidR="00FC66A3" w:rsidRPr="00410775" w:rsidRDefault="00FC66A3" w:rsidP="00FC66A3">
      <w:pPr>
        <w:rPr>
          <w:rFonts w:ascii="Times New Roman" w:eastAsia="Times New Roman" w:hAnsi="Times New Roman" w:cs="Times New Roman"/>
          <w:sz w:val="24"/>
          <w:szCs w:val="24"/>
        </w:rPr>
      </w:pPr>
      <w:r w:rsidRPr="00FC66A3">
        <w:rPr>
          <w:rFonts w:ascii="Times New Roman" w:hAnsi="Times New Roman" w:cs="Times New Roman"/>
          <w:sz w:val="24"/>
          <w:szCs w:val="24"/>
        </w:rPr>
        <w:t xml:space="preserve">Figure S2: </w:t>
      </w:r>
      <w:r w:rsidRPr="00FC66A3">
        <w:rPr>
          <w:rFonts w:ascii="Times New Roman" w:eastAsia="Times New Roman" w:hAnsi="Times New Roman" w:cs="Times New Roman"/>
          <w:sz w:val="24"/>
          <w:szCs w:val="24"/>
        </w:rPr>
        <w:t>Example</w:t>
      </w:r>
      <w:r w:rsidRPr="004107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410775">
        <w:rPr>
          <w:rFonts w:ascii="Times New Roman" w:eastAsia="Times New Roman" w:hAnsi="Times New Roman" w:cs="Times New Roman"/>
          <w:sz w:val="24"/>
          <w:szCs w:val="24"/>
        </w:rPr>
        <w:t>NPQ</w:t>
      </w:r>
      <w:r w:rsidRPr="00410775">
        <w:rPr>
          <w:rFonts w:ascii="Times New Roman" w:eastAsia="Times New Roman" w:hAnsi="Times New Roman" w:cs="Times New Roman"/>
          <w:sz w:val="24"/>
          <w:szCs w:val="24"/>
          <w:vertAlign w:val="subscript"/>
        </w:rPr>
        <w:t>sv</w:t>
      </w:r>
      <w:proofErr w:type="spellEnd"/>
      <w:r w:rsidRPr="00410775">
        <w:rPr>
          <w:rFonts w:ascii="Times New Roman" w:eastAsia="Times New Roman" w:hAnsi="Times New Roman" w:cs="Times New Roman"/>
          <w:sz w:val="24"/>
          <w:szCs w:val="24"/>
        </w:rPr>
        <w:t xml:space="preserve"> corrected for </w:t>
      </w:r>
      <w:proofErr w:type="spellStart"/>
      <w:r w:rsidRPr="00410775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410775">
        <w:rPr>
          <w:rFonts w:ascii="Times New Roman" w:eastAsia="Times New Roman" w:hAnsi="Times New Roman" w:cs="Times New Roman"/>
          <w:sz w:val="24"/>
          <w:szCs w:val="24"/>
          <w:vertAlign w:val="subscript"/>
        </w:rPr>
        <w:t>NPQmin</w:t>
      </w:r>
      <w:proofErr w:type="spellEnd"/>
      <w:r w:rsidRPr="00410775">
        <w:rPr>
          <w:rFonts w:ascii="Times New Roman" w:eastAsia="Times New Roman" w:hAnsi="Times New Roman" w:cs="Times New Roman"/>
          <w:sz w:val="24"/>
          <w:szCs w:val="24"/>
        </w:rPr>
        <w:t xml:space="preserve"> fitted with the Platt et al. (1980) model from the iron and control treatments of nutrient addition incubation experiment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410775">
        <w:rPr>
          <w:rFonts w:ascii="Times New Roman" w:eastAsia="Times New Roman" w:hAnsi="Times New Roman" w:cs="Times New Roman"/>
          <w:sz w:val="24"/>
          <w:szCs w:val="24"/>
        </w:rPr>
        <w:t xml:space="preserve"> measured at 120 hours from Ryan-Keogh et al. (2018).</w:t>
      </w:r>
    </w:p>
    <w:p w14:paraId="02D33259" w14:textId="6EF6AE76" w:rsidR="00FC66A3" w:rsidRDefault="00FC66A3" w:rsidP="00394E99">
      <w:pPr>
        <w:spacing w:after="240"/>
      </w:pPr>
    </w:p>
    <w:p w14:paraId="2FD79EB0" w14:textId="39FE0518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  <w:bdr w:val="none" w:sz="0" w:space="0" w:color="auto" w:frame="1"/>
        </w:rPr>
        <w:fldChar w:fldCharType="begin"/>
      </w:r>
      <w:r>
        <w:rPr>
          <w:color w:val="000000"/>
          <w:bdr w:val="none" w:sz="0" w:space="0" w:color="auto" w:frame="1"/>
        </w:rPr>
        <w:instrText xml:space="preserve"> INCLUDEPICTURE "https://lh5.googleusercontent.com/Q6doyn4xttN1in4fZtWQAJGx3nVMYNXNigTTXlhv6RHxHJSkd6quDAV7t2vH3mcwpSIlXSMUb31wlY1t9izD0prD04kjrw5KOTbl1K4XekHNvX-Q9I4EUpsWwKm0QA" \* MERGEFORMATINET </w:instrText>
      </w:r>
      <w:r>
        <w:rPr>
          <w:color w:val="000000"/>
          <w:bdr w:val="none" w:sz="0" w:space="0" w:color="auto" w:frame="1"/>
        </w:rPr>
        <w:fldChar w:fldCharType="separate"/>
      </w:r>
      <w:r>
        <w:rPr>
          <w:noProof/>
          <w:color w:val="000000"/>
          <w:bdr w:val="none" w:sz="0" w:space="0" w:color="auto" w:frame="1"/>
        </w:rPr>
        <w:drawing>
          <wp:inline distT="0" distB="0" distL="0" distR="0" wp14:anchorId="2E8A8AF4" wp14:editId="4B9BFB21">
            <wp:extent cx="5943600" cy="1900555"/>
            <wp:effectExtent l="0" t="0" r="0" b="4445"/>
            <wp:docPr id="5" name="Picture 5" descr="A close up of a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0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bdr w:val="none" w:sz="0" w:space="0" w:color="auto" w:frame="1"/>
        </w:rPr>
        <w:fldChar w:fldCharType="end"/>
      </w:r>
    </w:p>
    <w:p w14:paraId="7DEF8DF1" w14:textId="110B1650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Figure S</w:t>
      </w:r>
      <w:r w:rsidR="00FC66A3">
        <w:rPr>
          <w:color w:val="000000"/>
        </w:rPr>
        <w:t>3</w:t>
      </w:r>
      <w:r>
        <w:rPr>
          <w:color w:val="000000"/>
        </w:rPr>
        <w:t xml:space="preserve">: Linear regressions of daily surface </w:t>
      </w:r>
      <w:proofErr w:type="spellStart"/>
      <w:r>
        <w:rPr>
          <w:color w:val="000000"/>
        </w:rPr>
        <w:t>NPQ</w:t>
      </w:r>
      <w:r>
        <w:rPr>
          <w:color w:val="000000"/>
          <w:sz w:val="14"/>
          <w:szCs w:val="14"/>
          <w:vertAlign w:val="subscript"/>
        </w:rPr>
        <w:t>Glider</w:t>
      </w:r>
      <w:proofErr w:type="spellEnd"/>
      <w:r>
        <w:rPr>
          <w:color w:val="000000"/>
        </w:rPr>
        <w:t xml:space="preserve"> against (a) daily surface PAR (</w:t>
      </w:r>
      <w:proofErr w:type="spellStart"/>
      <w:r>
        <w:rPr>
          <w:color w:val="000000"/>
        </w:rPr>
        <w:t>μmol</w:t>
      </w:r>
      <w:proofErr w:type="spellEnd"/>
      <w:r>
        <w:rPr>
          <w:color w:val="000000"/>
        </w:rPr>
        <w:t xml:space="preserve"> photons m</w:t>
      </w:r>
      <w:r>
        <w:rPr>
          <w:color w:val="000000"/>
          <w:sz w:val="14"/>
          <w:szCs w:val="14"/>
          <w:vertAlign w:val="superscript"/>
        </w:rPr>
        <w:t>-2</w:t>
      </w:r>
      <w:r>
        <w:rPr>
          <w:color w:val="000000"/>
        </w:rPr>
        <w:t xml:space="preserve"> s</w:t>
      </w:r>
      <w:r>
        <w:rPr>
          <w:color w:val="000000"/>
          <w:sz w:val="14"/>
          <w:szCs w:val="14"/>
          <w:vertAlign w:val="superscript"/>
        </w:rPr>
        <w:t>-1</w:t>
      </w:r>
      <w:r>
        <w:rPr>
          <w:color w:val="000000"/>
        </w:rPr>
        <w:t>) and (b) daily MLD (m).</w:t>
      </w:r>
    </w:p>
    <w:p w14:paraId="6A2545BE" w14:textId="77777777" w:rsidR="00394E99" w:rsidRDefault="00394E99" w:rsidP="00394E99"/>
    <w:p w14:paraId="32F17925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14:paraId="74C1423A" w14:textId="5DDC9B9B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lastRenderedPageBreak/>
        <w:t> </w:t>
      </w:r>
      <w:r w:rsidR="00E901C1">
        <w:rPr>
          <w:noProof/>
        </w:rPr>
        <w:drawing>
          <wp:inline distT="0" distB="0" distL="0" distR="0" wp14:anchorId="734A7E1E" wp14:editId="57BF6414">
            <wp:extent cx="5943600" cy="32416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e_S2.eps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4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169758" w14:textId="1745C02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Figure S</w:t>
      </w:r>
      <w:r w:rsidR="00FC66A3">
        <w:rPr>
          <w:color w:val="000000"/>
        </w:rPr>
        <w:t>4</w:t>
      </w:r>
      <w:r>
        <w:rPr>
          <w:color w:val="000000"/>
        </w:rPr>
        <w:t>: Quality controlled (a) α</w:t>
      </w:r>
      <w:r>
        <w:rPr>
          <w:color w:val="000000"/>
          <w:sz w:val="14"/>
          <w:szCs w:val="14"/>
          <w:vertAlign w:val="subscript"/>
        </w:rPr>
        <w:t>NPQ</w:t>
      </w:r>
      <w:r>
        <w:rPr>
          <w:color w:val="000000"/>
        </w:rPr>
        <w:t xml:space="preserve"> and (b) </w:t>
      </w:r>
      <w:proofErr w:type="spellStart"/>
      <w:r>
        <w:rPr>
          <w:color w:val="000000"/>
        </w:rPr>
        <w:t>NPQ</w:t>
      </w:r>
      <w:r>
        <w:rPr>
          <w:color w:val="000000"/>
          <w:sz w:val="14"/>
          <w:szCs w:val="14"/>
          <w:vertAlign w:val="subscript"/>
        </w:rPr>
        <w:t>max</w:t>
      </w:r>
      <w:proofErr w:type="spellEnd"/>
      <w:r>
        <w:rPr>
          <w:color w:val="000000"/>
        </w:rPr>
        <w:t xml:space="preserve"> calculated from the depth profiles of </w:t>
      </w:r>
      <w:proofErr w:type="spellStart"/>
      <w:r>
        <w:rPr>
          <w:color w:val="000000"/>
        </w:rPr>
        <w:t>NPQ</w:t>
      </w:r>
      <w:r>
        <w:rPr>
          <w:color w:val="000000"/>
          <w:sz w:val="14"/>
          <w:szCs w:val="14"/>
          <w:vertAlign w:val="subscript"/>
        </w:rPr>
        <w:t>Glider</w:t>
      </w:r>
      <w:proofErr w:type="spellEnd"/>
      <w:r>
        <w:rPr>
          <w:color w:val="000000"/>
        </w:rPr>
        <w:t xml:space="preserve"> versus in situ PAR (</w:t>
      </w:r>
      <w:proofErr w:type="spellStart"/>
      <w:r>
        <w:rPr>
          <w:color w:val="000000"/>
        </w:rPr>
        <w:t>μmol</w:t>
      </w:r>
      <w:proofErr w:type="spellEnd"/>
      <w:r>
        <w:rPr>
          <w:color w:val="000000"/>
        </w:rPr>
        <w:t xml:space="preserve"> photons m</w:t>
      </w:r>
      <w:r>
        <w:rPr>
          <w:color w:val="000000"/>
          <w:sz w:val="14"/>
          <w:szCs w:val="14"/>
          <w:vertAlign w:val="superscript"/>
        </w:rPr>
        <w:t>-2</w:t>
      </w:r>
      <w:r>
        <w:rPr>
          <w:color w:val="000000"/>
        </w:rPr>
        <w:t xml:space="preserve"> s</w:t>
      </w:r>
      <w:r>
        <w:rPr>
          <w:color w:val="000000"/>
          <w:sz w:val="14"/>
          <w:szCs w:val="14"/>
          <w:vertAlign w:val="superscript"/>
        </w:rPr>
        <w:t>-1</w:t>
      </w:r>
      <w:r>
        <w:rPr>
          <w:color w:val="000000"/>
        </w:rPr>
        <w:t>); displayed is the raw data and a 7-day rolling mean. The transition from Winter to Summer is defined as the 26th November 2015, when the net heat flux became positive according to du Plessis et al. (2019).</w:t>
      </w:r>
    </w:p>
    <w:p w14:paraId="3EB8D094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14:paraId="53268DCA" w14:textId="77777777" w:rsidR="00394E99" w:rsidRDefault="00394E99" w:rsidP="00394E99"/>
    <w:p w14:paraId="091A57ED" w14:textId="3F7F7AEC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  <w:r>
        <w:rPr>
          <w:color w:val="000000"/>
          <w:bdr w:val="none" w:sz="0" w:space="0" w:color="auto" w:frame="1"/>
        </w:rPr>
        <w:fldChar w:fldCharType="begin"/>
      </w:r>
      <w:r>
        <w:rPr>
          <w:color w:val="000000"/>
          <w:bdr w:val="none" w:sz="0" w:space="0" w:color="auto" w:frame="1"/>
        </w:rPr>
        <w:instrText xml:space="preserve"> INCLUDEPICTURE "https://lh6.googleusercontent.com/k1e52BJPfJNJuIPreMizc4r8Rp5quifF22to3ctKyWQiWJMsKJyAIDoR-N2z2RdLb2ZHqYaBD6SnyMGK_W1a7wafGcjUTYAxS79xobpysi9q0J17eKTVw_r76_T7yg" \* MERGEFORMATINET </w:instrText>
      </w:r>
      <w:r>
        <w:rPr>
          <w:color w:val="000000"/>
          <w:bdr w:val="none" w:sz="0" w:space="0" w:color="auto" w:frame="1"/>
        </w:rPr>
        <w:fldChar w:fldCharType="separate"/>
      </w:r>
      <w:r>
        <w:rPr>
          <w:noProof/>
          <w:color w:val="000000"/>
          <w:bdr w:val="none" w:sz="0" w:space="0" w:color="auto" w:frame="1"/>
        </w:rPr>
        <w:drawing>
          <wp:inline distT="0" distB="0" distL="0" distR="0" wp14:anchorId="16EAC53A" wp14:editId="1FD16795">
            <wp:extent cx="5943600" cy="2924175"/>
            <wp:effectExtent l="0" t="0" r="0" b="0"/>
            <wp:docPr id="3" name="Picture 3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bdr w:val="none" w:sz="0" w:space="0" w:color="auto" w:frame="1"/>
        </w:rPr>
        <w:fldChar w:fldCharType="end"/>
      </w:r>
    </w:p>
    <w:p w14:paraId="52ABD4E5" w14:textId="396623D1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Figure S</w:t>
      </w:r>
      <w:r w:rsidR="00FC66A3">
        <w:rPr>
          <w:color w:val="000000"/>
        </w:rPr>
        <w:t>5</w:t>
      </w:r>
      <w:bookmarkStart w:id="0" w:name="_GoBack"/>
      <w:bookmarkEnd w:id="0"/>
      <w:r>
        <w:rPr>
          <w:color w:val="000000"/>
        </w:rPr>
        <w:t>: Time-series of the daily difference in MLD (m) and the daily difference in α</w:t>
      </w:r>
      <w:r>
        <w:rPr>
          <w:color w:val="000000"/>
          <w:sz w:val="14"/>
          <w:szCs w:val="14"/>
          <w:vertAlign w:val="subscript"/>
        </w:rPr>
        <w:t>NPQ</w:t>
      </w:r>
      <w:r>
        <w:rPr>
          <w:color w:val="000000"/>
        </w:rPr>
        <w:t>.</w:t>
      </w:r>
    </w:p>
    <w:p w14:paraId="25133F11" w14:textId="77777777" w:rsidR="00394E99" w:rsidRDefault="00394E99" w:rsidP="00394E99"/>
    <w:p w14:paraId="6E673BE6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lastRenderedPageBreak/>
        <w:t>Table S1: Temporal modes of variability and coefficient of determination (r</w:t>
      </w:r>
      <w:r>
        <w:rPr>
          <w:color w:val="000000"/>
          <w:sz w:val="14"/>
          <w:szCs w:val="14"/>
          <w:vertAlign w:val="superscript"/>
        </w:rPr>
        <w:t>2</w:t>
      </w:r>
      <w:r>
        <w:rPr>
          <w:color w:val="000000"/>
        </w:rPr>
        <w:t xml:space="preserve">) defining the explained variance for each of the IMFs calculated for the </w:t>
      </w:r>
      <w:proofErr w:type="gramStart"/>
      <w:r>
        <w:rPr>
          <w:color w:val="000000"/>
        </w:rPr>
        <w:t>summer time</w:t>
      </w:r>
      <w:proofErr w:type="gramEnd"/>
      <w:r>
        <w:rPr>
          <w:color w:val="000000"/>
        </w:rPr>
        <w:t xml:space="preserve"> series with daily and seasonal signal removed for surface chlorophyll-a, MLD and α</w:t>
      </w:r>
      <w:r>
        <w:rPr>
          <w:color w:val="000000"/>
          <w:sz w:val="14"/>
          <w:szCs w:val="14"/>
          <w:vertAlign w:val="subscript"/>
        </w:rPr>
        <w:t>NPQ</w:t>
      </w:r>
      <w:r>
        <w:rPr>
          <w:color w:val="000000"/>
        </w:rPr>
        <w:t xml:space="preserve"> (linear interpolation and MLD regression). The dominant signal is in italics and shaded grey, with all significant correlations (p&lt;0.01) in bold and underlined.</w:t>
      </w:r>
    </w:p>
    <w:p w14:paraId="0971E6C3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"/>
        <w:gridCol w:w="1247"/>
        <w:gridCol w:w="640"/>
        <w:gridCol w:w="1247"/>
        <w:gridCol w:w="640"/>
        <w:gridCol w:w="1247"/>
        <w:gridCol w:w="640"/>
        <w:gridCol w:w="1247"/>
        <w:gridCol w:w="640"/>
      </w:tblGrid>
      <w:tr w:rsidR="00394E99" w14:paraId="6D391480" w14:textId="77777777" w:rsidTr="00394E99">
        <w:trPr>
          <w:trHeight w:val="54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AE723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60D510" w14:textId="77777777" w:rsidR="00394E99" w:rsidRDefault="00394E99">
            <w:pPr>
              <w:pStyle w:val="NormalWeb"/>
              <w:spacing w:before="0" w:beforeAutospacing="0" w:after="0" w:afterAutospacing="0"/>
            </w:pPr>
            <w:proofErr w:type="spellStart"/>
            <w:r>
              <w:rPr>
                <w:color w:val="000000"/>
              </w:rPr>
              <w:t>Chl</w:t>
            </w:r>
            <w:proofErr w:type="spellEnd"/>
            <w:r>
              <w:rPr>
                <w:color w:val="000000"/>
              </w:rPr>
              <w:t>-a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DAB76E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MLD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BBD107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α</w:t>
            </w:r>
            <w:r>
              <w:rPr>
                <w:color w:val="000000"/>
                <w:sz w:val="14"/>
                <w:szCs w:val="14"/>
                <w:vertAlign w:val="subscript"/>
              </w:rPr>
              <w:t>NPQ</w:t>
            </w:r>
            <w:r>
              <w:rPr>
                <w:color w:val="000000"/>
              </w:rPr>
              <w:t xml:space="preserve"> (linear)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4EB9C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α</w:t>
            </w:r>
            <w:r>
              <w:rPr>
                <w:color w:val="000000"/>
                <w:sz w:val="14"/>
                <w:szCs w:val="14"/>
                <w:vertAlign w:val="subscript"/>
              </w:rPr>
              <w:t>NPQ</w:t>
            </w:r>
            <w:r>
              <w:rPr>
                <w:color w:val="000000"/>
              </w:rPr>
              <w:t xml:space="preserve"> (regression)</w:t>
            </w:r>
          </w:p>
        </w:tc>
      </w:tr>
      <w:tr w:rsidR="00394E99" w14:paraId="58671DBD" w14:textId="77777777" w:rsidTr="00394E99">
        <w:trPr>
          <w:trHeight w:val="73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D46836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IMF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AEC73F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Time scale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1E776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r</w:t>
            </w:r>
            <w:r>
              <w:rPr>
                <w:color w:val="000000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D6A69F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Time scale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C2E83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r</w:t>
            </w:r>
            <w:r>
              <w:rPr>
                <w:color w:val="000000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52961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Time scale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55A91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r</w:t>
            </w:r>
            <w:r>
              <w:rPr>
                <w:color w:val="000000"/>
                <w:sz w:val="14"/>
                <w:szCs w:val="14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45513D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Time scale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4A889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r</w:t>
            </w:r>
            <w:r>
              <w:rPr>
                <w:color w:val="000000"/>
                <w:sz w:val="14"/>
                <w:szCs w:val="14"/>
                <w:vertAlign w:val="superscript"/>
              </w:rPr>
              <w:t>2</w:t>
            </w:r>
          </w:p>
        </w:tc>
      </w:tr>
      <w:tr w:rsidR="00394E99" w14:paraId="5704E36C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6ECB26E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85E67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2.8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E798D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18%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DFEEC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4D87E1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5%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69457D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3.4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9BBB2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26%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67B2D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3.0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B44BC9F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28%</w:t>
            </w:r>
          </w:p>
        </w:tc>
      </w:tr>
      <w:tr w:rsidR="00394E99" w14:paraId="0E5C737A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9580E5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EC92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F7AFA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24%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21AE61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7.1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F92E2A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14%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6CAAD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6.1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E2F30A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27%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92A6EA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4.8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1A488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18%</w:t>
            </w:r>
          </w:p>
        </w:tc>
      </w:tr>
      <w:tr w:rsidR="00394E99" w14:paraId="4F396746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C6D76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425A37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17.0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8BDAF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24%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5C915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11.0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40C5B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7%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3EDFB23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10.5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C84FA5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A4564A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8.9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8F3D8E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9%</w:t>
            </w:r>
          </w:p>
        </w:tc>
      </w:tr>
      <w:tr w:rsidR="00394E99" w14:paraId="5351C450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3BB77A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FAB55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24.0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0C75C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color w:val="000000"/>
                <w:sz w:val="22"/>
                <w:szCs w:val="22"/>
                <w:u w:val="single"/>
              </w:rPr>
              <w:t>15%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0FD1C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Residual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EE86E4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</w:rPr>
              <w:t>65%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B9D85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23.0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ADFAE5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5%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7EE2E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19.0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4D2BAB6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2%</w:t>
            </w:r>
          </w:p>
        </w:tc>
      </w:tr>
      <w:tr w:rsidR="00394E99" w14:paraId="02DBC574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E515FF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9897E74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28.5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AC4DF1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9%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AE5F2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584213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FA5B7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28.0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930DF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b/>
                <w:bCs/>
                <w:i/>
                <w:iCs/>
                <w:color w:val="000000"/>
                <w:sz w:val="22"/>
                <w:szCs w:val="22"/>
                <w:u w:val="single"/>
              </w:rPr>
              <w:t>6%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8C7A2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29.0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B3607F3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4%</w:t>
            </w:r>
          </w:p>
        </w:tc>
      </w:tr>
      <w:tr w:rsidR="00394E99" w14:paraId="39AE1186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432B44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39F588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60.0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8D640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0%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54369E3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642014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37FC7F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Residual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DE9011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1%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049C6CC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58.0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5C6C2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0%</w:t>
            </w:r>
          </w:p>
        </w:tc>
      </w:tr>
      <w:tr w:rsidR="00394E99" w14:paraId="72289C91" w14:textId="77777777" w:rsidTr="00394E99">
        <w:trPr>
          <w:trHeight w:val="46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E31719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</w:rPr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3F9F69E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Residual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776F1C0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0%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25313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DEA682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A6AFA7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AD7F20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F29FDB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Residual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FEB5500" w14:textId="77777777" w:rsidR="00394E99" w:rsidRDefault="00394E99">
            <w:pPr>
              <w:pStyle w:val="NormalWeb"/>
              <w:spacing w:before="0" w:beforeAutospacing="0" w:after="0" w:afterAutospacing="0"/>
            </w:pPr>
            <w:r>
              <w:rPr>
                <w:color w:val="000000"/>
                <w:sz w:val="22"/>
                <w:szCs w:val="22"/>
              </w:rPr>
              <w:t>0%</w:t>
            </w:r>
          </w:p>
        </w:tc>
      </w:tr>
    </w:tbl>
    <w:p w14:paraId="1B0B5007" w14:textId="77777777" w:rsidR="00394E99" w:rsidRDefault="00394E99" w:rsidP="00394E99">
      <w:pPr>
        <w:pStyle w:val="NormalWeb"/>
        <w:spacing w:before="0" w:beforeAutospacing="0" w:after="0" w:afterAutospacing="0"/>
      </w:pPr>
      <w:r>
        <w:rPr>
          <w:color w:val="000000"/>
        </w:rPr>
        <w:t> </w:t>
      </w:r>
    </w:p>
    <w:p w14:paraId="1C09DF02" w14:textId="77777777" w:rsidR="00394E99" w:rsidRDefault="00394E99" w:rsidP="00394E99"/>
    <w:p w14:paraId="67F12598" w14:textId="77777777" w:rsidR="00CA3451" w:rsidRPr="00394E99" w:rsidRDefault="00CA3451" w:rsidP="00394E99"/>
    <w:sectPr w:rsidR="00CA3451" w:rsidRPr="00394E99">
      <w:footerReference w:type="default" r:id="rId11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896ECA" w14:textId="77777777" w:rsidR="001B3E4F" w:rsidRDefault="001B3E4F">
      <w:pPr>
        <w:spacing w:line="240" w:lineRule="auto"/>
      </w:pPr>
      <w:r>
        <w:separator/>
      </w:r>
    </w:p>
  </w:endnote>
  <w:endnote w:type="continuationSeparator" w:id="0">
    <w:p w14:paraId="4C1B840C" w14:textId="77777777" w:rsidR="001B3E4F" w:rsidRDefault="001B3E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3C776" w14:textId="77777777" w:rsidR="00312814" w:rsidRDefault="00514EFC">
    <w:pPr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5DAE54" w14:textId="77777777" w:rsidR="001B3E4F" w:rsidRDefault="001B3E4F">
      <w:pPr>
        <w:spacing w:line="240" w:lineRule="auto"/>
      </w:pPr>
      <w:r>
        <w:separator/>
      </w:r>
    </w:p>
  </w:footnote>
  <w:footnote w:type="continuationSeparator" w:id="0">
    <w:p w14:paraId="1A86ED18" w14:textId="77777777" w:rsidR="001B3E4F" w:rsidRDefault="001B3E4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EFC"/>
    <w:rsid w:val="001A4C83"/>
    <w:rsid w:val="001B3E4F"/>
    <w:rsid w:val="00394E99"/>
    <w:rsid w:val="00514EFC"/>
    <w:rsid w:val="00C01C8A"/>
    <w:rsid w:val="00CA3451"/>
    <w:rsid w:val="00E81E14"/>
    <w:rsid w:val="00E901C1"/>
    <w:rsid w:val="00EA2C88"/>
    <w:rsid w:val="00FC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2B8622A"/>
  <w15:chartTrackingRefBased/>
  <w15:docId w15:val="{8745B84F-FEAF-0846-94D2-54C21BE9E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4EFC"/>
    <w:pPr>
      <w:spacing w:line="276" w:lineRule="auto"/>
    </w:pPr>
    <w:rPr>
      <w:rFonts w:ascii="Arial" w:eastAsia="Arial" w:hAnsi="Arial" w:cs="Arial"/>
      <w:sz w:val="22"/>
      <w:szCs w:val="22"/>
      <w:lang w:val="en"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4EFC"/>
    <w:pPr>
      <w:keepNext/>
      <w:keepLines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4EFC"/>
    <w:pPr>
      <w:spacing w:line="240" w:lineRule="auto"/>
    </w:pPr>
    <w:rPr>
      <w:rFonts w:ascii="Times New Roman" w:eastAsiaTheme="minorHAnsi" w:hAnsi="Times New Roman" w:cs="Times New Roman"/>
      <w:sz w:val="18"/>
      <w:szCs w:val="18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EFC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514EFC"/>
    <w:rPr>
      <w:rFonts w:ascii="Arial" w:eastAsia="Arial" w:hAnsi="Arial" w:cs="Arial"/>
      <w:b/>
      <w:sz w:val="22"/>
      <w:szCs w:val="22"/>
      <w:lang w:val="en" w:eastAsia="en-GB"/>
    </w:rPr>
  </w:style>
  <w:style w:type="paragraph" w:styleId="NormalWeb">
    <w:name w:val="Normal (Web)"/>
    <w:basedOn w:val="Normal"/>
    <w:uiPriority w:val="99"/>
    <w:semiHidden/>
    <w:unhideWhenUsed/>
    <w:rsid w:val="00394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599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383</Words>
  <Characters>2186</Characters>
  <Application>Microsoft Office Word</Application>
  <DocSecurity>0</DocSecurity>
  <Lines>18</Lines>
  <Paragraphs>5</Paragraphs>
  <ScaleCrop>false</ScaleCrop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Ryan-Keogh</dc:creator>
  <cp:keywords/>
  <dc:description/>
  <cp:lastModifiedBy>Thomas Ryan-Keogh</cp:lastModifiedBy>
  <cp:revision>4</cp:revision>
  <dcterms:created xsi:type="dcterms:W3CDTF">2020-02-04T13:33:00Z</dcterms:created>
  <dcterms:modified xsi:type="dcterms:W3CDTF">2020-02-25T08:30:00Z</dcterms:modified>
</cp:coreProperties>
</file>