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6E2E" w14:textId="13722E88" w:rsidR="00190E1A" w:rsidRDefault="00AC3C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</w:t>
      </w:r>
      <w:r w:rsidR="00BC7013">
        <w:rPr>
          <w:rFonts w:ascii="Times New Roman" w:hAnsi="Times New Roman" w:cs="Times New Roman"/>
          <w:sz w:val="24"/>
        </w:rPr>
        <w:t xml:space="preserve"> 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1. Clinical evidence of physical exercise on methamphetamine addiction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3140"/>
        <w:gridCol w:w="3492"/>
        <w:gridCol w:w="1746"/>
        <w:gridCol w:w="3729"/>
      </w:tblGrid>
      <w:tr w:rsidR="00190E1A" w14:paraId="2A453F9C" w14:textId="77777777">
        <w:tc>
          <w:tcPr>
            <w:tcW w:w="1865" w:type="dxa"/>
          </w:tcPr>
          <w:p w14:paraId="5AF79E12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3191" w:type="dxa"/>
          </w:tcPr>
          <w:p w14:paraId="6877FDB1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Sample</w:t>
            </w:r>
          </w:p>
        </w:tc>
        <w:tc>
          <w:tcPr>
            <w:tcW w:w="3555" w:type="dxa"/>
          </w:tcPr>
          <w:p w14:paraId="5E4C5161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Type of Exercise</w:t>
            </w:r>
          </w:p>
        </w:tc>
        <w:tc>
          <w:tcPr>
            <w:tcW w:w="1770" w:type="dxa"/>
          </w:tcPr>
          <w:p w14:paraId="30DAED86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Duration of exercise</w:t>
            </w:r>
          </w:p>
        </w:tc>
        <w:tc>
          <w:tcPr>
            <w:tcW w:w="3793" w:type="dxa"/>
          </w:tcPr>
          <w:p w14:paraId="59D70E1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Outcomes</w:t>
            </w:r>
          </w:p>
        </w:tc>
      </w:tr>
      <w:tr w:rsidR="00190E1A" w14:paraId="2631E2F0" w14:textId="77777777">
        <w:tc>
          <w:tcPr>
            <w:tcW w:w="1865" w:type="dxa"/>
          </w:tcPr>
          <w:p w14:paraId="3DA60BAE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Dolezal et al., 2013</w:t>
            </w:r>
          </w:p>
          <w:p w14:paraId="261ADB0B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(1)</w:t>
            </w:r>
          </w:p>
        </w:tc>
        <w:tc>
          <w:tcPr>
            <w:tcW w:w="3191" w:type="dxa"/>
          </w:tcPr>
          <w:p w14:paraId="6F51FDC0" w14:textId="77777777" w:rsidR="00190E1A" w:rsidRDefault="00AC3C7F" w:rsidP="0044251A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 MA-dependent individuals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finished the proposed program: 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xercise training (ET, n = 15) or health education without training (equal attention [EA], n = 14)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378096E7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Endurance Training(30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min):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first 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jogging and/or walking on treadmill during 30 min, at intensity based on heart rate (HR); the subsequent 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had increasing intensity;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Resistance Training(30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min): progressive, circuit-type resistance training program that included all the major muscle groups of the upper and lower body.</w:t>
            </w:r>
          </w:p>
          <w:p w14:paraId="5B29E1F9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70" w:type="dxa"/>
          </w:tcPr>
          <w:p w14:paraId="70CF074A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5157890F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Aerobic capacity and endurance: VO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max (↑21%)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;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Body composition and anthropometry: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ody fat (↓15%) and fat weight (↓18%) in the exercise group.</w:t>
            </w:r>
          </w:p>
        </w:tc>
      </w:tr>
      <w:tr w:rsidR="00190E1A" w14:paraId="2B2FA86E" w14:textId="77777777">
        <w:trPr>
          <w:trHeight w:val="2996"/>
        </w:trPr>
        <w:tc>
          <w:tcPr>
            <w:tcW w:w="1865" w:type="dxa"/>
          </w:tcPr>
          <w:p w14:paraId="62DBC689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Dolezal et al., 2014</w:t>
            </w:r>
          </w:p>
          <w:p w14:paraId="245C5C33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(2)</w:t>
            </w:r>
          </w:p>
        </w:tc>
        <w:tc>
          <w:tcPr>
            <w:tcW w:w="3191" w:type="dxa"/>
          </w:tcPr>
          <w:p w14:paraId="0649CF9F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50 recently abstinent MA-dependent participants with age-matched, drug-free controls (DF=22) and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MA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-dependent participants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(MD = 28).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MD were randomized to thrice-weekly exercise training (ME = 14) or equal attention without training (MC = 14)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58AEB7FD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Endurance Training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(30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min): first 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jogging and/or walking on treadmill during 30 min, at intensity based on heart rate (HR); the subsequent 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had increasing intensity;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Resistance Training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(30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min): progressive, circuit-type resistance training program that included all the major muscle groups of the upper and lower body.</w:t>
            </w:r>
          </w:p>
        </w:tc>
        <w:tc>
          <w:tcPr>
            <w:tcW w:w="1770" w:type="dxa"/>
          </w:tcPr>
          <w:p w14:paraId="41D54BB6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2EC6670D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Exercise markedly increased HRV: the ME group significantly increased SDNN (+34%), RMSSD (+63%), pNN50 (+173%),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HFnu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(+60%), and decreased HR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7%),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LFnu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16%), and LF/HF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19%);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Exercise improved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 aerobic capacity (VO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 xml:space="preserve">2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max; +24%);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Exercise increased muscle strength and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endurance for upper;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Body composition and anthropometry: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body mass (−3%), percent relative body fat (−14%), and body mass index (−4%) in the exercise group.</w:t>
            </w:r>
          </w:p>
          <w:p w14:paraId="0C6C20B6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90E1A" w14:paraId="6716BA06" w14:textId="77777777">
        <w:tc>
          <w:tcPr>
            <w:tcW w:w="1865" w:type="dxa"/>
          </w:tcPr>
          <w:p w14:paraId="5E5D5448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Haglund et al., 2015</w:t>
            </w:r>
          </w:p>
          <w:p w14:paraId="3D774392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(3)</w:t>
            </w:r>
          </w:p>
          <w:p w14:paraId="236803B8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91" w:type="dxa"/>
          </w:tcPr>
          <w:p w14:paraId="68636EDA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 MA-dependent individuals enrolled in residential treatment were randomly assigned to either a structured exercise intervention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(n = 69) or a structured health education control group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(n = 66)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49A08633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Exercise sessions: 5 min of warm-up, 30 min of aerobic activity on 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treadmill, 15 min of resistance training with weight-lifting in major muscle groups, and 5 min of cool-down and stretching.</w:t>
            </w:r>
          </w:p>
          <w:p w14:paraId="2E4926AC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70" w:type="dxa"/>
          </w:tcPr>
          <w:p w14:paraId="475D6DA6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664458F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Aerobic exercise intervention significantly reduced depression symptom scores.</w:t>
            </w:r>
          </w:p>
        </w:tc>
      </w:tr>
      <w:tr w:rsidR="00190E1A" w14:paraId="5E959001" w14:textId="77777777">
        <w:tc>
          <w:tcPr>
            <w:tcW w:w="1865" w:type="dxa"/>
          </w:tcPr>
          <w:p w14:paraId="6DEB6965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Rawson et al. 2015a</w:t>
            </w:r>
          </w:p>
          <w:p w14:paraId="7B373323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(4)</w:t>
            </w:r>
          </w:p>
        </w:tc>
        <w:tc>
          <w:tcPr>
            <w:tcW w:w="3191" w:type="dxa"/>
          </w:tcPr>
          <w:p w14:paraId="0FB1B1D7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 MA-dependent individuals were randomly assigned to exercise intervention (n = 69) or health education control (n = 66)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2F003CC7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Exercise sessions: 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 min of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warm-up, 30 min of aerobic activity on a treadmill, 15 min of weight train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ing for the major muscle groups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(arms, chest, back, and legs) and a 5 min cool-down with stretching.</w:t>
            </w:r>
          </w:p>
          <w:p w14:paraId="3728768F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70" w:type="dxa"/>
          </w:tcPr>
          <w:p w14:paraId="265924BE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44E349DE" w14:textId="77777777" w:rsidR="00190E1A" w:rsidRDefault="00AC3C7F">
            <w:pPr>
              <w:widowControl/>
              <w:spacing w:after="28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Aerobic exercise significantly reduced depression and anxiety symptom scores (according to Beck Depression Inventory).</w:t>
            </w:r>
          </w:p>
        </w:tc>
      </w:tr>
      <w:tr w:rsidR="00190E1A" w14:paraId="6733AA9A" w14:textId="77777777">
        <w:tc>
          <w:tcPr>
            <w:tcW w:w="1865" w:type="dxa"/>
          </w:tcPr>
          <w:p w14:paraId="2AC265B5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Rawson et al., 2015b</w:t>
            </w:r>
          </w:p>
          <w:p w14:paraId="7EC4A771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(5)</w:t>
            </w:r>
          </w:p>
        </w:tc>
        <w:tc>
          <w:tcPr>
            <w:tcW w:w="3191" w:type="dxa"/>
          </w:tcPr>
          <w:p w14:paraId="5958A052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 individuals newly enrolled in treatment were randomly assigned to a structured 8-week exercise intervention (n = 69) or health education control group (n = 66)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380B56CF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xercise sessions: 5 min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44251A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of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warm-up, 30 min of aerobic activity on a treadmill, 15 min of weight train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ing for the major muscle groups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(arms, chest, back, and legs) and a 5 min cool-down with stretching.</w:t>
            </w:r>
          </w:p>
          <w:p w14:paraId="260E280E" w14:textId="77777777" w:rsidR="00190E1A" w:rsidRDefault="00190E1A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70" w:type="dxa"/>
          </w:tcPr>
          <w:p w14:paraId="0823674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513E89A7" w14:textId="77777777" w:rsidR="00190E1A" w:rsidRDefault="00AC3C7F">
            <w:pPr>
              <w:widowControl/>
              <w:spacing w:after="28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Physical exercise decreased MA use among lower severity MA users at 1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 3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 and 6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nths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post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treatment. This benefit was sustained for 6 m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onths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</w:tr>
      <w:tr w:rsidR="00190E1A" w14:paraId="2A0A9570" w14:textId="77777777">
        <w:tc>
          <w:tcPr>
            <w:tcW w:w="1865" w:type="dxa"/>
          </w:tcPr>
          <w:p w14:paraId="4424B51B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Robertson et al, 2016</w:t>
            </w:r>
          </w:p>
          <w:p w14:paraId="4F449A82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(6)</w:t>
            </w:r>
          </w:p>
        </w:tc>
        <w:tc>
          <w:tcPr>
            <w:tcW w:w="3191" w:type="dxa"/>
          </w:tcPr>
          <w:p w14:paraId="15E854EE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 MA-dependent individuals were randomized to a supervised exercise training group (exercised; n = 10) or a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equal-time health education training group (sedentary; n = 9)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0D0EF0ED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Aerobic training (30 min): first 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jogging and/or walking on treadmill during 30 min, at intensity based on HR; the subsequent 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had increasing intensity; </w:t>
            </w:r>
          </w:p>
          <w:p w14:paraId="113D6BFF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Resistance training (30 min): progressive, circuit-type, resistance training that included all the major muscle groups of the upper and lower body.</w:t>
            </w:r>
          </w:p>
        </w:tc>
        <w:tc>
          <w:tcPr>
            <w:tcW w:w="1770" w:type="dxa"/>
          </w:tcPr>
          <w:p w14:paraId="7C64DC71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; 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4469CDD7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Exercised patients displayed a significant increase in striatal D2/D3 receptor availability compared to the sedentary group; There were no changes in D2/D3 receptor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availability in extra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striatal regions in either group.</w:t>
            </w:r>
          </w:p>
        </w:tc>
      </w:tr>
      <w:tr w:rsidR="00190E1A" w14:paraId="5BE1AA02" w14:textId="77777777">
        <w:tc>
          <w:tcPr>
            <w:tcW w:w="1865" w:type="dxa"/>
          </w:tcPr>
          <w:p w14:paraId="7313A57A" w14:textId="77777777" w:rsidR="00190E1A" w:rsidRDefault="00AB13F2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hyperlink w:anchor="_ENREF_57" w:tooltip="Wang, 2015 #132" w:history="1">
              <w:r w:rsidR="00AC3C7F">
                <w:rPr>
                  <w:rStyle w:val="Hyperlink"/>
                  <w:rFonts w:ascii="Times New Roman" w:eastAsia="SimSun" w:hAnsi="Times New Roman" w:cs="Times New Roman"/>
                  <w:color w:val="auto"/>
                  <w:sz w:val="18"/>
                  <w:szCs w:val="18"/>
                  <w:u w:val="none"/>
                </w:rPr>
                <w:t>Wang et al., 2015</w:t>
              </w:r>
            </w:hyperlink>
          </w:p>
          <w:p w14:paraId="53C03793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bidi="ar"/>
              </w:rPr>
              <w:t>(7)</w:t>
            </w:r>
          </w:p>
        </w:tc>
        <w:tc>
          <w:tcPr>
            <w:tcW w:w="3191" w:type="dxa"/>
          </w:tcPr>
          <w:p w14:paraId="1020DECB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 participants who met the DSM-IV criteria for MA dependence were randomly assigned to an exercise group or to a control group.</w:t>
            </w:r>
          </w:p>
        </w:tc>
        <w:tc>
          <w:tcPr>
            <w:tcW w:w="3555" w:type="dxa"/>
          </w:tcPr>
          <w:p w14:paraId="580FC3C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Aerobic exercise: 5 min warm-up, 20 min main exercise, 5 min cool-down.; During the main exercise, participants exercised on a stationary cycle ergometer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Monark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828E) at 50 RPMs; loading was manually adjusted to maintain the heart rate (HR) within 65% to 75% of the participant’s estimated maximum HR (i.e., 206.9-0.67 ×age).</w:t>
            </w:r>
          </w:p>
        </w:tc>
        <w:tc>
          <w:tcPr>
            <w:tcW w:w="1770" w:type="dxa"/>
          </w:tcPr>
          <w:p w14:paraId="6FD74FD5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acute aerobic exercise</w:t>
            </w:r>
          </w:p>
        </w:tc>
        <w:tc>
          <w:tcPr>
            <w:tcW w:w="3793" w:type="dxa"/>
          </w:tcPr>
          <w:p w14:paraId="321E9FB5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The self-reported MA craving was significantly attenuated during, immediately following, and 50 min after the exercise session compared with 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 pre-exercise ratings, where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as the craving scores at these time points following exercise were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lower than those for the reading control session;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Acute exercise also facilitated inhibitory performance in both the standard and MA-related Go/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Go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tasks. </w:t>
            </w:r>
          </w:p>
        </w:tc>
      </w:tr>
      <w:tr w:rsidR="00190E1A" w14:paraId="03653085" w14:textId="77777777">
        <w:tc>
          <w:tcPr>
            <w:tcW w:w="1865" w:type="dxa"/>
          </w:tcPr>
          <w:p w14:paraId="7B4404F6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Wang et al., 2016</w:t>
            </w:r>
          </w:p>
          <w:p w14:paraId="7B7F4354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(8)</w:t>
            </w:r>
          </w:p>
        </w:tc>
        <w:tc>
          <w:tcPr>
            <w:tcW w:w="3191" w:type="dxa"/>
          </w:tcPr>
          <w:p w14:paraId="5C46F85B" w14:textId="77777777" w:rsidR="00190E1A" w:rsidRDefault="00AC3C7F">
            <w:pPr>
              <w:widowControl/>
              <w:spacing w:after="28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 individuals with MA dependence were randomly assigned to an exercise group (light, moderate, or vigorous intensity) or to a reading control group.</w:t>
            </w:r>
          </w:p>
        </w:tc>
        <w:tc>
          <w:tcPr>
            <w:tcW w:w="3555" w:type="dxa"/>
          </w:tcPr>
          <w:p w14:paraId="29B2AB3A" w14:textId="77777777" w:rsidR="00190E1A" w:rsidRDefault="00AC3C7F" w:rsidP="00F66F90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Aerobic exercise: 5-min warm-up; 20-min exercise using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bicycle ergometer at 50 rpm; 5-min cool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down;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Participants were instructed to cycle while keeping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their HR at one of three desired exercise intensities: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within the range of 40%-50%, 65%-75%, or 85%-95%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of their maximum HR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1770" w:type="dxa"/>
          </w:tcPr>
          <w:p w14:paraId="465FA6B0" w14:textId="77777777" w:rsidR="00190E1A" w:rsidRDefault="00AC3C7F">
            <w:pPr>
              <w:widowControl/>
              <w:spacing w:after="28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acute aerobic exercise</w:t>
            </w:r>
          </w:p>
        </w:tc>
        <w:tc>
          <w:tcPr>
            <w:tcW w:w="3793" w:type="dxa"/>
          </w:tcPr>
          <w:p w14:paraId="5E8A86E0" w14:textId="77777777" w:rsidR="00190E1A" w:rsidRDefault="00AC3C7F">
            <w:pPr>
              <w:widowControl/>
              <w:spacing w:after="280"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An inverted-U-shaped relationship between exercise intensity and inhibitory control was generally observed for the behavioral and neuroelectric indices, with the moderate intensity group exhibiting shorter Go reaction times, increased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NoGo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accuracy, and larger NoGo-N2 amplitudes.</w:t>
            </w:r>
          </w:p>
        </w:tc>
      </w:tr>
      <w:tr w:rsidR="00190E1A" w14:paraId="71DA9B34" w14:textId="77777777">
        <w:tc>
          <w:tcPr>
            <w:tcW w:w="1865" w:type="dxa"/>
          </w:tcPr>
          <w:p w14:paraId="5C031C6E" w14:textId="77777777" w:rsidR="00190E1A" w:rsidRDefault="00AB13F2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hyperlink w:anchor="_ENREF_59" w:tooltip="Wang, 2017 #135" w:history="1">
              <w:r w:rsidR="00AC3C7F">
                <w:rPr>
                  <w:rStyle w:val="Hyperlink"/>
                  <w:rFonts w:ascii="Times New Roman" w:eastAsia="SimSun" w:hAnsi="Times New Roman" w:cs="Times New Roman"/>
                  <w:color w:val="auto"/>
                  <w:sz w:val="18"/>
                  <w:szCs w:val="18"/>
                  <w:u w:val="none"/>
                </w:rPr>
                <w:t>Wang et al., 2017</w:t>
              </w:r>
            </w:hyperlink>
          </w:p>
          <w:p w14:paraId="7E66980D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bidi="ar"/>
              </w:rPr>
              <w:t>(9)</w:t>
            </w:r>
          </w:p>
        </w:tc>
        <w:tc>
          <w:tcPr>
            <w:tcW w:w="3191" w:type="dxa"/>
          </w:tcPr>
          <w:p w14:paraId="40E420B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 people with MA dependencies recruited through the Drug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Rehabilitation Bureau were assigned to either an aerobic exercise or attentional control group, with 50 participants completing the trial.</w:t>
            </w:r>
          </w:p>
        </w:tc>
        <w:tc>
          <w:tcPr>
            <w:tcW w:w="3555" w:type="dxa"/>
          </w:tcPr>
          <w:p w14:paraId="0AC8A970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Moderate-intensity aerobic exercise (i.e., cycling, jogging, or jump rope)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[65-75% of the indirect maximum heart rate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HRmax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  <w:r w:rsidR="00F66F90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; Each session of the program involved stretching the large muscle groups as a warm-up (5 min), performing the aerobic exercise as the main exercise stage (30 min),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and stretching the center-based muscle as a cool-down stage (5 min).</w:t>
            </w:r>
          </w:p>
        </w:tc>
        <w:tc>
          <w:tcPr>
            <w:tcW w:w="1770" w:type="dxa"/>
          </w:tcPr>
          <w:p w14:paraId="4F18D8B2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12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073E088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 craving levels after 6 weeks of the exercise program, and the decreased trend was maintained until the termination of treatment;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In the post-test, the exercise group also demonstrated more accuracy in behavioral inhibitory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control as well as greater N2 amplitude in the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condition of both the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standard and MA-related tasks than those in the control group or pre-test.</w:t>
            </w:r>
          </w:p>
        </w:tc>
      </w:tr>
      <w:tr w:rsidR="00190E1A" w14:paraId="743CD7C5" w14:textId="77777777">
        <w:tc>
          <w:tcPr>
            <w:tcW w:w="1865" w:type="dxa"/>
          </w:tcPr>
          <w:p w14:paraId="6A810A81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Zhu et al., 2016</w:t>
            </w:r>
          </w:p>
          <w:p w14:paraId="737CF75D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(10)</w:t>
            </w:r>
          </w:p>
        </w:tc>
        <w:tc>
          <w:tcPr>
            <w:tcW w:w="3191" w:type="dxa"/>
          </w:tcPr>
          <w:p w14:paraId="1C2A9855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 male participants were allocated to the Tai Chi (n = 30) or standard care groups (n = 30) by administrative staff.</w:t>
            </w:r>
          </w:p>
        </w:tc>
        <w:tc>
          <w:tcPr>
            <w:tcW w:w="3555" w:type="dxa"/>
          </w:tcPr>
          <w:p w14:paraId="2922BDF0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Tai Chi intervention: 10 min of warm-up, 30 min of Tai Chi practice, and 10 min of cool-down exercises.</w:t>
            </w:r>
          </w:p>
        </w:tc>
        <w:tc>
          <w:tcPr>
            <w:tcW w:w="1770" w:type="dxa"/>
          </w:tcPr>
          <w:p w14:paraId="34DD577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12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2A720BD6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Quality of life outcomes: Tai Chi group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significantly increased in physiology, symptoms, society, and total score;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Physical results showed a significant interaction with balance;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One-leg Stand with eye closed: the Tai Chi group improved by 10 s;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The within-group factor displayed significant changes in body fat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 both groups.</w:t>
            </w:r>
          </w:p>
        </w:tc>
      </w:tr>
      <w:tr w:rsidR="00190E1A" w14:paraId="06DB1DD8" w14:textId="77777777">
        <w:tc>
          <w:tcPr>
            <w:tcW w:w="1865" w:type="dxa"/>
          </w:tcPr>
          <w:p w14:paraId="5D2EA843" w14:textId="77777777" w:rsidR="00190E1A" w:rsidRDefault="00AB13F2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hyperlink w:anchor="_ENREF_63" w:tooltip="Zhang, 2018 #125" w:history="1">
              <w:r w:rsidR="00AC3C7F">
                <w:rPr>
                  <w:rStyle w:val="Hyperlink"/>
                  <w:rFonts w:ascii="Times New Roman" w:eastAsia="SimSun" w:hAnsi="Times New Roman" w:cs="Times New Roman"/>
                  <w:color w:val="auto"/>
                  <w:sz w:val="18"/>
                  <w:szCs w:val="18"/>
                  <w:u w:val="none"/>
                </w:rPr>
                <w:t>Zhang et al., 2018</w:t>
              </w:r>
            </w:hyperlink>
          </w:p>
          <w:p w14:paraId="61F9EA61" w14:textId="77777777" w:rsidR="00190E1A" w:rsidRDefault="00AC3C7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  <w:lang w:bidi="ar"/>
              </w:rPr>
              <w:t>(11)</w:t>
            </w:r>
          </w:p>
        </w:tc>
        <w:tc>
          <w:tcPr>
            <w:tcW w:w="3191" w:type="dxa"/>
          </w:tcPr>
          <w:p w14:paraId="4BA1757C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MA-dependent patients (n = 68) and healthy controls (n = 35)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;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The MA-dependent patients were randomly divided into two groups: exercise group and non-exercise group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</w:p>
        </w:tc>
        <w:tc>
          <w:tcPr>
            <w:tcW w:w="3555" w:type="dxa"/>
          </w:tcPr>
          <w:p w14:paraId="0C25059E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Each session of the program involved stretching the large muscle groups as a warm-up (5 min), performing the aerobic exercise during the main phase (30 min), and stretching the center-based muscle during a cool-down stage (5 min).</w:t>
            </w:r>
          </w:p>
        </w:tc>
        <w:tc>
          <w:tcPr>
            <w:tcW w:w="1770" w:type="dxa"/>
          </w:tcPr>
          <w:p w14:paraId="035543A3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 d/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12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wks</w:t>
            </w:r>
            <w:proofErr w:type="spellEnd"/>
          </w:p>
        </w:tc>
        <w:tc>
          <w:tcPr>
            <w:tcW w:w="3793" w:type="dxa"/>
          </w:tcPr>
          <w:p w14:paraId="79107165" w14:textId="77777777" w:rsidR="00190E1A" w:rsidRDefault="00AC3C7F">
            <w:pPr>
              <w:widowControl/>
              <w:jc w:val="left"/>
              <w:textAlignment w:val="top"/>
              <w:rPr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Aerobic exercise improved the processing speed in MA-dependent patients;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aerobic exercise significantly attenuated a spontaneous increase in serum MDA levels in MA-dependent patients after 12-weeks of abstinence.</w:t>
            </w:r>
          </w:p>
        </w:tc>
      </w:tr>
    </w:tbl>
    <w:p w14:paraId="1F148C1C" w14:textId="77777777" w:rsidR="00190E1A" w:rsidRDefault="00190E1A"/>
    <w:sectPr w:rsidR="00190E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C109" w14:textId="77777777" w:rsidR="00AB13F2" w:rsidRDefault="00AB13F2" w:rsidP="0044251A">
      <w:r>
        <w:separator/>
      </w:r>
    </w:p>
  </w:endnote>
  <w:endnote w:type="continuationSeparator" w:id="0">
    <w:p w14:paraId="571BB26C" w14:textId="77777777" w:rsidR="00AB13F2" w:rsidRDefault="00AB13F2" w:rsidP="004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05D8A" w14:textId="77777777" w:rsidR="00AB13F2" w:rsidRDefault="00AB13F2" w:rsidP="0044251A">
      <w:r>
        <w:separator/>
      </w:r>
    </w:p>
  </w:footnote>
  <w:footnote w:type="continuationSeparator" w:id="0">
    <w:p w14:paraId="6A0E2E0B" w14:textId="77777777" w:rsidR="00AB13F2" w:rsidRDefault="00AB13F2" w:rsidP="0044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95749"/>
    <w:rsid w:val="00190E1A"/>
    <w:rsid w:val="0044251A"/>
    <w:rsid w:val="00AB13F2"/>
    <w:rsid w:val="00AC3C7F"/>
    <w:rsid w:val="00BC7013"/>
    <w:rsid w:val="00F66F90"/>
    <w:rsid w:val="04795749"/>
    <w:rsid w:val="08926518"/>
    <w:rsid w:val="11C13639"/>
    <w:rsid w:val="20927DEA"/>
    <w:rsid w:val="328B550D"/>
    <w:rsid w:val="3D91396F"/>
    <w:rsid w:val="54226EDA"/>
    <w:rsid w:val="58125465"/>
    <w:rsid w:val="638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9213B"/>
  <w15:docId w15:val="{A5CCD8E4-60CF-40C3-901F-27A4CD69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44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42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44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42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6977</Characters>
  <Application>Microsoft Office Word</Application>
  <DocSecurity>0</DocSecurity>
  <Lines>58</Lines>
  <Paragraphs>16</Paragraphs>
  <ScaleCrop>false</ScaleCrop>
  <Company>Microsoft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</dc:creator>
  <cp:lastModifiedBy>Florine Lièvre</cp:lastModifiedBy>
  <cp:revision>3</cp:revision>
  <dcterms:created xsi:type="dcterms:W3CDTF">2020-01-15T14:00:00Z</dcterms:created>
  <dcterms:modified xsi:type="dcterms:W3CDTF">2020-01-15T15:04:00Z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