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A7C" w:rsidRPr="00AC26B0" w:rsidRDefault="00C11A7C" w:rsidP="00C11A7C">
      <w:pPr>
        <w:spacing w:line="240" w:lineRule="auto"/>
        <w:rPr>
          <w:rFonts w:ascii="Times New Roman" w:hAnsi="Times New Roman"/>
          <w:sz w:val="20"/>
          <w:szCs w:val="20"/>
          <w:lang w:val="en-US"/>
        </w:rPr>
      </w:pPr>
      <w:r w:rsidRPr="00AC26B0">
        <w:rPr>
          <w:rFonts w:ascii="Times New Roman" w:hAnsi="Times New Roman"/>
          <w:sz w:val="20"/>
          <w:szCs w:val="20"/>
          <w:lang w:val="en-US"/>
        </w:rPr>
        <w:t xml:space="preserve">Table </w:t>
      </w:r>
      <w:r>
        <w:rPr>
          <w:rFonts w:ascii="Times New Roman" w:hAnsi="Times New Roman"/>
          <w:sz w:val="20"/>
          <w:szCs w:val="20"/>
          <w:lang w:val="en-US"/>
        </w:rPr>
        <w:t>2</w:t>
      </w:r>
    </w:p>
    <w:p w:rsidR="00C11A7C" w:rsidRPr="00B00009" w:rsidRDefault="00C11A7C" w:rsidP="00C11A7C">
      <w:pPr>
        <w:spacing w:line="240" w:lineRule="auto"/>
        <w:rPr>
          <w:rFonts w:ascii="Times New Roman" w:hAnsi="Times New Roman"/>
          <w:i/>
          <w:sz w:val="20"/>
          <w:szCs w:val="20"/>
          <w:lang w:val="en-US"/>
        </w:rPr>
      </w:pPr>
      <w:r w:rsidRPr="00AC26B0">
        <w:rPr>
          <w:rFonts w:ascii="Times New Roman" w:hAnsi="Times New Roman"/>
          <w:i/>
          <w:sz w:val="20"/>
          <w:szCs w:val="20"/>
          <w:lang w:val="en-US"/>
        </w:rPr>
        <w:t xml:space="preserve">Demographic characteristics and </w:t>
      </w:r>
      <w:r w:rsidRPr="00B00009">
        <w:rPr>
          <w:rFonts w:ascii="Times New Roman" w:hAnsi="Times New Roman"/>
          <w:i/>
          <w:sz w:val="20"/>
          <w:szCs w:val="20"/>
          <w:lang w:val="en-US"/>
        </w:rPr>
        <w:t xml:space="preserve">psychiatric diagnoses of participants grouped by </w:t>
      </w:r>
      <w:r>
        <w:rPr>
          <w:rFonts w:ascii="Times New Roman" w:hAnsi="Times New Roman"/>
          <w:i/>
          <w:sz w:val="20"/>
          <w:szCs w:val="20"/>
          <w:lang w:val="en-US"/>
        </w:rPr>
        <w:t>offense type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2"/>
        <w:gridCol w:w="1895"/>
        <w:gridCol w:w="1896"/>
        <w:gridCol w:w="1896"/>
        <w:gridCol w:w="1896"/>
        <w:gridCol w:w="1896"/>
        <w:gridCol w:w="1896"/>
      </w:tblGrid>
      <w:tr w:rsidR="00C11A7C" w:rsidRPr="007F6ADB" w:rsidTr="00351524">
        <w:tc>
          <w:tcPr>
            <w:tcW w:w="2943" w:type="dxa"/>
            <w:tcBorders>
              <w:top w:val="single" w:sz="4" w:space="0" w:color="auto"/>
            </w:tcBorders>
          </w:tcPr>
          <w:p w:rsidR="00C11A7C" w:rsidRPr="00B00009" w:rsidRDefault="00C11A7C" w:rsidP="00351524">
            <w:pPr>
              <w:rPr>
                <w:rFonts w:ascii="Times New Roman" w:hAnsi="Times New Roman"/>
                <w:sz w:val="20"/>
                <w:szCs w:val="20"/>
                <w:lang w:val="en-US"/>
              </w:rPr>
            </w:pPr>
          </w:p>
        </w:tc>
        <w:tc>
          <w:tcPr>
            <w:tcW w:w="3828" w:type="dxa"/>
            <w:gridSpan w:val="2"/>
            <w:tcBorders>
              <w:top w:val="single" w:sz="4" w:space="0" w:color="auto"/>
              <w:bottom w:val="single" w:sz="4" w:space="0" w:color="auto"/>
            </w:tcBorders>
            <w:vAlign w:val="center"/>
          </w:tcPr>
          <w:p w:rsidR="00C11A7C" w:rsidRPr="00BE7D87" w:rsidRDefault="00C11A7C" w:rsidP="00351524">
            <w:pPr>
              <w:jc w:val="center"/>
              <w:rPr>
                <w:rFonts w:ascii="Times New Roman" w:hAnsi="Times New Roman"/>
                <w:sz w:val="10"/>
                <w:szCs w:val="10"/>
                <w:lang w:val="en-US"/>
              </w:rPr>
            </w:pPr>
          </w:p>
          <w:p w:rsidR="00C11A7C"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Child sexual abusers</w:t>
            </w:r>
          </w:p>
          <w:p w:rsidR="00C11A7C" w:rsidRPr="00BE7D87" w:rsidRDefault="00C11A7C" w:rsidP="00351524">
            <w:pPr>
              <w:jc w:val="center"/>
              <w:rPr>
                <w:rFonts w:ascii="Times New Roman" w:hAnsi="Times New Roman"/>
                <w:sz w:val="10"/>
                <w:szCs w:val="10"/>
                <w:lang w:val="en-US"/>
              </w:rPr>
            </w:pPr>
          </w:p>
        </w:tc>
        <w:tc>
          <w:tcPr>
            <w:tcW w:w="3828" w:type="dxa"/>
            <w:gridSpan w:val="2"/>
            <w:tcBorders>
              <w:top w:val="single" w:sz="4" w:space="0" w:color="auto"/>
              <w:bottom w:val="single" w:sz="4" w:space="0" w:color="auto"/>
            </w:tcBorders>
            <w:vAlign w:val="center"/>
          </w:tcPr>
          <w:p w:rsidR="00C11A7C" w:rsidRPr="00BE7D87" w:rsidRDefault="00C11A7C" w:rsidP="00351524">
            <w:pPr>
              <w:jc w:val="center"/>
              <w:rPr>
                <w:rFonts w:ascii="Times New Roman" w:hAnsi="Times New Roman"/>
                <w:sz w:val="10"/>
                <w:szCs w:val="10"/>
                <w:lang w:val="en-US"/>
              </w:rPr>
            </w:pPr>
          </w:p>
          <w:p w:rsidR="00C11A7C"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Child sexual exploitation material offenders</w:t>
            </w:r>
          </w:p>
          <w:p w:rsidR="00C11A7C" w:rsidRPr="00BE7D87" w:rsidRDefault="00C11A7C" w:rsidP="00351524">
            <w:pPr>
              <w:jc w:val="center"/>
              <w:rPr>
                <w:rFonts w:ascii="Times New Roman" w:hAnsi="Times New Roman"/>
                <w:sz w:val="10"/>
                <w:szCs w:val="10"/>
                <w:lang w:val="en-US"/>
              </w:rPr>
            </w:pPr>
          </w:p>
        </w:tc>
        <w:tc>
          <w:tcPr>
            <w:tcW w:w="3828" w:type="dxa"/>
            <w:gridSpan w:val="2"/>
            <w:tcBorders>
              <w:top w:val="single" w:sz="4" w:space="0" w:color="auto"/>
              <w:bottom w:val="single" w:sz="4" w:space="0" w:color="auto"/>
            </w:tcBorders>
            <w:vAlign w:val="center"/>
          </w:tcPr>
          <w:p w:rsidR="00C11A7C" w:rsidRPr="00BE7D87" w:rsidRDefault="00C11A7C" w:rsidP="00351524">
            <w:pPr>
              <w:jc w:val="center"/>
              <w:rPr>
                <w:rFonts w:ascii="Times New Roman" w:hAnsi="Times New Roman"/>
                <w:sz w:val="10"/>
                <w:szCs w:val="10"/>
                <w:lang w:val="en-US"/>
              </w:rPr>
            </w:pPr>
          </w:p>
          <w:p w:rsidR="00C11A7C"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Individuals with both offense types</w:t>
            </w:r>
          </w:p>
          <w:p w:rsidR="00C11A7C" w:rsidRPr="00BE7D87" w:rsidRDefault="00C11A7C" w:rsidP="00351524">
            <w:pPr>
              <w:jc w:val="center"/>
              <w:rPr>
                <w:rFonts w:ascii="Times New Roman" w:hAnsi="Times New Roman"/>
                <w:sz w:val="10"/>
                <w:szCs w:val="10"/>
                <w:lang w:val="en-US"/>
              </w:rPr>
            </w:pPr>
          </w:p>
        </w:tc>
      </w:tr>
      <w:tr w:rsidR="00C11A7C" w:rsidRPr="00B00009" w:rsidTr="00351524">
        <w:tc>
          <w:tcPr>
            <w:tcW w:w="2943" w:type="dxa"/>
          </w:tcPr>
          <w:p w:rsidR="00C11A7C" w:rsidRPr="00B00009" w:rsidRDefault="00C11A7C" w:rsidP="00351524">
            <w:pPr>
              <w:rPr>
                <w:rFonts w:ascii="Times New Roman" w:hAnsi="Times New Roman"/>
                <w:sz w:val="20"/>
                <w:szCs w:val="20"/>
                <w:lang w:val="en-US"/>
              </w:rPr>
            </w:pPr>
          </w:p>
        </w:tc>
        <w:tc>
          <w:tcPr>
            <w:tcW w:w="1914" w:type="dxa"/>
            <w:tcBorders>
              <w:top w:val="single" w:sz="4" w:space="0" w:color="auto"/>
              <w:bottom w:val="single" w:sz="4" w:space="0" w:color="auto"/>
            </w:tcBorders>
          </w:tcPr>
          <w:p w:rsidR="00C11A7C" w:rsidRPr="00BE7D87" w:rsidRDefault="00C11A7C" w:rsidP="00351524">
            <w:pPr>
              <w:jc w:val="center"/>
              <w:rPr>
                <w:rFonts w:ascii="Times New Roman" w:hAnsi="Times New Roman"/>
                <w:sz w:val="10"/>
                <w:szCs w:val="10"/>
                <w:lang w:val="en-US"/>
              </w:rPr>
            </w:pPr>
          </w:p>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Sample (a)</w:t>
            </w:r>
          </w:p>
          <w:p w:rsidR="00C11A7C" w:rsidRDefault="00C11A7C" w:rsidP="00351524">
            <w:pPr>
              <w:jc w:val="center"/>
              <w:rPr>
                <w:rFonts w:ascii="Times New Roman" w:hAnsi="Times New Roman"/>
                <w:sz w:val="20"/>
                <w:szCs w:val="20"/>
                <w:lang w:val="en-US"/>
              </w:rPr>
            </w:pPr>
            <w:r w:rsidRPr="00B00009">
              <w:rPr>
                <w:rFonts w:ascii="Times New Roman" w:hAnsi="Times New Roman"/>
                <w:i/>
                <w:sz w:val="20"/>
                <w:szCs w:val="20"/>
                <w:lang w:val="en-US"/>
              </w:rPr>
              <w:t>n</w:t>
            </w:r>
            <w:r w:rsidRPr="00B00009">
              <w:rPr>
                <w:rFonts w:ascii="Times New Roman" w:hAnsi="Times New Roman"/>
                <w:sz w:val="20"/>
                <w:szCs w:val="20"/>
                <w:lang w:val="en-US"/>
              </w:rPr>
              <w:t xml:space="preserve"> =</w:t>
            </w:r>
            <w:r>
              <w:rPr>
                <w:rFonts w:ascii="Times New Roman" w:hAnsi="Times New Roman"/>
                <w:sz w:val="20"/>
                <w:szCs w:val="20"/>
                <w:lang w:val="en-US"/>
              </w:rPr>
              <w:t xml:space="preserve"> 2</w:t>
            </w:r>
          </w:p>
          <w:p w:rsidR="00C11A7C" w:rsidRPr="00BE7D87" w:rsidRDefault="00C11A7C" w:rsidP="00351524">
            <w:pPr>
              <w:jc w:val="center"/>
              <w:rPr>
                <w:rFonts w:ascii="Times New Roman" w:hAnsi="Times New Roman"/>
                <w:sz w:val="10"/>
                <w:szCs w:val="10"/>
                <w:lang w:val="en-US"/>
              </w:rPr>
            </w:pPr>
          </w:p>
        </w:tc>
        <w:tc>
          <w:tcPr>
            <w:tcW w:w="1914" w:type="dxa"/>
            <w:tcBorders>
              <w:top w:val="single" w:sz="4" w:space="0" w:color="auto"/>
              <w:bottom w:val="single" w:sz="4" w:space="0" w:color="auto"/>
            </w:tcBorders>
          </w:tcPr>
          <w:p w:rsidR="00C11A7C" w:rsidRPr="00BE7D87" w:rsidRDefault="00C11A7C" w:rsidP="00351524">
            <w:pPr>
              <w:jc w:val="center"/>
              <w:rPr>
                <w:rFonts w:ascii="Times New Roman" w:hAnsi="Times New Roman"/>
                <w:sz w:val="10"/>
                <w:szCs w:val="10"/>
                <w:lang w:val="en-US"/>
              </w:rPr>
            </w:pPr>
          </w:p>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Sample (b)</w:t>
            </w:r>
          </w:p>
          <w:p w:rsidR="00C11A7C" w:rsidRDefault="00C11A7C" w:rsidP="00351524">
            <w:pPr>
              <w:jc w:val="center"/>
              <w:rPr>
                <w:rFonts w:ascii="Times New Roman" w:hAnsi="Times New Roman"/>
                <w:sz w:val="20"/>
                <w:szCs w:val="20"/>
                <w:lang w:val="en-US"/>
              </w:rPr>
            </w:pPr>
            <w:r w:rsidRPr="00B00009">
              <w:rPr>
                <w:rFonts w:ascii="Times New Roman" w:hAnsi="Times New Roman"/>
                <w:i/>
                <w:sz w:val="20"/>
                <w:szCs w:val="20"/>
                <w:lang w:val="en-US"/>
              </w:rPr>
              <w:t>n</w:t>
            </w:r>
            <w:r w:rsidRPr="00B00009">
              <w:rPr>
                <w:rFonts w:ascii="Times New Roman" w:hAnsi="Times New Roman"/>
                <w:sz w:val="20"/>
                <w:szCs w:val="20"/>
                <w:lang w:val="en-US"/>
              </w:rPr>
              <w:t xml:space="preserve"> = 6</w:t>
            </w:r>
          </w:p>
          <w:p w:rsidR="00C11A7C" w:rsidRPr="00BE7D87" w:rsidRDefault="00C11A7C" w:rsidP="00351524">
            <w:pPr>
              <w:jc w:val="center"/>
              <w:rPr>
                <w:rFonts w:ascii="Times New Roman" w:hAnsi="Times New Roman"/>
                <w:sz w:val="10"/>
                <w:szCs w:val="10"/>
                <w:lang w:val="en-US"/>
              </w:rPr>
            </w:pPr>
          </w:p>
        </w:tc>
        <w:tc>
          <w:tcPr>
            <w:tcW w:w="1914" w:type="dxa"/>
            <w:tcBorders>
              <w:top w:val="single" w:sz="4" w:space="0" w:color="auto"/>
              <w:bottom w:val="single" w:sz="4" w:space="0" w:color="auto"/>
            </w:tcBorders>
          </w:tcPr>
          <w:p w:rsidR="00C11A7C" w:rsidRPr="00BE7D87" w:rsidRDefault="00C11A7C" w:rsidP="00351524">
            <w:pPr>
              <w:jc w:val="center"/>
              <w:rPr>
                <w:rFonts w:ascii="Times New Roman" w:hAnsi="Times New Roman"/>
                <w:sz w:val="10"/>
                <w:szCs w:val="10"/>
                <w:lang w:val="en-US"/>
              </w:rPr>
            </w:pPr>
          </w:p>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Sample (a)</w:t>
            </w:r>
          </w:p>
          <w:p w:rsidR="00C11A7C" w:rsidRDefault="00C11A7C" w:rsidP="00351524">
            <w:pPr>
              <w:jc w:val="center"/>
              <w:rPr>
                <w:rFonts w:ascii="Times New Roman" w:hAnsi="Times New Roman"/>
                <w:sz w:val="20"/>
                <w:szCs w:val="20"/>
                <w:lang w:val="en-US"/>
              </w:rPr>
            </w:pPr>
            <w:r w:rsidRPr="00B00009">
              <w:rPr>
                <w:rFonts w:ascii="Times New Roman" w:hAnsi="Times New Roman"/>
                <w:i/>
                <w:sz w:val="20"/>
                <w:szCs w:val="20"/>
                <w:lang w:val="en-US"/>
              </w:rPr>
              <w:t>n</w:t>
            </w:r>
            <w:r w:rsidRPr="00B00009">
              <w:rPr>
                <w:rFonts w:ascii="Times New Roman" w:hAnsi="Times New Roman"/>
                <w:sz w:val="20"/>
                <w:szCs w:val="20"/>
                <w:lang w:val="en-US"/>
              </w:rPr>
              <w:t xml:space="preserve"> =</w:t>
            </w:r>
            <w:r>
              <w:rPr>
                <w:rFonts w:ascii="Times New Roman" w:hAnsi="Times New Roman"/>
                <w:sz w:val="20"/>
                <w:szCs w:val="20"/>
                <w:lang w:val="en-US"/>
              </w:rPr>
              <w:t xml:space="preserve"> 3</w:t>
            </w:r>
          </w:p>
          <w:p w:rsidR="00C11A7C" w:rsidRPr="00BE7D87" w:rsidRDefault="00C11A7C" w:rsidP="00351524">
            <w:pPr>
              <w:jc w:val="center"/>
              <w:rPr>
                <w:rFonts w:ascii="Times New Roman" w:hAnsi="Times New Roman"/>
                <w:sz w:val="10"/>
                <w:szCs w:val="10"/>
                <w:lang w:val="en-US"/>
              </w:rPr>
            </w:pPr>
          </w:p>
        </w:tc>
        <w:tc>
          <w:tcPr>
            <w:tcW w:w="1914" w:type="dxa"/>
            <w:tcBorders>
              <w:top w:val="single" w:sz="4" w:space="0" w:color="auto"/>
              <w:bottom w:val="single" w:sz="4" w:space="0" w:color="auto"/>
            </w:tcBorders>
          </w:tcPr>
          <w:p w:rsidR="00C11A7C" w:rsidRPr="00BE7D87" w:rsidRDefault="00C11A7C" w:rsidP="00351524">
            <w:pPr>
              <w:jc w:val="center"/>
              <w:rPr>
                <w:rFonts w:ascii="Times New Roman" w:hAnsi="Times New Roman"/>
                <w:sz w:val="10"/>
                <w:szCs w:val="10"/>
                <w:lang w:val="en-US"/>
              </w:rPr>
            </w:pPr>
          </w:p>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Sample (b)</w:t>
            </w:r>
          </w:p>
          <w:p w:rsidR="00C11A7C" w:rsidRDefault="00C11A7C" w:rsidP="00351524">
            <w:pPr>
              <w:jc w:val="center"/>
              <w:rPr>
                <w:rFonts w:ascii="Times New Roman" w:hAnsi="Times New Roman"/>
                <w:sz w:val="20"/>
                <w:szCs w:val="20"/>
                <w:lang w:val="en-US"/>
              </w:rPr>
            </w:pPr>
            <w:r w:rsidRPr="00B00009">
              <w:rPr>
                <w:rFonts w:ascii="Times New Roman" w:hAnsi="Times New Roman"/>
                <w:i/>
                <w:sz w:val="20"/>
                <w:szCs w:val="20"/>
                <w:lang w:val="en-US"/>
              </w:rPr>
              <w:t>n</w:t>
            </w:r>
            <w:r w:rsidRPr="00B00009">
              <w:rPr>
                <w:rFonts w:ascii="Times New Roman" w:hAnsi="Times New Roman"/>
                <w:sz w:val="20"/>
                <w:szCs w:val="20"/>
                <w:lang w:val="en-US"/>
              </w:rPr>
              <w:t xml:space="preserve"> = 12</w:t>
            </w:r>
          </w:p>
          <w:p w:rsidR="00C11A7C" w:rsidRPr="00BE7D87" w:rsidRDefault="00C11A7C" w:rsidP="00351524">
            <w:pPr>
              <w:jc w:val="center"/>
              <w:rPr>
                <w:rFonts w:ascii="Times New Roman" w:hAnsi="Times New Roman"/>
                <w:sz w:val="10"/>
                <w:szCs w:val="10"/>
                <w:lang w:val="en-US"/>
              </w:rPr>
            </w:pPr>
          </w:p>
        </w:tc>
        <w:tc>
          <w:tcPr>
            <w:tcW w:w="1914" w:type="dxa"/>
            <w:tcBorders>
              <w:top w:val="single" w:sz="4" w:space="0" w:color="auto"/>
              <w:bottom w:val="single" w:sz="4" w:space="0" w:color="auto"/>
            </w:tcBorders>
          </w:tcPr>
          <w:p w:rsidR="00C11A7C" w:rsidRPr="00BE7D87" w:rsidRDefault="00C11A7C" w:rsidP="00351524">
            <w:pPr>
              <w:jc w:val="center"/>
              <w:rPr>
                <w:rFonts w:ascii="Times New Roman" w:hAnsi="Times New Roman"/>
                <w:sz w:val="10"/>
                <w:szCs w:val="10"/>
                <w:lang w:val="en-US"/>
              </w:rPr>
            </w:pPr>
          </w:p>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Sample (a)</w:t>
            </w:r>
          </w:p>
          <w:p w:rsidR="00C11A7C" w:rsidRDefault="00C11A7C" w:rsidP="00351524">
            <w:pPr>
              <w:jc w:val="center"/>
              <w:rPr>
                <w:rFonts w:ascii="Times New Roman" w:hAnsi="Times New Roman"/>
                <w:sz w:val="20"/>
                <w:szCs w:val="20"/>
                <w:lang w:val="en-US"/>
              </w:rPr>
            </w:pPr>
            <w:r w:rsidRPr="00B00009">
              <w:rPr>
                <w:rFonts w:ascii="Times New Roman" w:hAnsi="Times New Roman"/>
                <w:i/>
                <w:sz w:val="20"/>
                <w:szCs w:val="20"/>
                <w:lang w:val="en-US"/>
              </w:rPr>
              <w:t>n</w:t>
            </w:r>
            <w:r w:rsidRPr="00B00009">
              <w:rPr>
                <w:rFonts w:ascii="Times New Roman" w:hAnsi="Times New Roman"/>
                <w:sz w:val="20"/>
                <w:szCs w:val="20"/>
                <w:lang w:val="en-US"/>
              </w:rPr>
              <w:t xml:space="preserve"> =</w:t>
            </w:r>
            <w:r>
              <w:rPr>
                <w:rFonts w:ascii="Times New Roman" w:hAnsi="Times New Roman"/>
                <w:sz w:val="20"/>
                <w:szCs w:val="20"/>
                <w:lang w:val="en-US"/>
              </w:rPr>
              <w:t xml:space="preserve"> 5</w:t>
            </w:r>
          </w:p>
          <w:p w:rsidR="00C11A7C" w:rsidRPr="00BE7D87" w:rsidRDefault="00C11A7C" w:rsidP="00351524">
            <w:pPr>
              <w:jc w:val="center"/>
              <w:rPr>
                <w:rFonts w:ascii="Times New Roman" w:hAnsi="Times New Roman"/>
                <w:sz w:val="10"/>
                <w:szCs w:val="10"/>
                <w:lang w:val="en-US"/>
              </w:rPr>
            </w:pPr>
          </w:p>
        </w:tc>
        <w:tc>
          <w:tcPr>
            <w:tcW w:w="1914" w:type="dxa"/>
            <w:tcBorders>
              <w:top w:val="single" w:sz="4" w:space="0" w:color="auto"/>
              <w:bottom w:val="single" w:sz="4" w:space="0" w:color="auto"/>
            </w:tcBorders>
          </w:tcPr>
          <w:p w:rsidR="00C11A7C" w:rsidRPr="00BE7D87" w:rsidRDefault="00C11A7C" w:rsidP="00351524">
            <w:pPr>
              <w:jc w:val="center"/>
              <w:rPr>
                <w:rFonts w:ascii="Times New Roman" w:hAnsi="Times New Roman"/>
                <w:sz w:val="10"/>
                <w:szCs w:val="10"/>
                <w:lang w:val="en-US"/>
              </w:rPr>
            </w:pPr>
          </w:p>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Sample (b)</w:t>
            </w:r>
          </w:p>
          <w:p w:rsidR="00C11A7C" w:rsidRDefault="00C11A7C" w:rsidP="00351524">
            <w:pPr>
              <w:jc w:val="center"/>
              <w:rPr>
                <w:rFonts w:ascii="Times New Roman" w:hAnsi="Times New Roman"/>
                <w:sz w:val="20"/>
                <w:szCs w:val="20"/>
                <w:lang w:val="en-US"/>
              </w:rPr>
            </w:pPr>
            <w:r w:rsidRPr="00B00009">
              <w:rPr>
                <w:rFonts w:ascii="Times New Roman" w:hAnsi="Times New Roman"/>
                <w:i/>
                <w:sz w:val="20"/>
                <w:szCs w:val="20"/>
                <w:lang w:val="en-US"/>
              </w:rPr>
              <w:t>n</w:t>
            </w:r>
            <w:r w:rsidRPr="00B00009">
              <w:rPr>
                <w:rFonts w:ascii="Times New Roman" w:hAnsi="Times New Roman"/>
                <w:sz w:val="20"/>
                <w:szCs w:val="20"/>
                <w:lang w:val="en-US"/>
              </w:rPr>
              <w:t xml:space="preserve"> = 6</w:t>
            </w:r>
          </w:p>
          <w:p w:rsidR="00C11A7C" w:rsidRPr="00BE7D87" w:rsidRDefault="00C11A7C" w:rsidP="00351524">
            <w:pPr>
              <w:jc w:val="center"/>
              <w:rPr>
                <w:rFonts w:ascii="Times New Roman" w:hAnsi="Times New Roman"/>
                <w:sz w:val="10"/>
                <w:szCs w:val="10"/>
                <w:lang w:val="en-US"/>
              </w:rPr>
            </w:pPr>
          </w:p>
        </w:tc>
      </w:tr>
      <w:tr w:rsidR="00C11A7C" w:rsidRPr="00B00009" w:rsidTr="00351524">
        <w:tc>
          <w:tcPr>
            <w:tcW w:w="2943" w:type="dxa"/>
          </w:tcPr>
          <w:p w:rsidR="00C11A7C" w:rsidRPr="00BE7D87" w:rsidRDefault="00C11A7C" w:rsidP="00351524">
            <w:pPr>
              <w:rPr>
                <w:rFonts w:ascii="Times New Roman" w:hAnsi="Times New Roman"/>
                <w:sz w:val="10"/>
                <w:szCs w:val="10"/>
                <w:lang w:val="en-US"/>
              </w:rPr>
            </w:pPr>
          </w:p>
          <w:p w:rsidR="00C11A7C" w:rsidRPr="00B00009" w:rsidRDefault="00C11A7C" w:rsidP="00351524">
            <w:pPr>
              <w:rPr>
                <w:rFonts w:ascii="Times New Roman" w:hAnsi="Times New Roman"/>
                <w:sz w:val="20"/>
                <w:szCs w:val="20"/>
                <w:lang w:val="en-US"/>
              </w:rPr>
            </w:pPr>
            <w:r w:rsidRPr="00B00009">
              <w:rPr>
                <w:rFonts w:ascii="Times New Roman" w:hAnsi="Times New Roman"/>
                <w:sz w:val="20"/>
                <w:szCs w:val="20"/>
                <w:lang w:val="en-US"/>
              </w:rPr>
              <w:t>Age mean score (</w:t>
            </w:r>
            <w:r w:rsidRPr="00B00009">
              <w:rPr>
                <w:rFonts w:ascii="Times New Roman" w:hAnsi="Times New Roman"/>
                <w:i/>
                <w:sz w:val="20"/>
                <w:szCs w:val="20"/>
                <w:lang w:val="en-US"/>
              </w:rPr>
              <w:t>SD</w:t>
            </w:r>
            <w:r w:rsidRPr="00B00009">
              <w:rPr>
                <w:rFonts w:ascii="Times New Roman" w:hAnsi="Times New Roman"/>
                <w:sz w:val="20"/>
                <w:szCs w:val="20"/>
                <w:lang w:val="en-US"/>
              </w:rPr>
              <w:t>)</w:t>
            </w:r>
          </w:p>
        </w:tc>
        <w:tc>
          <w:tcPr>
            <w:tcW w:w="1914" w:type="dxa"/>
            <w:tcBorders>
              <w:top w:val="single" w:sz="4" w:space="0" w:color="auto"/>
            </w:tcBorders>
          </w:tcPr>
          <w:p w:rsidR="00C11A7C" w:rsidRPr="00BE7D87" w:rsidRDefault="00C11A7C" w:rsidP="00351524">
            <w:pPr>
              <w:jc w:val="center"/>
              <w:rPr>
                <w:rFonts w:ascii="Times New Roman" w:hAnsi="Times New Roman"/>
                <w:sz w:val="10"/>
                <w:szCs w:val="10"/>
                <w:lang w:val="en-US"/>
              </w:rPr>
            </w:pPr>
          </w:p>
          <w:p w:rsidR="00C11A7C" w:rsidRDefault="00C11A7C" w:rsidP="00351524">
            <w:pPr>
              <w:jc w:val="center"/>
              <w:rPr>
                <w:rFonts w:ascii="Times New Roman" w:hAnsi="Times New Roman"/>
                <w:sz w:val="20"/>
                <w:szCs w:val="20"/>
                <w:lang w:val="en-US"/>
              </w:rPr>
            </w:pPr>
            <w:r>
              <w:rPr>
                <w:rFonts w:ascii="Times New Roman" w:hAnsi="Times New Roman"/>
                <w:sz w:val="20"/>
                <w:szCs w:val="20"/>
                <w:lang w:val="en-US"/>
              </w:rPr>
              <w:t>44 (12.7)</w:t>
            </w:r>
          </w:p>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 xml:space="preserve">(range </w:t>
            </w:r>
            <w:r>
              <w:rPr>
                <w:rFonts w:ascii="Times New Roman" w:hAnsi="Times New Roman"/>
                <w:sz w:val="20"/>
                <w:szCs w:val="20"/>
                <w:lang w:val="en-US"/>
              </w:rPr>
              <w:t>35-53</w:t>
            </w:r>
            <w:r w:rsidRPr="00B00009">
              <w:rPr>
                <w:rFonts w:ascii="Times New Roman" w:hAnsi="Times New Roman"/>
                <w:sz w:val="20"/>
                <w:szCs w:val="20"/>
                <w:lang w:val="en-US"/>
              </w:rPr>
              <w:t>)</w:t>
            </w:r>
          </w:p>
        </w:tc>
        <w:tc>
          <w:tcPr>
            <w:tcW w:w="1914" w:type="dxa"/>
            <w:tcBorders>
              <w:top w:val="single" w:sz="4" w:space="0" w:color="auto"/>
            </w:tcBorders>
          </w:tcPr>
          <w:p w:rsidR="00C11A7C" w:rsidRPr="00BE7D87" w:rsidRDefault="00C11A7C" w:rsidP="00351524">
            <w:pPr>
              <w:jc w:val="center"/>
              <w:rPr>
                <w:rFonts w:ascii="Times New Roman" w:hAnsi="Times New Roman"/>
                <w:sz w:val="10"/>
                <w:szCs w:val="10"/>
                <w:lang w:val="en-US"/>
              </w:rPr>
            </w:pPr>
          </w:p>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39 (8.9)</w:t>
            </w:r>
          </w:p>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(range 31-56)</w:t>
            </w:r>
          </w:p>
        </w:tc>
        <w:tc>
          <w:tcPr>
            <w:tcW w:w="1914" w:type="dxa"/>
            <w:tcBorders>
              <w:top w:val="single" w:sz="4" w:space="0" w:color="auto"/>
            </w:tcBorders>
          </w:tcPr>
          <w:p w:rsidR="00C11A7C" w:rsidRPr="00BE7D87" w:rsidRDefault="00C11A7C" w:rsidP="00351524">
            <w:pPr>
              <w:jc w:val="center"/>
              <w:rPr>
                <w:rFonts w:ascii="Times New Roman" w:hAnsi="Times New Roman"/>
                <w:sz w:val="10"/>
                <w:szCs w:val="10"/>
                <w:lang w:val="en-US"/>
              </w:rPr>
            </w:pPr>
          </w:p>
          <w:p w:rsidR="00C11A7C" w:rsidRDefault="00C11A7C" w:rsidP="00351524">
            <w:pPr>
              <w:jc w:val="center"/>
              <w:rPr>
                <w:rFonts w:ascii="Times New Roman" w:hAnsi="Times New Roman"/>
                <w:sz w:val="20"/>
                <w:szCs w:val="20"/>
                <w:lang w:val="en-US"/>
              </w:rPr>
            </w:pPr>
            <w:r>
              <w:rPr>
                <w:rFonts w:ascii="Times New Roman" w:hAnsi="Times New Roman"/>
                <w:sz w:val="20"/>
                <w:szCs w:val="20"/>
                <w:lang w:val="en-US"/>
              </w:rPr>
              <w:t>37.7 (7.6)</w:t>
            </w:r>
          </w:p>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 xml:space="preserve">(range </w:t>
            </w:r>
            <w:r>
              <w:rPr>
                <w:rFonts w:ascii="Times New Roman" w:hAnsi="Times New Roman"/>
                <w:sz w:val="20"/>
                <w:szCs w:val="20"/>
                <w:lang w:val="en-US"/>
              </w:rPr>
              <w:t>31-46</w:t>
            </w:r>
            <w:r w:rsidRPr="00B00009">
              <w:rPr>
                <w:rFonts w:ascii="Times New Roman" w:hAnsi="Times New Roman"/>
                <w:sz w:val="20"/>
                <w:szCs w:val="20"/>
                <w:lang w:val="en-US"/>
              </w:rPr>
              <w:t>)</w:t>
            </w:r>
          </w:p>
        </w:tc>
        <w:tc>
          <w:tcPr>
            <w:tcW w:w="1914" w:type="dxa"/>
            <w:tcBorders>
              <w:top w:val="single" w:sz="4" w:space="0" w:color="auto"/>
            </w:tcBorders>
          </w:tcPr>
          <w:p w:rsidR="00C11A7C" w:rsidRPr="00BE7D87" w:rsidRDefault="00C11A7C" w:rsidP="00351524">
            <w:pPr>
              <w:jc w:val="center"/>
              <w:rPr>
                <w:rFonts w:ascii="Times New Roman" w:hAnsi="Times New Roman"/>
                <w:sz w:val="10"/>
                <w:szCs w:val="10"/>
                <w:lang w:val="en-US"/>
              </w:rPr>
            </w:pPr>
          </w:p>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38 (11.0)</w:t>
            </w:r>
          </w:p>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(range 24-62)</w:t>
            </w:r>
          </w:p>
        </w:tc>
        <w:tc>
          <w:tcPr>
            <w:tcW w:w="1914" w:type="dxa"/>
            <w:tcBorders>
              <w:top w:val="single" w:sz="4" w:space="0" w:color="auto"/>
            </w:tcBorders>
          </w:tcPr>
          <w:p w:rsidR="00C11A7C" w:rsidRPr="00BE7D87" w:rsidRDefault="00C11A7C" w:rsidP="00351524">
            <w:pPr>
              <w:jc w:val="center"/>
              <w:rPr>
                <w:rFonts w:ascii="Times New Roman" w:hAnsi="Times New Roman"/>
                <w:sz w:val="10"/>
                <w:szCs w:val="10"/>
                <w:lang w:val="en-US"/>
              </w:rPr>
            </w:pPr>
          </w:p>
          <w:p w:rsidR="00C11A7C" w:rsidRDefault="00C11A7C" w:rsidP="00351524">
            <w:pPr>
              <w:jc w:val="center"/>
              <w:rPr>
                <w:rFonts w:ascii="Times New Roman" w:hAnsi="Times New Roman"/>
                <w:sz w:val="20"/>
                <w:szCs w:val="20"/>
                <w:lang w:val="en-US"/>
              </w:rPr>
            </w:pPr>
            <w:r>
              <w:rPr>
                <w:rFonts w:ascii="Times New Roman" w:hAnsi="Times New Roman"/>
                <w:sz w:val="20"/>
                <w:szCs w:val="20"/>
                <w:lang w:val="en-US"/>
              </w:rPr>
              <w:t>49 (16.6)</w:t>
            </w:r>
          </w:p>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 xml:space="preserve">(range </w:t>
            </w:r>
            <w:r>
              <w:rPr>
                <w:rFonts w:ascii="Times New Roman" w:hAnsi="Times New Roman"/>
                <w:sz w:val="20"/>
                <w:szCs w:val="20"/>
                <w:lang w:val="en-US"/>
              </w:rPr>
              <w:t>25-71</w:t>
            </w:r>
            <w:r w:rsidRPr="00B00009">
              <w:rPr>
                <w:rFonts w:ascii="Times New Roman" w:hAnsi="Times New Roman"/>
                <w:sz w:val="20"/>
                <w:szCs w:val="20"/>
                <w:lang w:val="en-US"/>
              </w:rPr>
              <w:t>)</w:t>
            </w:r>
          </w:p>
        </w:tc>
        <w:tc>
          <w:tcPr>
            <w:tcW w:w="1914" w:type="dxa"/>
            <w:tcBorders>
              <w:top w:val="single" w:sz="4" w:space="0" w:color="auto"/>
            </w:tcBorders>
          </w:tcPr>
          <w:p w:rsidR="00C11A7C" w:rsidRPr="00BE7D87" w:rsidRDefault="00C11A7C" w:rsidP="00351524">
            <w:pPr>
              <w:jc w:val="center"/>
              <w:rPr>
                <w:rFonts w:ascii="Times New Roman" w:hAnsi="Times New Roman"/>
                <w:sz w:val="10"/>
                <w:szCs w:val="10"/>
                <w:lang w:val="en-US"/>
              </w:rPr>
            </w:pPr>
          </w:p>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49 (14.8)</w:t>
            </w:r>
          </w:p>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(range 25-71)</w:t>
            </w:r>
          </w:p>
        </w:tc>
      </w:tr>
      <w:tr w:rsidR="00C11A7C" w:rsidRPr="00B00009" w:rsidTr="00351524">
        <w:tc>
          <w:tcPr>
            <w:tcW w:w="2943" w:type="dxa"/>
          </w:tcPr>
          <w:p w:rsidR="00C11A7C" w:rsidRPr="00B00009" w:rsidRDefault="00C11A7C" w:rsidP="00351524">
            <w:pPr>
              <w:rPr>
                <w:rFonts w:ascii="Times New Roman" w:hAnsi="Times New Roman"/>
                <w:sz w:val="20"/>
                <w:szCs w:val="20"/>
                <w:lang w:val="en-US"/>
              </w:rPr>
            </w:pPr>
            <w:r w:rsidRPr="00B00009">
              <w:rPr>
                <w:rFonts w:ascii="Times New Roman" w:hAnsi="Times New Roman"/>
                <w:sz w:val="20"/>
                <w:szCs w:val="20"/>
                <w:lang w:val="en-US"/>
              </w:rPr>
              <w:t>IQ mean score (</w:t>
            </w:r>
            <w:r w:rsidRPr="00B00009">
              <w:rPr>
                <w:rFonts w:ascii="Times New Roman" w:hAnsi="Times New Roman"/>
                <w:i/>
                <w:sz w:val="20"/>
                <w:szCs w:val="20"/>
                <w:lang w:val="en-US"/>
              </w:rPr>
              <w:t>SD</w:t>
            </w:r>
            <w:r w:rsidRPr="00B00009">
              <w:rPr>
                <w:rFonts w:ascii="Times New Roman" w:hAnsi="Times New Roman"/>
                <w:sz w:val="20"/>
                <w:szCs w:val="20"/>
                <w:lang w:val="en-US"/>
              </w:rPr>
              <w:t xml:space="preserve">) </w:t>
            </w:r>
            <w:r>
              <w:rPr>
                <w:rStyle w:val="Funotenzeichen"/>
                <w:rFonts w:ascii="Times New Roman" w:hAnsi="Times New Roman"/>
                <w:sz w:val="20"/>
                <w:szCs w:val="20"/>
                <w:lang w:val="en-US"/>
              </w:rPr>
              <w:fldChar w:fldCharType="begin" w:fldLock="1"/>
            </w:r>
            <w:r>
              <w:rPr>
                <w:rFonts w:ascii="Times New Roman" w:hAnsi="Times New Roman"/>
                <w:sz w:val="20"/>
                <w:szCs w:val="20"/>
                <w:lang w:val="en-US"/>
              </w:rPr>
              <w:instrText>ADDIN CSL_CITATION {"citationItems":[{"id":"ITEM-1","itemData":{"editor":[{"dropping-particle":"","family":"Petermann","given":"F.","non-dropping-particle":"","parse-names":false,"suffix":""}],"id":"ITEM-1","issued":{"date-parts":[["2012"]]},"title":"WAIS-IV. Wechsler Adult Intelligence Scale – Fourth Edition.","type":"book"},"uris":["http://www.mendeley.com/documents/?uuid=028ce027-5155-4b21-8782-50261397c647"]},{"id":"ITEM-2","itemData":{"DOI":"http://dx.doi.org/10.1038/srep18573","ISSN":"1044-0305","abstract":"Organochlorine (OC) pesticides and the more persistent polychlorinated biphenyls (PCBs) have well-established dose-dependent toxicities to birds, fish and mammals in experimental studies, but the actual impact of OC pollutants on European marine top predators remains unknown. Here we show that several cetacean species have very high mean blubber PCB concentrations likely to cause population declines and suppress population recovery. In a large pan-European meta-analysis of stranded (n = 929) or biopsied (n = 152) cetaceans, three out of four species:- striped dolphins (SDs), bottlenose dolphins (BNDs) and killer whales (KWs) had mean PCB levels that markedly exceeded all known marine mammal PCB toxicity thresholds. Some locations (e.g. western Mediterranean Sea, south-west Iberian Peninsula) are global PCB \"hotspots\" for marine mammals. Blubber PCB concentrations initially declined following a mid-1980s EU ban, but have since stabilised in UK harbour porpoises and SDs in the western Mediterranean Sea. Some small or declining populations of BNDs and KWs in the NE Atlantic were associated with low recruitment, consistent with PCB-induced reproductive toxicity. Despite regulations and mitigation measures to reduce PCB pollution, their biomagnification in marine food webs continues to cause severe impacts among cetacean top predators in European seas.","author":[{"dropping-particle":"","family":"Aster","given":"M.","non-dropping-particle":"","parse-names":false,"suffix":""},{"dropping-particle":"","family":"Neubauer","given":"A.","non-dropping-particle":"","parse-names":false,"suffix":""},{"dropping-particle":"","family":"Horn","given":"R.","non-dropping-particle":"","parse-names":false,"suffix":""}],"container-title":"Frankfurt/Main, Germany, Harcourt Test Services","id":"ITEM-2","issued":{"date-parts":[["2006"]]},"title":"Wechsler Intelligenztest für Erwachsene WIE. Deutschsprachige Bearbeitung und Adaption des WAIS-III von David Wechsler","type":"article-journal"},"uris":["http://www.mendeley.com/documents/?uuid=d22b0fc8-8ea6-4db7-bd7f-a84db21cd412"]}],"mendeley":{"formattedCitation":"(1,2)","plainTextFormattedCitation":"(1,2)","previouslyFormattedCitation":"(1,2)"},"properties":{"noteIndex":0},"schema":"https://github.com/citation-style-language/schema/raw/master/csl-citation.json"}</w:instrText>
            </w:r>
            <w:r>
              <w:rPr>
                <w:rStyle w:val="Funotenzeichen"/>
                <w:rFonts w:ascii="Times New Roman" w:hAnsi="Times New Roman"/>
                <w:sz w:val="20"/>
                <w:szCs w:val="20"/>
                <w:lang w:val="en-US"/>
              </w:rPr>
              <w:fldChar w:fldCharType="separate"/>
            </w:r>
            <w:r w:rsidRPr="00690BC3">
              <w:rPr>
                <w:rFonts w:ascii="Times New Roman" w:hAnsi="Times New Roman"/>
                <w:noProof/>
                <w:sz w:val="20"/>
                <w:szCs w:val="20"/>
                <w:lang w:val="en-US"/>
              </w:rPr>
              <w:t>(1,2)</w:t>
            </w:r>
            <w:r>
              <w:rPr>
                <w:rStyle w:val="Funotenzeichen"/>
                <w:rFonts w:ascii="Times New Roman" w:hAnsi="Times New Roman"/>
                <w:sz w:val="20"/>
                <w:szCs w:val="20"/>
                <w:lang w:val="en-US"/>
              </w:rPr>
              <w:fldChar w:fldCharType="end"/>
            </w:r>
          </w:p>
        </w:tc>
        <w:tc>
          <w:tcPr>
            <w:tcW w:w="1914" w:type="dxa"/>
          </w:tcPr>
          <w:p w:rsidR="00C11A7C" w:rsidRDefault="00C11A7C" w:rsidP="00351524">
            <w:pPr>
              <w:jc w:val="center"/>
              <w:rPr>
                <w:rFonts w:ascii="Times New Roman" w:hAnsi="Times New Roman"/>
                <w:sz w:val="20"/>
                <w:szCs w:val="20"/>
                <w:lang w:val="en-US"/>
              </w:rPr>
            </w:pPr>
            <w:r>
              <w:rPr>
                <w:rFonts w:ascii="Times New Roman" w:hAnsi="Times New Roman"/>
                <w:sz w:val="20"/>
                <w:szCs w:val="20"/>
                <w:lang w:val="en-US"/>
              </w:rPr>
              <w:t>106 (24.7)</w:t>
            </w:r>
          </w:p>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 xml:space="preserve">(range </w:t>
            </w:r>
            <w:r>
              <w:rPr>
                <w:rFonts w:ascii="Times New Roman" w:hAnsi="Times New Roman"/>
                <w:sz w:val="20"/>
                <w:szCs w:val="20"/>
                <w:lang w:val="en-US"/>
              </w:rPr>
              <w:t>88-123</w:t>
            </w:r>
            <w:r w:rsidRPr="00B00009">
              <w:rPr>
                <w:rFonts w:ascii="Times New Roman" w:hAnsi="Times New Roman"/>
                <w:sz w:val="20"/>
                <w:szCs w:val="20"/>
                <w:lang w:val="en-US"/>
              </w:rPr>
              <w:t>)</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91 (21.9)</w:t>
            </w:r>
          </w:p>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(range 65-123)</w:t>
            </w:r>
          </w:p>
        </w:tc>
        <w:tc>
          <w:tcPr>
            <w:tcW w:w="1914" w:type="dxa"/>
          </w:tcPr>
          <w:p w:rsidR="00C11A7C" w:rsidRDefault="00C11A7C" w:rsidP="00351524">
            <w:pPr>
              <w:jc w:val="center"/>
              <w:rPr>
                <w:rFonts w:ascii="Times New Roman" w:hAnsi="Times New Roman"/>
                <w:sz w:val="20"/>
                <w:szCs w:val="20"/>
                <w:lang w:val="en-US"/>
              </w:rPr>
            </w:pPr>
            <w:r>
              <w:rPr>
                <w:rFonts w:ascii="Times New Roman" w:hAnsi="Times New Roman"/>
                <w:sz w:val="20"/>
                <w:szCs w:val="20"/>
                <w:lang w:val="en-US"/>
              </w:rPr>
              <w:t>87 (8.1)</w:t>
            </w:r>
          </w:p>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 xml:space="preserve">(range </w:t>
            </w:r>
            <w:r>
              <w:rPr>
                <w:rFonts w:ascii="Times New Roman" w:hAnsi="Times New Roman"/>
                <w:sz w:val="20"/>
                <w:szCs w:val="20"/>
                <w:lang w:val="en-US"/>
              </w:rPr>
              <w:t>80-96</w:t>
            </w:r>
            <w:r w:rsidRPr="00B00009">
              <w:rPr>
                <w:rFonts w:ascii="Times New Roman" w:hAnsi="Times New Roman"/>
                <w:sz w:val="20"/>
                <w:szCs w:val="20"/>
                <w:lang w:val="en-US"/>
              </w:rPr>
              <w:t>)</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94 (14.5)</w:t>
            </w:r>
          </w:p>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(range 66-111)</w:t>
            </w:r>
          </w:p>
        </w:tc>
        <w:tc>
          <w:tcPr>
            <w:tcW w:w="1914" w:type="dxa"/>
          </w:tcPr>
          <w:p w:rsidR="00C11A7C" w:rsidRDefault="00C11A7C" w:rsidP="00351524">
            <w:pPr>
              <w:jc w:val="center"/>
              <w:rPr>
                <w:rFonts w:ascii="Times New Roman" w:hAnsi="Times New Roman"/>
                <w:sz w:val="20"/>
                <w:szCs w:val="20"/>
                <w:lang w:val="en-US"/>
              </w:rPr>
            </w:pPr>
            <w:r>
              <w:rPr>
                <w:rFonts w:ascii="Times New Roman" w:hAnsi="Times New Roman"/>
                <w:sz w:val="20"/>
                <w:szCs w:val="20"/>
                <w:lang w:val="en-US"/>
              </w:rPr>
              <w:t>104 (12.7)</w:t>
            </w:r>
          </w:p>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 xml:space="preserve">(range </w:t>
            </w:r>
            <w:r>
              <w:rPr>
                <w:rFonts w:ascii="Times New Roman" w:hAnsi="Times New Roman"/>
                <w:sz w:val="20"/>
                <w:szCs w:val="20"/>
                <w:lang w:val="en-US"/>
              </w:rPr>
              <w:t>88-123</w:t>
            </w:r>
            <w:r w:rsidRPr="00B00009">
              <w:rPr>
                <w:rFonts w:ascii="Times New Roman" w:hAnsi="Times New Roman"/>
                <w:sz w:val="20"/>
                <w:szCs w:val="20"/>
                <w:lang w:val="en-US"/>
              </w:rPr>
              <w:t>)</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105 (12.2)</w:t>
            </w:r>
          </w:p>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(range 88-123)</w:t>
            </w:r>
          </w:p>
        </w:tc>
      </w:tr>
      <w:tr w:rsidR="00C11A7C" w:rsidRPr="00B00009" w:rsidTr="00351524">
        <w:tc>
          <w:tcPr>
            <w:tcW w:w="2943" w:type="dxa"/>
          </w:tcPr>
          <w:p w:rsidR="00C11A7C" w:rsidRPr="00B00009" w:rsidRDefault="00C11A7C" w:rsidP="00351524">
            <w:pPr>
              <w:rPr>
                <w:rFonts w:ascii="Times New Roman" w:hAnsi="Times New Roman"/>
                <w:sz w:val="20"/>
                <w:szCs w:val="20"/>
                <w:lang w:val="en-US"/>
              </w:rPr>
            </w:pPr>
            <w:r w:rsidRPr="00B00009">
              <w:rPr>
                <w:rFonts w:ascii="Times New Roman" w:hAnsi="Times New Roman"/>
                <w:sz w:val="20"/>
                <w:szCs w:val="20"/>
                <w:lang w:val="en-US"/>
              </w:rPr>
              <w:t>Being in a relationship</w:t>
            </w:r>
          </w:p>
        </w:tc>
        <w:tc>
          <w:tcPr>
            <w:tcW w:w="1914" w:type="dxa"/>
          </w:tcPr>
          <w:p w:rsidR="00C11A7C" w:rsidRPr="00B00009" w:rsidRDefault="00C11A7C" w:rsidP="00351524">
            <w:pPr>
              <w:jc w:val="center"/>
              <w:rPr>
                <w:rFonts w:ascii="Times New Roman" w:hAnsi="Times New Roman"/>
                <w:sz w:val="20"/>
                <w:szCs w:val="20"/>
                <w:lang w:val="en-US"/>
              </w:rPr>
            </w:pPr>
            <w:r>
              <w:rPr>
                <w:rFonts w:ascii="Times New Roman" w:hAnsi="Times New Roman"/>
                <w:sz w:val="20"/>
                <w:szCs w:val="20"/>
                <w:lang w:val="en-US"/>
              </w:rPr>
              <w:t>50%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50%</w:t>
            </w:r>
          </w:p>
        </w:tc>
        <w:tc>
          <w:tcPr>
            <w:tcW w:w="1914" w:type="dxa"/>
          </w:tcPr>
          <w:p w:rsidR="00C11A7C" w:rsidRPr="00B00009" w:rsidRDefault="00C11A7C" w:rsidP="00351524">
            <w:pPr>
              <w:jc w:val="center"/>
              <w:rPr>
                <w:rFonts w:ascii="Times New Roman" w:hAnsi="Times New Roman"/>
                <w:sz w:val="20"/>
                <w:szCs w:val="20"/>
                <w:lang w:val="en-US"/>
              </w:rPr>
            </w:pPr>
            <w:r>
              <w:rPr>
                <w:rFonts w:ascii="Times New Roman" w:hAnsi="Times New Roman"/>
                <w:sz w:val="20"/>
                <w:szCs w:val="20"/>
                <w:lang w:val="en-US"/>
              </w:rPr>
              <w:t>33%</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34%</w:t>
            </w:r>
          </w:p>
        </w:tc>
        <w:tc>
          <w:tcPr>
            <w:tcW w:w="1914" w:type="dxa"/>
          </w:tcPr>
          <w:p w:rsidR="00C11A7C" w:rsidRPr="00B00009" w:rsidRDefault="00C11A7C" w:rsidP="00351524">
            <w:pPr>
              <w:jc w:val="center"/>
              <w:rPr>
                <w:rFonts w:ascii="Times New Roman" w:hAnsi="Times New Roman"/>
                <w:sz w:val="20"/>
                <w:szCs w:val="20"/>
                <w:lang w:val="en-US"/>
              </w:rPr>
            </w:pPr>
            <w:r>
              <w:rPr>
                <w:rFonts w:ascii="Times New Roman" w:hAnsi="Times New Roman"/>
                <w:sz w:val="20"/>
                <w:szCs w:val="20"/>
                <w:lang w:val="en-US"/>
              </w:rPr>
              <w:t>40%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50%</w:t>
            </w:r>
          </w:p>
        </w:tc>
      </w:tr>
      <w:tr w:rsidR="00C11A7C" w:rsidRPr="00B00009" w:rsidTr="00351524">
        <w:tc>
          <w:tcPr>
            <w:tcW w:w="2943" w:type="dxa"/>
          </w:tcPr>
          <w:p w:rsidR="00C11A7C" w:rsidRPr="00B00009" w:rsidRDefault="00C11A7C" w:rsidP="00351524">
            <w:pPr>
              <w:rPr>
                <w:rFonts w:ascii="Times New Roman" w:hAnsi="Times New Roman"/>
                <w:sz w:val="20"/>
                <w:szCs w:val="20"/>
                <w:lang w:val="en-US"/>
              </w:rPr>
            </w:pPr>
            <w:r w:rsidRPr="00B00009">
              <w:rPr>
                <w:rFonts w:ascii="Times New Roman" w:hAnsi="Times New Roman"/>
                <w:sz w:val="20"/>
                <w:szCs w:val="20"/>
                <w:lang w:val="en-US"/>
              </w:rPr>
              <w:t>F65.4: Pedophilia</w:t>
            </w:r>
          </w:p>
        </w:tc>
        <w:tc>
          <w:tcPr>
            <w:tcW w:w="1914" w:type="dxa"/>
          </w:tcPr>
          <w:p w:rsidR="00C11A7C" w:rsidRPr="00B00009" w:rsidRDefault="00C11A7C" w:rsidP="00351524">
            <w:pPr>
              <w:jc w:val="center"/>
              <w:rPr>
                <w:rFonts w:ascii="Times New Roman" w:hAnsi="Times New Roman"/>
                <w:sz w:val="20"/>
                <w:szCs w:val="20"/>
                <w:lang w:val="en-US"/>
              </w:rPr>
            </w:pPr>
            <w:r>
              <w:rPr>
                <w:rFonts w:ascii="Times New Roman" w:hAnsi="Times New Roman"/>
                <w:sz w:val="20"/>
                <w:szCs w:val="20"/>
                <w:lang w:val="en-US"/>
              </w:rPr>
              <w:t>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33%</w:t>
            </w:r>
          </w:p>
        </w:tc>
        <w:tc>
          <w:tcPr>
            <w:tcW w:w="1914" w:type="dxa"/>
          </w:tcPr>
          <w:p w:rsidR="00C11A7C" w:rsidRPr="00B00009" w:rsidRDefault="00C11A7C" w:rsidP="00351524">
            <w:pPr>
              <w:jc w:val="center"/>
              <w:rPr>
                <w:rFonts w:ascii="Times New Roman" w:hAnsi="Times New Roman"/>
                <w:sz w:val="20"/>
                <w:szCs w:val="20"/>
                <w:lang w:val="en-US"/>
              </w:rPr>
            </w:pPr>
            <w:r>
              <w:rPr>
                <w:rFonts w:ascii="Times New Roman" w:hAnsi="Times New Roman"/>
                <w:sz w:val="20"/>
                <w:szCs w:val="20"/>
                <w:lang w:val="en-US"/>
              </w:rPr>
              <w:t>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8%</w:t>
            </w:r>
          </w:p>
        </w:tc>
        <w:tc>
          <w:tcPr>
            <w:tcW w:w="1914" w:type="dxa"/>
          </w:tcPr>
          <w:p w:rsidR="00C11A7C" w:rsidRPr="00B00009" w:rsidRDefault="00C11A7C" w:rsidP="00351524">
            <w:pPr>
              <w:jc w:val="center"/>
              <w:rPr>
                <w:rFonts w:ascii="Times New Roman" w:hAnsi="Times New Roman"/>
                <w:sz w:val="20"/>
                <w:szCs w:val="20"/>
                <w:lang w:val="en-US"/>
              </w:rPr>
            </w:pPr>
            <w:r>
              <w:rPr>
                <w:rFonts w:ascii="Times New Roman" w:hAnsi="Times New Roman"/>
                <w:sz w:val="20"/>
                <w:szCs w:val="20"/>
                <w:lang w:val="en-US"/>
              </w:rPr>
              <w:t>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0%</w:t>
            </w:r>
          </w:p>
        </w:tc>
      </w:tr>
      <w:tr w:rsidR="00C11A7C" w:rsidRPr="00B00009" w:rsidTr="00351524">
        <w:tc>
          <w:tcPr>
            <w:tcW w:w="2943" w:type="dxa"/>
          </w:tcPr>
          <w:p w:rsidR="00C11A7C" w:rsidRPr="00B00009" w:rsidRDefault="00C11A7C" w:rsidP="00351524">
            <w:pPr>
              <w:rPr>
                <w:rFonts w:ascii="Times New Roman" w:hAnsi="Times New Roman"/>
                <w:sz w:val="20"/>
                <w:szCs w:val="20"/>
                <w:lang w:val="en-US"/>
              </w:rPr>
            </w:pPr>
            <w:r w:rsidRPr="00B00009">
              <w:rPr>
                <w:rFonts w:ascii="Times New Roman" w:hAnsi="Times New Roman"/>
                <w:sz w:val="20"/>
                <w:szCs w:val="20"/>
                <w:lang w:val="en-US"/>
              </w:rPr>
              <w:t>No ICD-10 diagnosis</w:t>
            </w:r>
          </w:p>
        </w:tc>
        <w:tc>
          <w:tcPr>
            <w:tcW w:w="1914" w:type="dxa"/>
          </w:tcPr>
          <w:p w:rsidR="00C11A7C" w:rsidRPr="00B00009" w:rsidRDefault="00C11A7C" w:rsidP="00351524">
            <w:pPr>
              <w:jc w:val="center"/>
              <w:rPr>
                <w:rFonts w:ascii="Times New Roman" w:hAnsi="Times New Roman"/>
                <w:sz w:val="20"/>
                <w:szCs w:val="20"/>
                <w:lang w:val="en-US"/>
              </w:rPr>
            </w:pPr>
            <w:r>
              <w:rPr>
                <w:rFonts w:ascii="Times New Roman" w:hAnsi="Times New Roman"/>
                <w:sz w:val="20"/>
                <w:szCs w:val="20"/>
                <w:lang w:val="en-US"/>
              </w:rPr>
              <w:t>50%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rPr>
              <w:t>33%</w:t>
            </w:r>
          </w:p>
        </w:tc>
        <w:tc>
          <w:tcPr>
            <w:tcW w:w="1914" w:type="dxa"/>
          </w:tcPr>
          <w:p w:rsidR="00C11A7C" w:rsidRDefault="00C11A7C" w:rsidP="00351524">
            <w:pPr>
              <w:jc w:val="center"/>
            </w:pPr>
            <w:r w:rsidRPr="006545BB">
              <w:rPr>
                <w:rFonts w:ascii="Times New Roman" w:hAnsi="Times New Roman"/>
                <w:sz w:val="20"/>
                <w:szCs w:val="20"/>
                <w:lang w:val="en-US"/>
              </w:rPr>
              <w:t>33%</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rPr>
              <w:t>33%</w:t>
            </w:r>
          </w:p>
        </w:tc>
        <w:tc>
          <w:tcPr>
            <w:tcW w:w="1914" w:type="dxa"/>
          </w:tcPr>
          <w:p w:rsidR="00C11A7C" w:rsidRPr="00B00009" w:rsidRDefault="00C11A7C" w:rsidP="00351524">
            <w:pPr>
              <w:jc w:val="center"/>
              <w:rPr>
                <w:rFonts w:ascii="Times New Roman" w:hAnsi="Times New Roman"/>
                <w:sz w:val="20"/>
                <w:szCs w:val="20"/>
                <w:lang w:val="en-US"/>
              </w:rPr>
            </w:pPr>
            <w:r>
              <w:rPr>
                <w:rFonts w:ascii="Times New Roman" w:hAnsi="Times New Roman"/>
                <w:sz w:val="20"/>
                <w:szCs w:val="20"/>
                <w:lang w:val="en-US"/>
              </w:rPr>
              <w:t>20%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rPr>
              <w:t>33%</w:t>
            </w:r>
          </w:p>
        </w:tc>
      </w:tr>
      <w:tr w:rsidR="00C11A7C" w:rsidRPr="00B00009" w:rsidTr="00351524">
        <w:tc>
          <w:tcPr>
            <w:tcW w:w="2943" w:type="dxa"/>
          </w:tcPr>
          <w:p w:rsidR="00C11A7C" w:rsidRPr="00B00009" w:rsidRDefault="00C11A7C" w:rsidP="00351524">
            <w:pPr>
              <w:rPr>
                <w:rFonts w:ascii="Times New Roman" w:hAnsi="Times New Roman"/>
                <w:sz w:val="20"/>
                <w:szCs w:val="20"/>
                <w:lang w:val="en-US"/>
              </w:rPr>
            </w:pPr>
            <w:r w:rsidRPr="00B00009">
              <w:rPr>
                <w:rFonts w:ascii="Times New Roman" w:hAnsi="Times New Roman"/>
                <w:sz w:val="20"/>
                <w:szCs w:val="20"/>
                <w:lang w:val="en-US"/>
              </w:rPr>
              <w:t>One ICD-10 diagnosis</w:t>
            </w:r>
          </w:p>
        </w:tc>
        <w:tc>
          <w:tcPr>
            <w:tcW w:w="1914" w:type="dxa"/>
          </w:tcPr>
          <w:p w:rsidR="00C11A7C" w:rsidRPr="00B00009" w:rsidRDefault="00C11A7C" w:rsidP="00351524">
            <w:pPr>
              <w:jc w:val="center"/>
              <w:rPr>
                <w:rFonts w:ascii="Times New Roman" w:hAnsi="Times New Roman"/>
                <w:sz w:val="20"/>
                <w:szCs w:val="20"/>
                <w:lang w:val="en-US"/>
              </w:rPr>
            </w:pPr>
            <w:r>
              <w:rPr>
                <w:rFonts w:ascii="Times New Roman" w:hAnsi="Times New Roman"/>
                <w:sz w:val="20"/>
                <w:szCs w:val="20"/>
                <w:lang w:val="en-US"/>
              </w:rPr>
              <w:t>50%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rPr>
              <w:t>33%</w:t>
            </w:r>
          </w:p>
        </w:tc>
        <w:tc>
          <w:tcPr>
            <w:tcW w:w="1914" w:type="dxa"/>
          </w:tcPr>
          <w:p w:rsidR="00C11A7C" w:rsidRDefault="00C11A7C" w:rsidP="00351524">
            <w:pPr>
              <w:jc w:val="center"/>
            </w:pPr>
            <w:r w:rsidRPr="006545BB">
              <w:rPr>
                <w:rFonts w:ascii="Times New Roman" w:hAnsi="Times New Roman"/>
                <w:sz w:val="20"/>
                <w:szCs w:val="20"/>
                <w:lang w:val="en-US"/>
              </w:rPr>
              <w:t>33%</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rPr>
              <w:t>25%</w:t>
            </w:r>
          </w:p>
        </w:tc>
        <w:tc>
          <w:tcPr>
            <w:tcW w:w="1914" w:type="dxa"/>
          </w:tcPr>
          <w:p w:rsidR="00C11A7C" w:rsidRPr="00B00009" w:rsidRDefault="00C11A7C" w:rsidP="00351524">
            <w:pPr>
              <w:jc w:val="center"/>
              <w:rPr>
                <w:rFonts w:ascii="Times New Roman" w:hAnsi="Times New Roman"/>
                <w:sz w:val="20"/>
                <w:szCs w:val="20"/>
                <w:lang w:val="en-US"/>
              </w:rPr>
            </w:pPr>
            <w:r>
              <w:rPr>
                <w:rFonts w:ascii="Times New Roman" w:hAnsi="Times New Roman"/>
                <w:sz w:val="20"/>
                <w:szCs w:val="20"/>
                <w:lang w:val="en-US"/>
              </w:rPr>
              <w:t>40%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rPr>
              <w:t>33%</w:t>
            </w:r>
          </w:p>
        </w:tc>
      </w:tr>
      <w:tr w:rsidR="00C11A7C" w:rsidRPr="00B00009" w:rsidTr="00351524">
        <w:tc>
          <w:tcPr>
            <w:tcW w:w="2943" w:type="dxa"/>
          </w:tcPr>
          <w:p w:rsidR="00C11A7C" w:rsidRPr="00B00009" w:rsidRDefault="00C11A7C" w:rsidP="00351524">
            <w:pPr>
              <w:rPr>
                <w:rFonts w:ascii="Times New Roman" w:hAnsi="Times New Roman"/>
                <w:sz w:val="20"/>
                <w:szCs w:val="20"/>
                <w:lang w:val="en-US"/>
              </w:rPr>
            </w:pPr>
            <w:r w:rsidRPr="00B00009">
              <w:rPr>
                <w:rFonts w:ascii="Times New Roman" w:hAnsi="Times New Roman"/>
                <w:sz w:val="20"/>
                <w:szCs w:val="20"/>
                <w:lang w:val="en-US"/>
              </w:rPr>
              <w:t>More than one ICD-10 diagnosis</w:t>
            </w:r>
          </w:p>
        </w:tc>
        <w:tc>
          <w:tcPr>
            <w:tcW w:w="1914" w:type="dxa"/>
          </w:tcPr>
          <w:p w:rsidR="00C11A7C" w:rsidRPr="00B00009" w:rsidRDefault="00C11A7C" w:rsidP="00351524">
            <w:pPr>
              <w:jc w:val="center"/>
              <w:rPr>
                <w:rFonts w:ascii="Times New Roman" w:hAnsi="Times New Roman"/>
                <w:sz w:val="20"/>
                <w:szCs w:val="20"/>
                <w:lang w:val="en-US"/>
              </w:rPr>
            </w:pPr>
            <w:r>
              <w:rPr>
                <w:rFonts w:ascii="Times New Roman" w:hAnsi="Times New Roman"/>
                <w:sz w:val="20"/>
                <w:szCs w:val="20"/>
                <w:lang w:val="en-US"/>
              </w:rPr>
              <w:t>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33%</w:t>
            </w:r>
          </w:p>
        </w:tc>
        <w:tc>
          <w:tcPr>
            <w:tcW w:w="1914" w:type="dxa"/>
          </w:tcPr>
          <w:p w:rsidR="00C11A7C" w:rsidRDefault="00C11A7C" w:rsidP="00351524">
            <w:pPr>
              <w:jc w:val="center"/>
            </w:pPr>
            <w:r w:rsidRPr="006545BB">
              <w:rPr>
                <w:rFonts w:ascii="Times New Roman" w:hAnsi="Times New Roman"/>
                <w:sz w:val="20"/>
                <w:szCs w:val="20"/>
                <w:lang w:val="en-US"/>
              </w:rPr>
              <w:t>33%</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42%</w:t>
            </w:r>
          </w:p>
        </w:tc>
        <w:tc>
          <w:tcPr>
            <w:tcW w:w="1914" w:type="dxa"/>
          </w:tcPr>
          <w:p w:rsidR="00C11A7C" w:rsidRPr="00B00009" w:rsidRDefault="00C11A7C" w:rsidP="00351524">
            <w:pPr>
              <w:jc w:val="center"/>
              <w:rPr>
                <w:rFonts w:ascii="Times New Roman" w:hAnsi="Times New Roman"/>
                <w:sz w:val="20"/>
                <w:szCs w:val="20"/>
                <w:lang w:val="en-US"/>
              </w:rPr>
            </w:pPr>
            <w:r>
              <w:rPr>
                <w:rFonts w:ascii="Times New Roman" w:hAnsi="Times New Roman"/>
                <w:sz w:val="20"/>
                <w:szCs w:val="20"/>
                <w:lang w:val="en-US"/>
              </w:rPr>
              <w:t>20%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33%</w:t>
            </w:r>
          </w:p>
        </w:tc>
      </w:tr>
      <w:tr w:rsidR="00C11A7C" w:rsidRPr="00B00009" w:rsidTr="00351524">
        <w:tc>
          <w:tcPr>
            <w:tcW w:w="2943" w:type="dxa"/>
          </w:tcPr>
          <w:p w:rsidR="00C11A7C" w:rsidRPr="00B00009" w:rsidRDefault="00C11A7C" w:rsidP="00351524">
            <w:pPr>
              <w:rPr>
                <w:rFonts w:ascii="Times New Roman" w:hAnsi="Times New Roman"/>
                <w:sz w:val="20"/>
                <w:szCs w:val="20"/>
                <w:lang w:val="en-US"/>
              </w:rPr>
            </w:pPr>
            <w:r w:rsidRPr="00B00009">
              <w:rPr>
                <w:rFonts w:ascii="Times New Roman" w:hAnsi="Times New Roman"/>
                <w:sz w:val="20"/>
                <w:szCs w:val="20"/>
                <w:lang w:val="en-US"/>
              </w:rPr>
              <w:t>ICD-10: F00-F09</w:t>
            </w:r>
          </w:p>
        </w:tc>
        <w:tc>
          <w:tcPr>
            <w:tcW w:w="1914" w:type="dxa"/>
          </w:tcPr>
          <w:p w:rsidR="00C11A7C" w:rsidRDefault="00C11A7C" w:rsidP="00351524">
            <w:pPr>
              <w:jc w:val="center"/>
            </w:pPr>
            <w:r w:rsidRPr="00D517D7">
              <w:rPr>
                <w:rFonts w:ascii="Times New Roman" w:hAnsi="Times New Roman"/>
                <w:sz w:val="20"/>
                <w:szCs w:val="20"/>
                <w:lang w:val="en-US"/>
              </w:rPr>
              <w:t>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0%</w:t>
            </w:r>
          </w:p>
        </w:tc>
        <w:tc>
          <w:tcPr>
            <w:tcW w:w="1914" w:type="dxa"/>
          </w:tcPr>
          <w:p w:rsidR="00C11A7C" w:rsidRDefault="00C11A7C" w:rsidP="00351524">
            <w:pPr>
              <w:jc w:val="center"/>
            </w:pPr>
            <w:r w:rsidRPr="00E300DB">
              <w:rPr>
                <w:rFonts w:ascii="Times New Roman" w:hAnsi="Times New Roman"/>
                <w:sz w:val="20"/>
                <w:szCs w:val="20"/>
                <w:lang w:val="en-US"/>
              </w:rPr>
              <w:t>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0%</w:t>
            </w:r>
          </w:p>
        </w:tc>
        <w:tc>
          <w:tcPr>
            <w:tcW w:w="1914" w:type="dxa"/>
          </w:tcPr>
          <w:p w:rsidR="00C11A7C" w:rsidRPr="00B00009" w:rsidRDefault="00C11A7C" w:rsidP="00351524">
            <w:pPr>
              <w:jc w:val="center"/>
              <w:rPr>
                <w:rFonts w:ascii="Times New Roman" w:hAnsi="Times New Roman"/>
                <w:sz w:val="20"/>
                <w:szCs w:val="20"/>
                <w:lang w:val="en-US"/>
              </w:rPr>
            </w:pPr>
            <w:r>
              <w:rPr>
                <w:rFonts w:ascii="Times New Roman" w:hAnsi="Times New Roman"/>
                <w:sz w:val="20"/>
                <w:szCs w:val="20"/>
                <w:lang w:val="en-US"/>
              </w:rPr>
              <w:t>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0%</w:t>
            </w:r>
          </w:p>
        </w:tc>
      </w:tr>
      <w:tr w:rsidR="00C11A7C" w:rsidRPr="00B00009" w:rsidTr="00351524">
        <w:tc>
          <w:tcPr>
            <w:tcW w:w="2943" w:type="dxa"/>
          </w:tcPr>
          <w:p w:rsidR="00C11A7C" w:rsidRPr="00B00009" w:rsidRDefault="00C11A7C" w:rsidP="00351524">
            <w:pPr>
              <w:rPr>
                <w:rFonts w:ascii="Times New Roman" w:hAnsi="Times New Roman"/>
                <w:sz w:val="20"/>
                <w:szCs w:val="20"/>
                <w:lang w:val="en-US"/>
              </w:rPr>
            </w:pPr>
            <w:r w:rsidRPr="00B00009">
              <w:rPr>
                <w:rFonts w:ascii="Times New Roman" w:hAnsi="Times New Roman"/>
                <w:sz w:val="20"/>
                <w:szCs w:val="20"/>
                <w:lang w:val="en-US"/>
              </w:rPr>
              <w:t>ICD-10: F10-F19</w:t>
            </w:r>
          </w:p>
        </w:tc>
        <w:tc>
          <w:tcPr>
            <w:tcW w:w="1914" w:type="dxa"/>
          </w:tcPr>
          <w:p w:rsidR="00C11A7C" w:rsidRDefault="00C11A7C" w:rsidP="00351524">
            <w:pPr>
              <w:jc w:val="center"/>
            </w:pPr>
            <w:r w:rsidRPr="00D517D7">
              <w:rPr>
                <w:rFonts w:ascii="Times New Roman" w:hAnsi="Times New Roman"/>
                <w:sz w:val="20"/>
                <w:szCs w:val="20"/>
                <w:lang w:val="en-US"/>
              </w:rPr>
              <w:t>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17%</w:t>
            </w:r>
          </w:p>
        </w:tc>
        <w:tc>
          <w:tcPr>
            <w:tcW w:w="1914" w:type="dxa"/>
          </w:tcPr>
          <w:p w:rsidR="00C11A7C" w:rsidRDefault="00C11A7C" w:rsidP="00351524">
            <w:pPr>
              <w:jc w:val="center"/>
            </w:pPr>
            <w:r w:rsidRPr="00E300DB">
              <w:rPr>
                <w:rFonts w:ascii="Times New Roman" w:hAnsi="Times New Roman"/>
                <w:sz w:val="20"/>
                <w:szCs w:val="20"/>
                <w:lang w:val="en-US"/>
              </w:rPr>
              <w:t>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0%</w:t>
            </w:r>
          </w:p>
        </w:tc>
        <w:tc>
          <w:tcPr>
            <w:tcW w:w="1914" w:type="dxa"/>
          </w:tcPr>
          <w:p w:rsidR="00C11A7C" w:rsidRPr="00B00009" w:rsidRDefault="00C11A7C" w:rsidP="00351524">
            <w:pPr>
              <w:jc w:val="center"/>
              <w:rPr>
                <w:rFonts w:ascii="Times New Roman" w:hAnsi="Times New Roman"/>
                <w:sz w:val="20"/>
                <w:szCs w:val="20"/>
                <w:lang w:val="en-US"/>
              </w:rPr>
            </w:pPr>
            <w:r>
              <w:rPr>
                <w:rFonts w:ascii="Times New Roman" w:hAnsi="Times New Roman"/>
                <w:sz w:val="20"/>
                <w:szCs w:val="20"/>
                <w:lang w:val="en-US"/>
              </w:rPr>
              <w:t>20%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17%</w:t>
            </w:r>
          </w:p>
        </w:tc>
      </w:tr>
      <w:tr w:rsidR="00C11A7C" w:rsidRPr="00B00009" w:rsidTr="00351524">
        <w:tc>
          <w:tcPr>
            <w:tcW w:w="2943" w:type="dxa"/>
          </w:tcPr>
          <w:p w:rsidR="00C11A7C" w:rsidRPr="00B00009" w:rsidRDefault="00C11A7C" w:rsidP="00351524">
            <w:pPr>
              <w:rPr>
                <w:rFonts w:ascii="Times New Roman" w:hAnsi="Times New Roman"/>
                <w:sz w:val="20"/>
                <w:szCs w:val="20"/>
                <w:lang w:val="en-US"/>
              </w:rPr>
            </w:pPr>
            <w:r w:rsidRPr="00B00009">
              <w:rPr>
                <w:rFonts w:ascii="Times New Roman" w:hAnsi="Times New Roman"/>
                <w:sz w:val="20"/>
                <w:szCs w:val="20"/>
                <w:lang w:val="en-US"/>
              </w:rPr>
              <w:t>ICD-10: F20-F29</w:t>
            </w:r>
          </w:p>
        </w:tc>
        <w:tc>
          <w:tcPr>
            <w:tcW w:w="1914" w:type="dxa"/>
          </w:tcPr>
          <w:p w:rsidR="00C11A7C" w:rsidRDefault="00C11A7C" w:rsidP="00351524">
            <w:pPr>
              <w:jc w:val="center"/>
            </w:pPr>
            <w:r w:rsidRPr="00D517D7">
              <w:rPr>
                <w:rFonts w:ascii="Times New Roman" w:hAnsi="Times New Roman"/>
                <w:sz w:val="20"/>
                <w:szCs w:val="20"/>
                <w:lang w:val="en-US"/>
              </w:rPr>
              <w:t>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0%</w:t>
            </w:r>
          </w:p>
        </w:tc>
        <w:tc>
          <w:tcPr>
            <w:tcW w:w="1914" w:type="dxa"/>
          </w:tcPr>
          <w:p w:rsidR="00C11A7C" w:rsidRDefault="00C11A7C" w:rsidP="00351524">
            <w:pPr>
              <w:jc w:val="center"/>
            </w:pPr>
            <w:r w:rsidRPr="00E300DB">
              <w:rPr>
                <w:rFonts w:ascii="Times New Roman" w:hAnsi="Times New Roman"/>
                <w:sz w:val="20"/>
                <w:szCs w:val="20"/>
                <w:lang w:val="en-US"/>
              </w:rPr>
              <w:t>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0%</w:t>
            </w:r>
          </w:p>
        </w:tc>
        <w:tc>
          <w:tcPr>
            <w:tcW w:w="1914" w:type="dxa"/>
          </w:tcPr>
          <w:p w:rsidR="00C11A7C" w:rsidRPr="00B00009" w:rsidRDefault="00C11A7C" w:rsidP="00351524">
            <w:pPr>
              <w:jc w:val="center"/>
              <w:rPr>
                <w:rFonts w:ascii="Times New Roman" w:hAnsi="Times New Roman"/>
                <w:sz w:val="20"/>
                <w:szCs w:val="20"/>
                <w:lang w:val="en-US"/>
              </w:rPr>
            </w:pPr>
            <w:r>
              <w:rPr>
                <w:rFonts w:ascii="Times New Roman" w:hAnsi="Times New Roman"/>
                <w:sz w:val="20"/>
                <w:szCs w:val="20"/>
                <w:lang w:val="en-US"/>
              </w:rPr>
              <w:t>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0%</w:t>
            </w:r>
          </w:p>
        </w:tc>
      </w:tr>
      <w:tr w:rsidR="00C11A7C" w:rsidRPr="00B00009" w:rsidTr="00351524">
        <w:tc>
          <w:tcPr>
            <w:tcW w:w="2943" w:type="dxa"/>
          </w:tcPr>
          <w:p w:rsidR="00C11A7C" w:rsidRPr="00B00009" w:rsidRDefault="00C11A7C" w:rsidP="00351524">
            <w:pPr>
              <w:rPr>
                <w:rFonts w:ascii="Times New Roman" w:hAnsi="Times New Roman"/>
                <w:sz w:val="20"/>
                <w:szCs w:val="20"/>
                <w:lang w:val="en-US"/>
              </w:rPr>
            </w:pPr>
            <w:r w:rsidRPr="00B00009">
              <w:rPr>
                <w:rFonts w:ascii="Times New Roman" w:hAnsi="Times New Roman"/>
                <w:sz w:val="20"/>
                <w:szCs w:val="20"/>
                <w:lang w:val="en-US"/>
              </w:rPr>
              <w:t>ICD-10: F30-F39</w:t>
            </w:r>
          </w:p>
        </w:tc>
        <w:tc>
          <w:tcPr>
            <w:tcW w:w="1914" w:type="dxa"/>
          </w:tcPr>
          <w:p w:rsidR="00C11A7C" w:rsidRDefault="00C11A7C" w:rsidP="00351524">
            <w:pPr>
              <w:jc w:val="center"/>
            </w:pPr>
            <w:r w:rsidRPr="00D517D7">
              <w:rPr>
                <w:rFonts w:ascii="Times New Roman" w:hAnsi="Times New Roman"/>
                <w:sz w:val="20"/>
                <w:szCs w:val="20"/>
                <w:lang w:val="en-US"/>
              </w:rPr>
              <w:t>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0%</w:t>
            </w:r>
          </w:p>
        </w:tc>
        <w:tc>
          <w:tcPr>
            <w:tcW w:w="1914" w:type="dxa"/>
          </w:tcPr>
          <w:p w:rsidR="00C11A7C" w:rsidRPr="00B00009" w:rsidRDefault="00C11A7C" w:rsidP="00351524">
            <w:pPr>
              <w:jc w:val="center"/>
              <w:rPr>
                <w:rFonts w:ascii="Times New Roman" w:hAnsi="Times New Roman"/>
                <w:sz w:val="20"/>
                <w:szCs w:val="20"/>
                <w:lang w:val="en-US"/>
              </w:rPr>
            </w:pPr>
            <w:r>
              <w:rPr>
                <w:rFonts w:ascii="Times New Roman" w:hAnsi="Times New Roman"/>
                <w:sz w:val="20"/>
                <w:szCs w:val="20"/>
                <w:lang w:val="en-US"/>
              </w:rPr>
              <w:t>67%</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50%</w:t>
            </w:r>
          </w:p>
        </w:tc>
        <w:tc>
          <w:tcPr>
            <w:tcW w:w="1914" w:type="dxa"/>
          </w:tcPr>
          <w:p w:rsidR="00C11A7C" w:rsidRPr="00B00009" w:rsidRDefault="00C11A7C" w:rsidP="00351524">
            <w:pPr>
              <w:jc w:val="center"/>
              <w:rPr>
                <w:rFonts w:ascii="Times New Roman" w:hAnsi="Times New Roman"/>
                <w:sz w:val="20"/>
                <w:szCs w:val="20"/>
                <w:lang w:val="en-US"/>
              </w:rPr>
            </w:pPr>
            <w:r>
              <w:rPr>
                <w:rFonts w:ascii="Times New Roman" w:hAnsi="Times New Roman"/>
                <w:sz w:val="20"/>
                <w:szCs w:val="20"/>
                <w:lang w:val="en-US"/>
              </w:rPr>
              <w:t>20%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17%</w:t>
            </w:r>
          </w:p>
        </w:tc>
      </w:tr>
      <w:tr w:rsidR="00C11A7C" w:rsidRPr="00B00009" w:rsidTr="00351524">
        <w:tc>
          <w:tcPr>
            <w:tcW w:w="2943" w:type="dxa"/>
          </w:tcPr>
          <w:p w:rsidR="00C11A7C" w:rsidRPr="00B00009" w:rsidRDefault="00C11A7C" w:rsidP="00351524">
            <w:pPr>
              <w:rPr>
                <w:rFonts w:ascii="Times New Roman" w:hAnsi="Times New Roman"/>
                <w:sz w:val="20"/>
                <w:szCs w:val="20"/>
                <w:lang w:val="en-US"/>
              </w:rPr>
            </w:pPr>
            <w:r w:rsidRPr="00B00009">
              <w:rPr>
                <w:rFonts w:ascii="Times New Roman" w:hAnsi="Times New Roman"/>
                <w:sz w:val="20"/>
                <w:szCs w:val="20"/>
                <w:lang w:val="en-US"/>
              </w:rPr>
              <w:t>ICD-10: F40-F49</w:t>
            </w:r>
          </w:p>
        </w:tc>
        <w:tc>
          <w:tcPr>
            <w:tcW w:w="1914" w:type="dxa"/>
          </w:tcPr>
          <w:p w:rsidR="00C11A7C" w:rsidRPr="00B00009" w:rsidRDefault="00C11A7C" w:rsidP="00351524">
            <w:pPr>
              <w:jc w:val="center"/>
              <w:rPr>
                <w:rFonts w:ascii="Times New Roman" w:hAnsi="Times New Roman"/>
                <w:sz w:val="20"/>
                <w:szCs w:val="20"/>
                <w:lang w:val="en-US"/>
              </w:rPr>
            </w:pPr>
            <w:r>
              <w:rPr>
                <w:rFonts w:ascii="Times New Roman" w:hAnsi="Times New Roman"/>
                <w:sz w:val="20"/>
                <w:szCs w:val="20"/>
                <w:lang w:val="en-US"/>
              </w:rPr>
              <w:t>50%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17%</w:t>
            </w:r>
          </w:p>
        </w:tc>
        <w:tc>
          <w:tcPr>
            <w:tcW w:w="1914" w:type="dxa"/>
          </w:tcPr>
          <w:p w:rsidR="00C11A7C" w:rsidRDefault="00C11A7C" w:rsidP="00351524">
            <w:pPr>
              <w:jc w:val="center"/>
            </w:pPr>
            <w:r w:rsidRPr="00E91F0E">
              <w:rPr>
                <w:rFonts w:ascii="Times New Roman" w:hAnsi="Times New Roman"/>
                <w:sz w:val="20"/>
                <w:szCs w:val="20"/>
                <w:lang w:val="en-US"/>
              </w:rPr>
              <w:t>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17%</w:t>
            </w:r>
          </w:p>
        </w:tc>
        <w:tc>
          <w:tcPr>
            <w:tcW w:w="1914" w:type="dxa"/>
          </w:tcPr>
          <w:p w:rsidR="00C11A7C" w:rsidRPr="00B00009" w:rsidRDefault="00C11A7C" w:rsidP="00351524">
            <w:pPr>
              <w:jc w:val="center"/>
              <w:rPr>
                <w:rFonts w:ascii="Times New Roman" w:hAnsi="Times New Roman"/>
                <w:sz w:val="20"/>
                <w:szCs w:val="20"/>
                <w:lang w:val="en-US"/>
              </w:rPr>
            </w:pPr>
            <w:r>
              <w:rPr>
                <w:rFonts w:ascii="Times New Roman" w:hAnsi="Times New Roman"/>
                <w:sz w:val="20"/>
                <w:szCs w:val="20"/>
                <w:lang w:val="en-US"/>
              </w:rPr>
              <w:t>20%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17%</w:t>
            </w:r>
          </w:p>
        </w:tc>
      </w:tr>
      <w:tr w:rsidR="00C11A7C" w:rsidRPr="00B00009" w:rsidTr="00351524">
        <w:tc>
          <w:tcPr>
            <w:tcW w:w="2943" w:type="dxa"/>
          </w:tcPr>
          <w:p w:rsidR="00C11A7C" w:rsidRPr="00B00009" w:rsidRDefault="00C11A7C" w:rsidP="00351524">
            <w:pPr>
              <w:rPr>
                <w:rFonts w:ascii="Times New Roman" w:hAnsi="Times New Roman"/>
                <w:sz w:val="20"/>
                <w:szCs w:val="20"/>
                <w:lang w:val="en-US"/>
              </w:rPr>
            </w:pPr>
            <w:r w:rsidRPr="00B00009">
              <w:rPr>
                <w:rFonts w:ascii="Times New Roman" w:hAnsi="Times New Roman"/>
                <w:sz w:val="20"/>
                <w:szCs w:val="20"/>
                <w:lang w:val="en-US"/>
              </w:rPr>
              <w:t>ICD-10: F50-F59</w:t>
            </w:r>
          </w:p>
        </w:tc>
        <w:tc>
          <w:tcPr>
            <w:tcW w:w="1914" w:type="dxa"/>
          </w:tcPr>
          <w:p w:rsidR="00C11A7C" w:rsidRDefault="00C11A7C" w:rsidP="00351524">
            <w:pPr>
              <w:jc w:val="center"/>
            </w:pPr>
            <w:r w:rsidRPr="00AA1459">
              <w:rPr>
                <w:rFonts w:ascii="Times New Roman" w:hAnsi="Times New Roman"/>
                <w:sz w:val="20"/>
                <w:szCs w:val="20"/>
                <w:lang w:val="en-US"/>
              </w:rPr>
              <w:t>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0%</w:t>
            </w:r>
          </w:p>
        </w:tc>
        <w:tc>
          <w:tcPr>
            <w:tcW w:w="1914" w:type="dxa"/>
          </w:tcPr>
          <w:p w:rsidR="00C11A7C" w:rsidRDefault="00C11A7C" w:rsidP="00351524">
            <w:pPr>
              <w:jc w:val="center"/>
            </w:pPr>
            <w:r w:rsidRPr="00E91F0E">
              <w:rPr>
                <w:rFonts w:ascii="Times New Roman" w:hAnsi="Times New Roman"/>
                <w:sz w:val="20"/>
                <w:szCs w:val="20"/>
                <w:lang w:val="en-US"/>
              </w:rPr>
              <w:t>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0%</w:t>
            </w:r>
          </w:p>
        </w:tc>
        <w:tc>
          <w:tcPr>
            <w:tcW w:w="1914" w:type="dxa"/>
          </w:tcPr>
          <w:p w:rsidR="00C11A7C" w:rsidRDefault="00C11A7C" w:rsidP="00351524">
            <w:pPr>
              <w:jc w:val="center"/>
            </w:pPr>
            <w:r w:rsidRPr="00D74CFA">
              <w:rPr>
                <w:rFonts w:ascii="Times New Roman" w:hAnsi="Times New Roman"/>
                <w:sz w:val="20"/>
                <w:szCs w:val="20"/>
                <w:lang w:val="en-US"/>
              </w:rPr>
              <w:t>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0%</w:t>
            </w:r>
          </w:p>
        </w:tc>
      </w:tr>
      <w:tr w:rsidR="00C11A7C" w:rsidRPr="00B00009" w:rsidTr="00351524">
        <w:tc>
          <w:tcPr>
            <w:tcW w:w="2943" w:type="dxa"/>
          </w:tcPr>
          <w:p w:rsidR="00C11A7C" w:rsidRPr="00B00009" w:rsidRDefault="00C11A7C" w:rsidP="00351524">
            <w:pPr>
              <w:rPr>
                <w:rFonts w:ascii="Times New Roman" w:hAnsi="Times New Roman"/>
                <w:sz w:val="20"/>
                <w:szCs w:val="20"/>
                <w:lang w:val="en-US"/>
              </w:rPr>
            </w:pPr>
            <w:r w:rsidRPr="00B00009">
              <w:rPr>
                <w:rFonts w:ascii="Times New Roman" w:hAnsi="Times New Roman"/>
                <w:sz w:val="20"/>
                <w:szCs w:val="20"/>
                <w:lang w:val="en-US"/>
              </w:rPr>
              <w:t>ICD-10: F60-F69</w:t>
            </w:r>
          </w:p>
        </w:tc>
        <w:tc>
          <w:tcPr>
            <w:tcW w:w="1914" w:type="dxa"/>
          </w:tcPr>
          <w:p w:rsidR="00C11A7C" w:rsidRDefault="00C11A7C" w:rsidP="00351524">
            <w:pPr>
              <w:jc w:val="center"/>
            </w:pPr>
            <w:r w:rsidRPr="00AA1459">
              <w:rPr>
                <w:rFonts w:ascii="Times New Roman" w:hAnsi="Times New Roman"/>
                <w:sz w:val="20"/>
                <w:szCs w:val="20"/>
                <w:lang w:val="en-US"/>
              </w:rPr>
              <w:t>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33%</w:t>
            </w:r>
          </w:p>
        </w:tc>
        <w:tc>
          <w:tcPr>
            <w:tcW w:w="1914" w:type="dxa"/>
          </w:tcPr>
          <w:p w:rsidR="00C11A7C" w:rsidRPr="00B00009" w:rsidRDefault="00C11A7C" w:rsidP="00351524">
            <w:pPr>
              <w:jc w:val="center"/>
              <w:rPr>
                <w:rFonts w:ascii="Times New Roman" w:hAnsi="Times New Roman"/>
                <w:sz w:val="20"/>
                <w:szCs w:val="20"/>
                <w:lang w:val="en-US"/>
              </w:rPr>
            </w:pPr>
            <w:r>
              <w:rPr>
                <w:rFonts w:ascii="Times New Roman" w:hAnsi="Times New Roman"/>
                <w:sz w:val="20"/>
                <w:szCs w:val="20"/>
                <w:lang w:val="en-US"/>
              </w:rPr>
              <w:t>33%</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33%</w:t>
            </w:r>
          </w:p>
        </w:tc>
        <w:tc>
          <w:tcPr>
            <w:tcW w:w="1914" w:type="dxa"/>
          </w:tcPr>
          <w:p w:rsidR="00C11A7C" w:rsidRDefault="00C11A7C" w:rsidP="00351524">
            <w:pPr>
              <w:jc w:val="center"/>
            </w:pPr>
            <w:r>
              <w:rPr>
                <w:rFonts w:ascii="Times New Roman" w:hAnsi="Times New Roman"/>
                <w:sz w:val="20"/>
                <w:szCs w:val="20"/>
                <w:lang w:val="en-US"/>
              </w:rPr>
              <w:t>2</w:t>
            </w:r>
            <w:r w:rsidRPr="00D74CFA">
              <w:rPr>
                <w:rFonts w:ascii="Times New Roman" w:hAnsi="Times New Roman"/>
                <w:sz w:val="20"/>
                <w:szCs w:val="20"/>
                <w:lang w:val="en-US"/>
              </w:rPr>
              <w:t>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17%</w:t>
            </w:r>
          </w:p>
        </w:tc>
      </w:tr>
      <w:tr w:rsidR="00C11A7C" w:rsidRPr="00B00009" w:rsidTr="00351524">
        <w:tc>
          <w:tcPr>
            <w:tcW w:w="2943" w:type="dxa"/>
          </w:tcPr>
          <w:p w:rsidR="00C11A7C" w:rsidRPr="00B00009" w:rsidRDefault="00C11A7C" w:rsidP="00351524">
            <w:pPr>
              <w:rPr>
                <w:rFonts w:ascii="Times New Roman" w:hAnsi="Times New Roman"/>
                <w:sz w:val="20"/>
                <w:szCs w:val="20"/>
                <w:lang w:val="en-US"/>
              </w:rPr>
            </w:pPr>
            <w:r w:rsidRPr="00B00009">
              <w:rPr>
                <w:rFonts w:ascii="Times New Roman" w:hAnsi="Times New Roman"/>
                <w:sz w:val="20"/>
                <w:szCs w:val="20"/>
                <w:lang w:val="en-US"/>
              </w:rPr>
              <w:t>ICD-10: F70-F79</w:t>
            </w:r>
          </w:p>
        </w:tc>
        <w:tc>
          <w:tcPr>
            <w:tcW w:w="1914" w:type="dxa"/>
          </w:tcPr>
          <w:p w:rsidR="00C11A7C" w:rsidRDefault="00C11A7C" w:rsidP="00351524">
            <w:pPr>
              <w:jc w:val="center"/>
            </w:pPr>
            <w:r w:rsidRPr="00AA1459">
              <w:rPr>
                <w:rFonts w:ascii="Times New Roman" w:hAnsi="Times New Roman"/>
                <w:sz w:val="20"/>
                <w:szCs w:val="20"/>
                <w:lang w:val="en-US"/>
              </w:rPr>
              <w:t>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17%</w:t>
            </w:r>
          </w:p>
        </w:tc>
        <w:tc>
          <w:tcPr>
            <w:tcW w:w="1914" w:type="dxa"/>
          </w:tcPr>
          <w:p w:rsidR="00C11A7C" w:rsidRDefault="00C11A7C" w:rsidP="00351524">
            <w:pPr>
              <w:jc w:val="center"/>
            </w:pPr>
            <w:r w:rsidRPr="00565BB4">
              <w:rPr>
                <w:rFonts w:ascii="Times New Roman" w:hAnsi="Times New Roman"/>
                <w:sz w:val="20"/>
                <w:szCs w:val="20"/>
                <w:lang w:val="en-US"/>
              </w:rPr>
              <w:t>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8%</w:t>
            </w:r>
          </w:p>
        </w:tc>
        <w:tc>
          <w:tcPr>
            <w:tcW w:w="1914" w:type="dxa"/>
          </w:tcPr>
          <w:p w:rsidR="00C11A7C" w:rsidRDefault="00C11A7C" w:rsidP="00351524">
            <w:pPr>
              <w:jc w:val="center"/>
            </w:pPr>
            <w:r w:rsidRPr="00D74CFA">
              <w:rPr>
                <w:rFonts w:ascii="Times New Roman" w:hAnsi="Times New Roman"/>
                <w:sz w:val="20"/>
                <w:szCs w:val="20"/>
                <w:lang w:val="en-US"/>
              </w:rPr>
              <w:t>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0%</w:t>
            </w:r>
          </w:p>
        </w:tc>
      </w:tr>
      <w:tr w:rsidR="00C11A7C" w:rsidRPr="00B00009" w:rsidTr="00351524">
        <w:tc>
          <w:tcPr>
            <w:tcW w:w="2943" w:type="dxa"/>
          </w:tcPr>
          <w:p w:rsidR="00C11A7C" w:rsidRPr="00B00009" w:rsidRDefault="00C11A7C" w:rsidP="00351524">
            <w:pPr>
              <w:rPr>
                <w:rFonts w:ascii="Times New Roman" w:hAnsi="Times New Roman"/>
                <w:sz w:val="20"/>
                <w:szCs w:val="20"/>
                <w:lang w:val="en-US"/>
              </w:rPr>
            </w:pPr>
            <w:r w:rsidRPr="00B00009">
              <w:rPr>
                <w:rFonts w:ascii="Times New Roman" w:hAnsi="Times New Roman"/>
                <w:sz w:val="20"/>
                <w:szCs w:val="20"/>
                <w:lang w:val="en-US"/>
              </w:rPr>
              <w:t>ICD-10: F80-F89</w:t>
            </w:r>
          </w:p>
        </w:tc>
        <w:tc>
          <w:tcPr>
            <w:tcW w:w="1914" w:type="dxa"/>
          </w:tcPr>
          <w:p w:rsidR="00C11A7C" w:rsidRDefault="00C11A7C" w:rsidP="00351524">
            <w:pPr>
              <w:jc w:val="center"/>
            </w:pPr>
            <w:r w:rsidRPr="00AA1459">
              <w:rPr>
                <w:rFonts w:ascii="Times New Roman" w:hAnsi="Times New Roman"/>
                <w:sz w:val="20"/>
                <w:szCs w:val="20"/>
                <w:lang w:val="en-US"/>
              </w:rPr>
              <w:t>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0%</w:t>
            </w:r>
          </w:p>
        </w:tc>
        <w:tc>
          <w:tcPr>
            <w:tcW w:w="1914" w:type="dxa"/>
          </w:tcPr>
          <w:p w:rsidR="00C11A7C" w:rsidRDefault="00C11A7C" w:rsidP="00351524">
            <w:pPr>
              <w:jc w:val="center"/>
            </w:pPr>
            <w:r w:rsidRPr="00565BB4">
              <w:rPr>
                <w:rFonts w:ascii="Times New Roman" w:hAnsi="Times New Roman"/>
                <w:sz w:val="20"/>
                <w:szCs w:val="20"/>
                <w:lang w:val="en-US"/>
              </w:rPr>
              <w:t>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0%</w:t>
            </w:r>
          </w:p>
        </w:tc>
        <w:tc>
          <w:tcPr>
            <w:tcW w:w="1914" w:type="dxa"/>
          </w:tcPr>
          <w:p w:rsidR="00C11A7C" w:rsidRDefault="00C11A7C" w:rsidP="00351524">
            <w:pPr>
              <w:jc w:val="center"/>
            </w:pPr>
            <w:r w:rsidRPr="00D74CFA">
              <w:rPr>
                <w:rFonts w:ascii="Times New Roman" w:hAnsi="Times New Roman"/>
                <w:sz w:val="20"/>
                <w:szCs w:val="20"/>
                <w:lang w:val="en-US"/>
              </w:rPr>
              <w:t>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0%</w:t>
            </w:r>
          </w:p>
        </w:tc>
      </w:tr>
      <w:tr w:rsidR="00C11A7C" w:rsidRPr="00B00009" w:rsidTr="00351524">
        <w:tc>
          <w:tcPr>
            <w:tcW w:w="2943" w:type="dxa"/>
          </w:tcPr>
          <w:p w:rsidR="00C11A7C" w:rsidRPr="00B00009" w:rsidRDefault="00C11A7C" w:rsidP="00351524">
            <w:pPr>
              <w:rPr>
                <w:rFonts w:ascii="Times New Roman" w:hAnsi="Times New Roman"/>
                <w:sz w:val="20"/>
                <w:szCs w:val="20"/>
                <w:lang w:val="en-US"/>
              </w:rPr>
            </w:pPr>
            <w:r w:rsidRPr="00B00009">
              <w:rPr>
                <w:rFonts w:ascii="Times New Roman" w:hAnsi="Times New Roman"/>
                <w:sz w:val="20"/>
                <w:szCs w:val="20"/>
                <w:lang w:val="en-US"/>
              </w:rPr>
              <w:t>ICD-10: F90-F98</w:t>
            </w:r>
          </w:p>
        </w:tc>
        <w:tc>
          <w:tcPr>
            <w:tcW w:w="1914" w:type="dxa"/>
          </w:tcPr>
          <w:p w:rsidR="00C11A7C" w:rsidRDefault="00C11A7C" w:rsidP="00351524">
            <w:pPr>
              <w:jc w:val="center"/>
            </w:pPr>
            <w:r w:rsidRPr="00AA1459">
              <w:rPr>
                <w:rFonts w:ascii="Times New Roman" w:hAnsi="Times New Roman"/>
                <w:sz w:val="20"/>
                <w:szCs w:val="20"/>
                <w:lang w:val="en-US"/>
              </w:rPr>
              <w:t>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0%</w:t>
            </w:r>
          </w:p>
        </w:tc>
        <w:tc>
          <w:tcPr>
            <w:tcW w:w="1914" w:type="dxa"/>
          </w:tcPr>
          <w:p w:rsidR="00C11A7C" w:rsidRDefault="00C11A7C" w:rsidP="00351524">
            <w:pPr>
              <w:jc w:val="center"/>
            </w:pPr>
            <w:r w:rsidRPr="00565BB4">
              <w:rPr>
                <w:rFonts w:ascii="Times New Roman" w:hAnsi="Times New Roman"/>
                <w:sz w:val="20"/>
                <w:szCs w:val="20"/>
                <w:lang w:val="en-US"/>
              </w:rPr>
              <w:t>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0%</w:t>
            </w:r>
          </w:p>
        </w:tc>
        <w:tc>
          <w:tcPr>
            <w:tcW w:w="1914" w:type="dxa"/>
          </w:tcPr>
          <w:p w:rsidR="00C11A7C" w:rsidRDefault="00C11A7C" w:rsidP="00351524">
            <w:pPr>
              <w:jc w:val="center"/>
            </w:pPr>
            <w:r w:rsidRPr="00D74CFA">
              <w:rPr>
                <w:rFonts w:ascii="Times New Roman" w:hAnsi="Times New Roman"/>
                <w:sz w:val="20"/>
                <w:szCs w:val="20"/>
                <w:lang w:val="en-US"/>
              </w:rPr>
              <w:t>0%</w:t>
            </w:r>
          </w:p>
        </w:tc>
        <w:tc>
          <w:tcPr>
            <w:tcW w:w="1914" w:type="dxa"/>
          </w:tcPr>
          <w:p w:rsidR="00C11A7C" w:rsidRPr="00B00009"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0%</w:t>
            </w:r>
          </w:p>
        </w:tc>
      </w:tr>
      <w:tr w:rsidR="00C11A7C" w:rsidRPr="00B00009" w:rsidTr="00351524">
        <w:tc>
          <w:tcPr>
            <w:tcW w:w="2943" w:type="dxa"/>
            <w:tcBorders>
              <w:bottom w:val="single" w:sz="4" w:space="0" w:color="auto"/>
            </w:tcBorders>
          </w:tcPr>
          <w:p w:rsidR="00C11A7C" w:rsidRDefault="00C11A7C" w:rsidP="00351524">
            <w:pPr>
              <w:rPr>
                <w:rFonts w:ascii="Times New Roman" w:hAnsi="Times New Roman"/>
                <w:sz w:val="20"/>
                <w:szCs w:val="20"/>
                <w:lang w:val="en-US"/>
              </w:rPr>
            </w:pPr>
            <w:r w:rsidRPr="00B00009">
              <w:rPr>
                <w:rFonts w:ascii="Times New Roman" w:hAnsi="Times New Roman"/>
                <w:sz w:val="20"/>
                <w:szCs w:val="20"/>
                <w:lang w:val="en-US"/>
              </w:rPr>
              <w:t>ICD-10: F99</w:t>
            </w:r>
          </w:p>
          <w:p w:rsidR="00C11A7C" w:rsidRPr="00BE7D87" w:rsidRDefault="00C11A7C" w:rsidP="00351524">
            <w:pPr>
              <w:rPr>
                <w:rFonts w:ascii="Times New Roman" w:hAnsi="Times New Roman"/>
                <w:sz w:val="10"/>
                <w:szCs w:val="10"/>
                <w:lang w:val="en-US"/>
              </w:rPr>
            </w:pPr>
          </w:p>
        </w:tc>
        <w:tc>
          <w:tcPr>
            <w:tcW w:w="1914" w:type="dxa"/>
            <w:tcBorders>
              <w:bottom w:val="single" w:sz="4" w:space="0" w:color="auto"/>
            </w:tcBorders>
          </w:tcPr>
          <w:p w:rsidR="00C11A7C" w:rsidRDefault="00C11A7C" w:rsidP="00351524">
            <w:pPr>
              <w:jc w:val="center"/>
              <w:rPr>
                <w:rFonts w:ascii="Times New Roman" w:hAnsi="Times New Roman"/>
                <w:sz w:val="20"/>
                <w:szCs w:val="20"/>
                <w:lang w:val="en-US"/>
              </w:rPr>
            </w:pPr>
            <w:r w:rsidRPr="00AA1459">
              <w:rPr>
                <w:rFonts w:ascii="Times New Roman" w:hAnsi="Times New Roman"/>
                <w:sz w:val="20"/>
                <w:szCs w:val="20"/>
                <w:lang w:val="en-US"/>
              </w:rPr>
              <w:t>0%</w:t>
            </w:r>
          </w:p>
          <w:p w:rsidR="00C11A7C" w:rsidRPr="00BE7D87" w:rsidRDefault="00C11A7C" w:rsidP="00351524">
            <w:pPr>
              <w:jc w:val="center"/>
              <w:rPr>
                <w:sz w:val="10"/>
                <w:szCs w:val="10"/>
              </w:rPr>
            </w:pPr>
          </w:p>
        </w:tc>
        <w:tc>
          <w:tcPr>
            <w:tcW w:w="1914" w:type="dxa"/>
            <w:tcBorders>
              <w:bottom w:val="single" w:sz="4" w:space="0" w:color="auto"/>
            </w:tcBorders>
          </w:tcPr>
          <w:p w:rsidR="00C11A7C"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0%</w:t>
            </w:r>
          </w:p>
          <w:p w:rsidR="00C11A7C" w:rsidRPr="00BE7D87" w:rsidRDefault="00C11A7C" w:rsidP="00351524">
            <w:pPr>
              <w:jc w:val="center"/>
              <w:rPr>
                <w:rFonts w:ascii="Times New Roman" w:hAnsi="Times New Roman"/>
                <w:sz w:val="10"/>
                <w:szCs w:val="10"/>
                <w:lang w:val="en-US"/>
              </w:rPr>
            </w:pPr>
          </w:p>
        </w:tc>
        <w:tc>
          <w:tcPr>
            <w:tcW w:w="1914" w:type="dxa"/>
            <w:tcBorders>
              <w:bottom w:val="single" w:sz="4" w:space="0" w:color="auto"/>
            </w:tcBorders>
          </w:tcPr>
          <w:p w:rsidR="00C11A7C" w:rsidRDefault="00C11A7C" w:rsidP="00351524">
            <w:pPr>
              <w:jc w:val="center"/>
              <w:rPr>
                <w:rFonts w:ascii="Times New Roman" w:hAnsi="Times New Roman"/>
                <w:sz w:val="20"/>
                <w:szCs w:val="20"/>
                <w:lang w:val="en-US"/>
              </w:rPr>
            </w:pPr>
            <w:r w:rsidRPr="00565BB4">
              <w:rPr>
                <w:rFonts w:ascii="Times New Roman" w:hAnsi="Times New Roman"/>
                <w:sz w:val="20"/>
                <w:szCs w:val="20"/>
                <w:lang w:val="en-US"/>
              </w:rPr>
              <w:t>0%</w:t>
            </w:r>
          </w:p>
          <w:p w:rsidR="00C11A7C" w:rsidRPr="00BE7D87" w:rsidRDefault="00C11A7C" w:rsidP="00351524">
            <w:pPr>
              <w:jc w:val="center"/>
              <w:rPr>
                <w:sz w:val="10"/>
                <w:szCs w:val="10"/>
              </w:rPr>
            </w:pPr>
          </w:p>
        </w:tc>
        <w:tc>
          <w:tcPr>
            <w:tcW w:w="1914" w:type="dxa"/>
            <w:tcBorders>
              <w:bottom w:val="single" w:sz="4" w:space="0" w:color="auto"/>
            </w:tcBorders>
          </w:tcPr>
          <w:p w:rsidR="00C11A7C"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0%</w:t>
            </w:r>
          </w:p>
          <w:p w:rsidR="00C11A7C" w:rsidRPr="00BE7D87" w:rsidRDefault="00C11A7C" w:rsidP="00351524">
            <w:pPr>
              <w:jc w:val="center"/>
              <w:rPr>
                <w:rFonts w:ascii="Times New Roman" w:hAnsi="Times New Roman"/>
                <w:sz w:val="10"/>
                <w:szCs w:val="10"/>
                <w:lang w:val="en-US"/>
              </w:rPr>
            </w:pPr>
          </w:p>
        </w:tc>
        <w:tc>
          <w:tcPr>
            <w:tcW w:w="1914" w:type="dxa"/>
            <w:tcBorders>
              <w:bottom w:val="single" w:sz="4" w:space="0" w:color="auto"/>
            </w:tcBorders>
          </w:tcPr>
          <w:p w:rsidR="00C11A7C" w:rsidRDefault="00C11A7C" w:rsidP="00351524">
            <w:pPr>
              <w:jc w:val="center"/>
              <w:rPr>
                <w:rFonts w:ascii="Times New Roman" w:hAnsi="Times New Roman"/>
                <w:sz w:val="20"/>
                <w:szCs w:val="20"/>
                <w:lang w:val="en-US"/>
              </w:rPr>
            </w:pPr>
            <w:r w:rsidRPr="00D74CFA">
              <w:rPr>
                <w:rFonts w:ascii="Times New Roman" w:hAnsi="Times New Roman"/>
                <w:sz w:val="20"/>
                <w:szCs w:val="20"/>
                <w:lang w:val="en-US"/>
              </w:rPr>
              <w:t>0%</w:t>
            </w:r>
          </w:p>
          <w:p w:rsidR="00C11A7C" w:rsidRPr="00BE7D87" w:rsidRDefault="00C11A7C" w:rsidP="00351524">
            <w:pPr>
              <w:jc w:val="center"/>
              <w:rPr>
                <w:sz w:val="10"/>
                <w:szCs w:val="10"/>
              </w:rPr>
            </w:pPr>
          </w:p>
        </w:tc>
        <w:tc>
          <w:tcPr>
            <w:tcW w:w="1914" w:type="dxa"/>
            <w:tcBorders>
              <w:bottom w:val="single" w:sz="4" w:space="0" w:color="auto"/>
            </w:tcBorders>
          </w:tcPr>
          <w:p w:rsidR="00C11A7C" w:rsidRDefault="00C11A7C" w:rsidP="00351524">
            <w:pPr>
              <w:jc w:val="center"/>
              <w:rPr>
                <w:rFonts w:ascii="Times New Roman" w:hAnsi="Times New Roman"/>
                <w:sz w:val="20"/>
                <w:szCs w:val="20"/>
                <w:lang w:val="en-US"/>
              </w:rPr>
            </w:pPr>
            <w:r w:rsidRPr="00B00009">
              <w:rPr>
                <w:rFonts w:ascii="Times New Roman" w:hAnsi="Times New Roman"/>
                <w:sz w:val="20"/>
                <w:szCs w:val="20"/>
                <w:lang w:val="en-US"/>
              </w:rPr>
              <w:t>0%</w:t>
            </w:r>
          </w:p>
          <w:p w:rsidR="00C11A7C" w:rsidRPr="00BE7D87" w:rsidRDefault="00C11A7C" w:rsidP="00351524">
            <w:pPr>
              <w:jc w:val="center"/>
              <w:rPr>
                <w:rFonts w:ascii="Times New Roman" w:hAnsi="Times New Roman"/>
                <w:sz w:val="10"/>
                <w:szCs w:val="10"/>
                <w:lang w:val="en-US"/>
              </w:rPr>
            </w:pPr>
          </w:p>
        </w:tc>
      </w:tr>
    </w:tbl>
    <w:p w:rsidR="00C11A7C" w:rsidRDefault="00C11A7C" w:rsidP="00C11A7C">
      <w:pPr>
        <w:spacing w:line="240" w:lineRule="auto"/>
        <w:jc w:val="both"/>
        <w:rPr>
          <w:rFonts w:ascii="Times New Roman" w:hAnsi="Times New Roman"/>
          <w:sz w:val="20"/>
          <w:szCs w:val="20"/>
          <w:lang w:val="en-US"/>
        </w:rPr>
      </w:pPr>
      <w:r w:rsidRPr="002B0B74">
        <w:rPr>
          <w:rFonts w:ascii="Times New Roman" w:hAnsi="Times New Roman"/>
          <w:i/>
          <w:sz w:val="20"/>
          <w:szCs w:val="20"/>
          <w:lang w:val="en-US"/>
        </w:rPr>
        <w:t xml:space="preserve">Note. </w:t>
      </w:r>
      <w:r w:rsidRPr="002B0B74">
        <w:rPr>
          <w:rFonts w:ascii="Times New Roman" w:hAnsi="Times New Roman"/>
          <w:sz w:val="20"/>
          <w:szCs w:val="20"/>
          <w:lang w:val="en-US"/>
        </w:rPr>
        <w:t>The three groups “Child sexual abusers”, “Child sexual exploitation material offenders”, and “Individuals with both offense types” were created based on patients’ self-reports.  Due to small case numbers, differences in offender groups are only presented descriptively and no formal statistical comparisons were undertaken. Clinical diagnoses were based on ICD-10 and were clustered into the following categories: Organic, including symptomatic, mental disorders (F00-F09), Mental and behavioral disorders due to psychoactive substance use (F10-F19), Schizophrenia, schizotypal and delusional disorders (F20-F29), Affective disorders (F30-F39), Neurotic, stress-related and somatoform disorders (F40-F49), Behavioral syndromes associated with physiological disturbances and ph</w:t>
      </w:r>
      <w:r>
        <w:rPr>
          <w:rFonts w:ascii="Times New Roman" w:hAnsi="Times New Roman"/>
          <w:sz w:val="20"/>
          <w:szCs w:val="20"/>
          <w:lang w:val="en-US"/>
        </w:rPr>
        <w:t>ysical factors (F50-F59), Disor</w:t>
      </w:r>
      <w:r w:rsidRPr="002B0B74">
        <w:rPr>
          <w:rFonts w:ascii="Times New Roman" w:hAnsi="Times New Roman"/>
          <w:sz w:val="20"/>
          <w:szCs w:val="20"/>
          <w:lang w:val="en-US"/>
        </w:rPr>
        <w:t>ders of adult personality and behavior (F60-F69), Mental retardation (F70-F79), Disorders of psychological development (F80-F89), Behavioral and emotional disorders with onset usually occurring in childhood and adolescence (F90-F98), Unspecified mental disorder (F99). As percentage scores are rounded to the nearest whole percentage point, “No ICD-10 diagnose”, “One ICD-10 diagnose”, and “More than one ICD-10 diagnose” do not sum up to 100%</w:t>
      </w:r>
      <w:r>
        <w:rPr>
          <w:rFonts w:ascii="Times New Roman" w:hAnsi="Times New Roman"/>
          <w:sz w:val="20"/>
          <w:szCs w:val="20"/>
          <w:lang w:val="en-US"/>
        </w:rPr>
        <w:t xml:space="preserve"> for child sexual abusers and individuals with both offense types</w:t>
      </w:r>
      <w:r w:rsidRPr="002B0B74">
        <w:rPr>
          <w:rFonts w:ascii="Times New Roman" w:hAnsi="Times New Roman"/>
          <w:sz w:val="20"/>
          <w:szCs w:val="20"/>
          <w:lang w:val="en-US"/>
        </w:rPr>
        <w:t>.</w:t>
      </w:r>
    </w:p>
    <w:p w:rsidR="00C11A7C" w:rsidRPr="005F754E" w:rsidRDefault="00C11A7C" w:rsidP="00C11A7C">
      <w:pPr>
        <w:widowControl w:val="0"/>
        <w:autoSpaceDE w:val="0"/>
        <w:adjustRightInd w:val="0"/>
        <w:spacing w:line="240" w:lineRule="auto"/>
        <w:ind w:left="640" w:hanging="640"/>
        <w:rPr>
          <w:rFonts w:ascii="Times New Roman" w:hAnsi="Times New Roman"/>
          <w:noProof/>
          <w:sz w:val="20"/>
          <w:szCs w:val="24"/>
        </w:rPr>
      </w:pPr>
      <w:r>
        <w:rPr>
          <w:rFonts w:ascii="Times New Roman" w:hAnsi="Times New Roman"/>
          <w:sz w:val="20"/>
          <w:szCs w:val="20"/>
          <w:lang w:val="en-US"/>
        </w:rPr>
        <w:br w:type="page"/>
      </w:r>
      <w:r>
        <w:rPr>
          <w:rFonts w:ascii="Times New Roman" w:hAnsi="Times New Roman"/>
          <w:sz w:val="20"/>
          <w:szCs w:val="20"/>
          <w:lang w:val="en-US"/>
        </w:rPr>
        <w:lastRenderedPageBreak/>
        <w:fldChar w:fldCharType="begin" w:fldLock="1"/>
      </w:r>
      <w:r>
        <w:rPr>
          <w:rFonts w:ascii="Times New Roman" w:hAnsi="Times New Roman"/>
          <w:sz w:val="20"/>
          <w:szCs w:val="20"/>
          <w:lang w:val="en-US"/>
        </w:rPr>
        <w:instrText xml:space="preserve">ADDIN Mendeley Bibliography CSL_BIBLIOGRAPHY </w:instrText>
      </w:r>
      <w:r>
        <w:rPr>
          <w:rFonts w:ascii="Times New Roman" w:hAnsi="Times New Roman"/>
          <w:sz w:val="20"/>
          <w:szCs w:val="20"/>
          <w:lang w:val="en-US"/>
        </w:rPr>
        <w:fldChar w:fldCharType="separate"/>
      </w:r>
      <w:r w:rsidRPr="005F754E">
        <w:rPr>
          <w:rFonts w:ascii="Times New Roman" w:hAnsi="Times New Roman"/>
          <w:noProof/>
          <w:sz w:val="20"/>
          <w:szCs w:val="24"/>
        </w:rPr>
        <w:t xml:space="preserve">1. </w:t>
      </w:r>
      <w:r w:rsidRPr="005F754E">
        <w:rPr>
          <w:rFonts w:ascii="Times New Roman" w:hAnsi="Times New Roman"/>
          <w:noProof/>
          <w:sz w:val="20"/>
          <w:szCs w:val="24"/>
        </w:rPr>
        <w:tab/>
        <w:t xml:space="preserve">Petermann F ed. </w:t>
      </w:r>
      <w:r w:rsidRPr="005F754E">
        <w:rPr>
          <w:rFonts w:ascii="Times New Roman" w:hAnsi="Times New Roman"/>
          <w:i/>
          <w:iCs/>
          <w:noProof/>
          <w:sz w:val="20"/>
          <w:szCs w:val="24"/>
        </w:rPr>
        <w:t>WAIS-IV. Wechsler Adult Intelligence Scale – Fourth Edition.</w:t>
      </w:r>
      <w:r w:rsidRPr="005F754E">
        <w:rPr>
          <w:rFonts w:ascii="Times New Roman" w:hAnsi="Times New Roman"/>
          <w:noProof/>
          <w:sz w:val="20"/>
          <w:szCs w:val="24"/>
        </w:rPr>
        <w:t xml:space="preserve"> (2012).</w:t>
      </w:r>
    </w:p>
    <w:p w:rsidR="00C11A7C" w:rsidRPr="005F754E" w:rsidRDefault="00C11A7C" w:rsidP="00C11A7C">
      <w:pPr>
        <w:widowControl w:val="0"/>
        <w:autoSpaceDE w:val="0"/>
        <w:adjustRightInd w:val="0"/>
        <w:spacing w:line="240" w:lineRule="auto"/>
        <w:ind w:left="640" w:hanging="640"/>
        <w:rPr>
          <w:rFonts w:ascii="Times New Roman" w:hAnsi="Times New Roman"/>
          <w:noProof/>
          <w:sz w:val="20"/>
        </w:rPr>
      </w:pPr>
      <w:r w:rsidRPr="005F754E">
        <w:rPr>
          <w:rFonts w:ascii="Times New Roman" w:hAnsi="Times New Roman"/>
          <w:noProof/>
          <w:sz w:val="20"/>
          <w:szCs w:val="24"/>
        </w:rPr>
        <w:t xml:space="preserve">2. </w:t>
      </w:r>
      <w:r w:rsidRPr="005F754E">
        <w:rPr>
          <w:rFonts w:ascii="Times New Roman" w:hAnsi="Times New Roman"/>
          <w:noProof/>
          <w:sz w:val="20"/>
          <w:szCs w:val="24"/>
        </w:rPr>
        <w:tab/>
        <w:t xml:space="preserve">Aster M, Neubauer A, Horn R. Wechsler Intelligenztest für Erwachsene WIE. Deutschsprachige Bearbeitung und Adaption des WAIS-III von David Wechsler. </w:t>
      </w:r>
      <w:r w:rsidRPr="005F754E">
        <w:rPr>
          <w:rFonts w:ascii="Times New Roman" w:hAnsi="Times New Roman"/>
          <w:i/>
          <w:iCs/>
          <w:noProof/>
          <w:sz w:val="20"/>
          <w:szCs w:val="24"/>
        </w:rPr>
        <w:t>Frankfurt/Main, Ger Harcourt Test Serv</w:t>
      </w:r>
      <w:r w:rsidRPr="005F754E">
        <w:rPr>
          <w:rFonts w:ascii="Times New Roman" w:hAnsi="Times New Roman"/>
          <w:noProof/>
          <w:sz w:val="20"/>
          <w:szCs w:val="24"/>
        </w:rPr>
        <w:t xml:space="preserve"> (2006) doi:http://dx.doi.org/10.1038/srep18573</w:t>
      </w:r>
    </w:p>
    <w:p w:rsidR="00C11A7C" w:rsidRPr="00CE2663" w:rsidRDefault="00C11A7C" w:rsidP="00C11A7C">
      <w:pPr>
        <w:rPr>
          <w:rFonts w:ascii="Times New Roman" w:hAnsi="Times New Roman"/>
          <w:sz w:val="20"/>
          <w:szCs w:val="20"/>
          <w:lang w:val="en-US"/>
        </w:rPr>
      </w:pPr>
      <w:r>
        <w:rPr>
          <w:rFonts w:ascii="Times New Roman" w:hAnsi="Times New Roman"/>
          <w:sz w:val="20"/>
          <w:szCs w:val="20"/>
          <w:lang w:val="en-US"/>
        </w:rPr>
        <w:fldChar w:fldCharType="end"/>
      </w:r>
    </w:p>
    <w:p w:rsidR="00B41BB0" w:rsidRPr="00C11A7C" w:rsidRDefault="00B41BB0" w:rsidP="00C11A7C">
      <w:pPr>
        <w:spacing w:after="200" w:line="240" w:lineRule="auto"/>
        <w:jc w:val="both"/>
        <w:rPr>
          <w:rFonts w:ascii="Times New Roman" w:hAnsi="Times New Roman" w:cs="Times New Roman"/>
          <w:sz w:val="20"/>
          <w:szCs w:val="20"/>
        </w:rPr>
      </w:pPr>
      <w:bookmarkStart w:id="0" w:name="_GoBack"/>
      <w:bookmarkEnd w:id="0"/>
    </w:p>
    <w:sectPr w:rsidR="00B41BB0" w:rsidRPr="00C11A7C" w:rsidSect="00AC26B0">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A7C"/>
    <w:rsid w:val="00B41BB0"/>
    <w:rsid w:val="00C11A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90E03-41EE-4803-88A1-4F18C452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11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C11A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5063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dc:creator>
  <cp:keywords/>
  <dc:description/>
  <cp:lastModifiedBy>Isabel</cp:lastModifiedBy>
  <cp:revision>1</cp:revision>
  <dcterms:created xsi:type="dcterms:W3CDTF">2020-01-22T20:30:00Z</dcterms:created>
  <dcterms:modified xsi:type="dcterms:W3CDTF">2020-01-22T20:34:00Z</dcterms:modified>
</cp:coreProperties>
</file>