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E7774" w14:textId="77777777" w:rsidR="00EB53AA" w:rsidRPr="005B1FD3" w:rsidRDefault="00EB53AA" w:rsidP="005B1FD3">
      <w:pPr>
        <w:spacing w:after="0" w:line="480" w:lineRule="auto"/>
        <w:jc w:val="center"/>
        <w:rPr>
          <w:rFonts w:ascii="Times New Roman" w:eastAsia="Times New Roman" w:hAnsi="Times New Roman" w:cs="Times New Roman"/>
          <w:b/>
          <w:bCs/>
          <w:color w:val="2F5496" w:themeColor="accent1" w:themeShade="BF"/>
          <w:sz w:val="24"/>
          <w:szCs w:val="24"/>
          <w:lang w:val="en-US"/>
        </w:rPr>
      </w:pPr>
      <w:r w:rsidRPr="005B1FD3">
        <w:rPr>
          <w:rFonts w:ascii="Times New Roman" w:eastAsia="Times New Roman" w:hAnsi="Times New Roman" w:cs="Times New Roman"/>
          <w:b/>
          <w:bCs/>
          <w:color w:val="2F5496" w:themeColor="accent1" w:themeShade="BF"/>
          <w:sz w:val="24"/>
          <w:szCs w:val="24"/>
          <w:lang w:val="en-US"/>
        </w:rPr>
        <w:t>SUPPLEMENTARY INFORMATION</w:t>
      </w:r>
    </w:p>
    <w:p w14:paraId="530990AE" w14:textId="77777777" w:rsidR="005C6227" w:rsidRPr="00596414" w:rsidRDefault="005C6227" w:rsidP="005C6227">
      <w:pPr>
        <w:pStyle w:val="IWAPaperTitle"/>
        <w:spacing w:line="480" w:lineRule="auto"/>
        <w:jc w:val="both"/>
        <w:rPr>
          <w:rFonts w:ascii="Times New Roman" w:hAnsi="Times New Roman" w:cs="Times New Roman"/>
          <w:sz w:val="24"/>
          <w:szCs w:val="24"/>
          <w:lang w:val="en-US"/>
        </w:rPr>
      </w:pPr>
      <w:r w:rsidRPr="00596414">
        <w:rPr>
          <w:rFonts w:ascii="Times New Roman" w:hAnsi="Times New Roman" w:cs="Times New Roman"/>
          <w:sz w:val="24"/>
          <w:szCs w:val="24"/>
          <w:lang w:val="en-US"/>
        </w:rPr>
        <w:t>Anaerobic digestion of fruit waste mixed with sewage sludge digestate biochar: Influence on biomethane production</w:t>
      </w:r>
    </w:p>
    <w:p w14:paraId="310040A6" w14:textId="77777777" w:rsidR="005C6227" w:rsidRPr="00596414" w:rsidRDefault="005C6227" w:rsidP="005C6227">
      <w:pPr>
        <w:spacing w:after="0" w:line="480" w:lineRule="auto"/>
        <w:rPr>
          <w:rFonts w:ascii="Times New Roman" w:hAnsi="Times New Roman" w:cs="Times New Roman"/>
          <w:bCs/>
          <w:color w:val="000000" w:themeColor="text1"/>
          <w:sz w:val="24"/>
          <w:szCs w:val="24"/>
          <w:lang w:val="en-US"/>
        </w:rPr>
      </w:pPr>
      <w:r w:rsidRPr="00596414">
        <w:rPr>
          <w:rFonts w:ascii="Times New Roman" w:hAnsi="Times New Roman" w:cs="Times New Roman"/>
          <w:bCs/>
          <w:color w:val="000000" w:themeColor="text1"/>
          <w:sz w:val="24"/>
          <w:szCs w:val="24"/>
          <w:lang w:val="en-US"/>
        </w:rPr>
        <w:t>Teklit Gebregiorgis Ambaye</w:t>
      </w:r>
      <w:r w:rsidRPr="00C30C42">
        <w:rPr>
          <w:rFonts w:ascii="Times New Roman" w:hAnsi="Times New Roman" w:cs="Times New Roman"/>
          <w:bCs/>
          <w:color w:val="000000" w:themeColor="text1"/>
          <w:sz w:val="24"/>
          <w:szCs w:val="24"/>
          <w:vertAlign w:val="superscript"/>
          <w:lang w:val="en-US"/>
        </w:rPr>
        <w:t>a</w:t>
      </w:r>
      <w:r>
        <w:rPr>
          <w:rFonts w:ascii="Times New Roman" w:hAnsi="Times New Roman" w:cs="Times New Roman"/>
          <w:bCs/>
          <w:color w:val="000000" w:themeColor="text1"/>
          <w:sz w:val="24"/>
          <w:szCs w:val="24"/>
          <w:vertAlign w:val="superscript"/>
          <w:lang w:val="en-US"/>
        </w:rPr>
        <w:t>,</w:t>
      </w:r>
      <w:r w:rsidRPr="00596414">
        <w:rPr>
          <w:rFonts w:ascii="Times New Roman" w:hAnsi="Times New Roman" w:cs="Times New Roman"/>
          <w:bCs/>
          <w:color w:val="000000" w:themeColor="text1"/>
          <w:sz w:val="24"/>
          <w:szCs w:val="24"/>
          <w:vertAlign w:val="superscript"/>
          <w:lang w:val="en-US"/>
        </w:rPr>
        <w:t>b</w:t>
      </w:r>
      <w:r>
        <w:rPr>
          <w:rFonts w:ascii="Times New Roman" w:hAnsi="Times New Roman" w:cs="Times New Roman"/>
          <w:bCs/>
          <w:color w:val="000000" w:themeColor="text1"/>
          <w:sz w:val="24"/>
          <w:szCs w:val="24"/>
          <w:vertAlign w:val="superscript"/>
          <w:lang w:val="en-US"/>
        </w:rPr>
        <w:t>,c</w:t>
      </w:r>
      <w:r w:rsidRPr="00596414">
        <w:rPr>
          <w:rFonts w:ascii="Times New Roman" w:hAnsi="Times New Roman" w:cs="Times New Roman"/>
          <w:bCs/>
          <w:color w:val="000000" w:themeColor="text1"/>
          <w:sz w:val="24"/>
          <w:szCs w:val="24"/>
          <w:vertAlign w:val="superscript"/>
          <w:lang w:val="en-US"/>
        </w:rPr>
        <w:t>*</w:t>
      </w:r>
      <w:r w:rsidRPr="00596414">
        <w:rPr>
          <w:rFonts w:ascii="Times New Roman" w:hAnsi="Times New Roman" w:cs="Times New Roman"/>
          <w:bCs/>
          <w:color w:val="000000" w:themeColor="text1"/>
          <w:sz w:val="24"/>
          <w:szCs w:val="24"/>
          <w:lang w:val="en-US"/>
        </w:rPr>
        <w:t>, Eldon R. Rene</w:t>
      </w:r>
      <w:r w:rsidRPr="00596414">
        <w:rPr>
          <w:rFonts w:ascii="Times New Roman" w:hAnsi="Times New Roman" w:cs="Times New Roman"/>
          <w:bCs/>
          <w:color w:val="000000" w:themeColor="text1"/>
          <w:sz w:val="24"/>
          <w:szCs w:val="24"/>
          <w:vertAlign w:val="superscript"/>
          <w:lang w:val="en-US"/>
        </w:rPr>
        <w:t>a</w:t>
      </w:r>
      <w:r>
        <w:rPr>
          <w:rFonts w:ascii="Times New Roman" w:hAnsi="Times New Roman" w:cs="Times New Roman"/>
          <w:bCs/>
          <w:color w:val="000000" w:themeColor="text1"/>
          <w:sz w:val="24"/>
          <w:szCs w:val="24"/>
          <w:vertAlign w:val="superscript"/>
          <w:lang w:val="en-US"/>
        </w:rPr>
        <w:t>, *</w:t>
      </w:r>
      <w:r w:rsidRPr="00596414">
        <w:rPr>
          <w:rFonts w:ascii="Times New Roman" w:hAnsi="Times New Roman" w:cs="Times New Roman"/>
          <w:bCs/>
          <w:color w:val="000000" w:themeColor="text1"/>
          <w:sz w:val="24"/>
          <w:szCs w:val="24"/>
          <w:lang w:val="en-US"/>
        </w:rPr>
        <w:t>, Capucine Dupont</w:t>
      </w:r>
      <w:r w:rsidRPr="00596414">
        <w:rPr>
          <w:rFonts w:ascii="Times New Roman" w:hAnsi="Times New Roman" w:cs="Times New Roman"/>
          <w:bCs/>
          <w:color w:val="000000" w:themeColor="text1"/>
          <w:sz w:val="24"/>
          <w:szCs w:val="24"/>
          <w:vertAlign w:val="superscript"/>
          <w:lang w:val="en-US"/>
        </w:rPr>
        <w:t>a</w:t>
      </w:r>
      <w:r w:rsidRPr="00596414">
        <w:rPr>
          <w:rFonts w:ascii="Times New Roman" w:hAnsi="Times New Roman" w:cs="Times New Roman"/>
          <w:bCs/>
          <w:color w:val="000000" w:themeColor="text1"/>
          <w:sz w:val="24"/>
          <w:szCs w:val="24"/>
          <w:lang w:val="en-US"/>
        </w:rPr>
        <w:t xml:space="preserve">, </w:t>
      </w:r>
      <w:r>
        <w:rPr>
          <w:rFonts w:ascii="Times New Roman" w:hAnsi="Times New Roman" w:cs="Times New Roman"/>
          <w:bCs/>
          <w:color w:val="000000" w:themeColor="text1"/>
          <w:sz w:val="24"/>
          <w:szCs w:val="24"/>
          <w:lang w:val="en-US"/>
        </w:rPr>
        <w:t>Suchanya Wongrod</w:t>
      </w:r>
      <w:r w:rsidRPr="00596414">
        <w:rPr>
          <w:rFonts w:ascii="Times New Roman" w:hAnsi="Times New Roman" w:cs="Times New Roman"/>
          <w:bCs/>
          <w:color w:val="000000" w:themeColor="text1"/>
          <w:sz w:val="24"/>
          <w:szCs w:val="24"/>
          <w:vertAlign w:val="superscript"/>
          <w:lang w:val="en-US"/>
        </w:rPr>
        <w:t>a</w:t>
      </w:r>
      <w:r>
        <w:rPr>
          <w:rFonts w:ascii="Times New Roman" w:hAnsi="Times New Roman" w:cs="Times New Roman"/>
          <w:bCs/>
          <w:color w:val="000000" w:themeColor="text1"/>
          <w:sz w:val="24"/>
          <w:szCs w:val="24"/>
          <w:lang w:val="en-US"/>
        </w:rPr>
        <w:t xml:space="preserve">, </w:t>
      </w:r>
      <w:r w:rsidRPr="00596414">
        <w:rPr>
          <w:rFonts w:ascii="Times New Roman" w:hAnsi="Times New Roman" w:cs="Times New Roman"/>
          <w:bCs/>
          <w:color w:val="000000" w:themeColor="text1"/>
          <w:sz w:val="24"/>
          <w:szCs w:val="24"/>
          <w:lang w:val="en-US"/>
        </w:rPr>
        <w:t>and Eric D. van Hullebusch</w:t>
      </w:r>
      <w:r w:rsidRPr="00596414">
        <w:rPr>
          <w:rFonts w:ascii="Times New Roman" w:hAnsi="Times New Roman" w:cs="Times New Roman"/>
          <w:bCs/>
          <w:color w:val="000000" w:themeColor="text1"/>
          <w:sz w:val="24"/>
          <w:szCs w:val="24"/>
          <w:vertAlign w:val="superscript"/>
          <w:lang w:val="en-US"/>
        </w:rPr>
        <w:t>a,</w:t>
      </w:r>
      <w:r>
        <w:rPr>
          <w:rFonts w:ascii="Times New Roman" w:hAnsi="Times New Roman" w:cs="Times New Roman"/>
          <w:bCs/>
          <w:color w:val="000000" w:themeColor="text1"/>
          <w:sz w:val="24"/>
          <w:szCs w:val="24"/>
          <w:vertAlign w:val="superscript"/>
          <w:lang w:val="en-US"/>
        </w:rPr>
        <w:t>d</w:t>
      </w:r>
    </w:p>
    <w:p w14:paraId="71BCE72F" w14:textId="77777777" w:rsidR="005C6227" w:rsidRDefault="005C6227" w:rsidP="005C6227">
      <w:pPr>
        <w:spacing w:after="0" w:line="480" w:lineRule="auto"/>
        <w:rPr>
          <w:rFonts w:ascii="Times New Roman" w:hAnsi="Times New Roman" w:cs="Times New Roman"/>
          <w:bCs/>
          <w:color w:val="000000" w:themeColor="text1"/>
          <w:sz w:val="24"/>
          <w:szCs w:val="24"/>
          <w:lang w:val="en-US"/>
        </w:rPr>
      </w:pPr>
      <w:r w:rsidRPr="00596414">
        <w:rPr>
          <w:rFonts w:ascii="Times New Roman" w:hAnsi="Times New Roman" w:cs="Times New Roman"/>
          <w:bCs/>
          <w:color w:val="000000" w:themeColor="text1"/>
          <w:sz w:val="24"/>
          <w:szCs w:val="24"/>
          <w:vertAlign w:val="superscript"/>
          <w:lang w:val="en-US"/>
        </w:rPr>
        <w:t xml:space="preserve">a </w:t>
      </w:r>
      <w:r w:rsidRPr="00596414">
        <w:rPr>
          <w:rFonts w:ascii="Times New Roman" w:hAnsi="Times New Roman" w:cs="Times New Roman"/>
          <w:bCs/>
          <w:color w:val="000000" w:themeColor="text1"/>
          <w:sz w:val="24"/>
          <w:szCs w:val="24"/>
          <w:lang w:val="en-US"/>
        </w:rPr>
        <w:t>IHE Delft Institute for Water Education, P. O. Box 3015, 2601 DA Delft, The Netherlands</w:t>
      </w:r>
    </w:p>
    <w:p w14:paraId="76FDEFD4" w14:textId="77777777" w:rsidR="005C6227" w:rsidRPr="00596414" w:rsidRDefault="005C6227" w:rsidP="005C6227">
      <w:pPr>
        <w:spacing w:after="0" w:line="480" w:lineRule="auto"/>
        <w:rPr>
          <w:rFonts w:ascii="Times New Roman" w:hAnsi="Times New Roman" w:cs="Times New Roman"/>
          <w:bCs/>
          <w:color w:val="000000" w:themeColor="text1"/>
          <w:sz w:val="24"/>
          <w:szCs w:val="24"/>
          <w:lang w:val="en-US"/>
        </w:rPr>
      </w:pPr>
      <w:r w:rsidRPr="00C30C42">
        <w:rPr>
          <w:rFonts w:ascii="Times New Roman" w:hAnsi="Times New Roman" w:cs="Times New Roman"/>
          <w:bCs/>
          <w:color w:val="000000" w:themeColor="text1"/>
          <w:sz w:val="24"/>
          <w:szCs w:val="24"/>
          <w:vertAlign w:val="superscript"/>
          <w:lang w:val="en-US"/>
        </w:rPr>
        <w:t>b</w:t>
      </w:r>
      <w:r w:rsidRPr="00C30C42">
        <w:rPr>
          <w:rFonts w:ascii="Times New Roman" w:hAnsi="Times New Roman" w:cs="Times New Roman"/>
          <w:bCs/>
          <w:color w:val="000000" w:themeColor="text1"/>
          <w:sz w:val="24"/>
          <w:szCs w:val="24"/>
          <w:lang w:val="en-US"/>
        </w:rPr>
        <w:t>Department of Civil, Environmental, Architectural Engineering and Mathematics, University of Brescia, Via Branze 43, 25123 Brescia, Italy</w:t>
      </w:r>
    </w:p>
    <w:p w14:paraId="06E69EAA" w14:textId="77777777" w:rsidR="005C6227" w:rsidRPr="00596414" w:rsidRDefault="005C6227" w:rsidP="005C6227">
      <w:pPr>
        <w:spacing w:after="0" w:line="480" w:lineRule="auto"/>
        <w:rPr>
          <w:rFonts w:ascii="Times New Roman" w:hAnsi="Times New Roman" w:cs="Times New Roman"/>
          <w:bCs/>
          <w:color w:val="000000" w:themeColor="text1"/>
          <w:sz w:val="24"/>
          <w:szCs w:val="24"/>
          <w:lang w:val="en-US"/>
        </w:rPr>
      </w:pPr>
      <w:r>
        <w:rPr>
          <w:rFonts w:ascii="Times New Roman" w:hAnsi="Times New Roman" w:cs="Times New Roman"/>
          <w:bCs/>
          <w:color w:val="000000" w:themeColor="text1"/>
          <w:sz w:val="24"/>
          <w:szCs w:val="24"/>
          <w:vertAlign w:val="superscript"/>
          <w:lang w:val="en-US"/>
        </w:rPr>
        <w:t>c</w:t>
      </w:r>
      <w:r w:rsidRPr="00596414">
        <w:rPr>
          <w:rFonts w:ascii="Times New Roman" w:hAnsi="Times New Roman" w:cs="Times New Roman"/>
          <w:bCs/>
          <w:color w:val="000000" w:themeColor="text1"/>
          <w:sz w:val="24"/>
          <w:szCs w:val="24"/>
          <w:vertAlign w:val="superscript"/>
          <w:lang w:val="en-US"/>
        </w:rPr>
        <w:t xml:space="preserve"> </w:t>
      </w:r>
      <w:r w:rsidRPr="00596414">
        <w:rPr>
          <w:rFonts w:ascii="Times New Roman" w:hAnsi="Times New Roman" w:cs="Times New Roman"/>
          <w:bCs/>
          <w:color w:val="000000" w:themeColor="text1"/>
          <w:sz w:val="24"/>
          <w:szCs w:val="24"/>
          <w:lang w:val="en-US"/>
        </w:rPr>
        <w:t>Mekelle University, Department of Chemistry, P. O. Box 231 Mekelle, Ethiopia</w:t>
      </w:r>
    </w:p>
    <w:p w14:paraId="5861A2F8" w14:textId="77777777" w:rsidR="005C6227" w:rsidRPr="00596414" w:rsidRDefault="005C6227" w:rsidP="005C6227">
      <w:pPr>
        <w:spacing w:after="0" w:line="480" w:lineRule="auto"/>
        <w:rPr>
          <w:rFonts w:ascii="Times New Roman" w:eastAsia="Times New Roman" w:hAnsi="Times New Roman" w:cs="Times New Roman"/>
          <w:sz w:val="24"/>
          <w:szCs w:val="24"/>
          <w:lang w:val="en-US" w:eastAsia="fr-FR"/>
        </w:rPr>
      </w:pPr>
      <w:r>
        <w:rPr>
          <w:rFonts w:ascii="Times New Roman" w:hAnsi="Times New Roman" w:cs="Times New Roman"/>
          <w:bCs/>
          <w:color w:val="000000" w:themeColor="text1"/>
          <w:sz w:val="24"/>
          <w:szCs w:val="24"/>
          <w:vertAlign w:val="superscript"/>
          <w:lang w:val="en-US"/>
        </w:rPr>
        <w:t>d</w:t>
      </w:r>
      <w:r w:rsidRPr="00596414">
        <w:rPr>
          <w:rFonts w:ascii="Times New Roman" w:hAnsi="Times New Roman" w:cs="Times New Roman"/>
          <w:bCs/>
          <w:color w:val="000000" w:themeColor="text1"/>
          <w:sz w:val="24"/>
          <w:szCs w:val="24"/>
          <w:vertAlign w:val="superscript"/>
          <w:lang w:val="en-US"/>
        </w:rPr>
        <w:t xml:space="preserve"> </w:t>
      </w:r>
      <w:r w:rsidRPr="00596414">
        <w:rPr>
          <w:rFonts w:ascii="Times New Roman" w:eastAsia="Times New Roman" w:hAnsi="Times New Roman" w:cs="Times New Roman"/>
          <w:sz w:val="24"/>
          <w:szCs w:val="24"/>
          <w:lang w:val="en-US" w:eastAsia="fr-FR"/>
        </w:rPr>
        <w:t>Université de Paris, Institut de Physique du Globe de Paris, CNRS, UMR 7154, F-75238 Paris, France</w:t>
      </w:r>
    </w:p>
    <w:p w14:paraId="34B5DB50" w14:textId="77777777" w:rsidR="00EB53AA" w:rsidRPr="00EB53AA" w:rsidRDefault="00EB53AA" w:rsidP="00EB53AA">
      <w:pPr>
        <w:spacing w:after="0" w:line="480" w:lineRule="auto"/>
        <w:rPr>
          <w:rFonts w:ascii="Times New Roman" w:eastAsia="Calibri" w:hAnsi="Times New Roman" w:cs="Times New Roman"/>
          <w:bCs/>
          <w:color w:val="000000"/>
          <w:sz w:val="24"/>
          <w:szCs w:val="24"/>
          <w:lang w:val="en-US"/>
        </w:rPr>
      </w:pPr>
    </w:p>
    <w:p w14:paraId="3FAB5006" w14:textId="77777777" w:rsidR="00EB53AA" w:rsidRPr="00EB53AA" w:rsidRDefault="00EB53AA" w:rsidP="00EB53AA">
      <w:pPr>
        <w:spacing w:after="0" w:line="480" w:lineRule="auto"/>
        <w:rPr>
          <w:rFonts w:ascii="Times New Roman" w:eastAsia="Calibri" w:hAnsi="Times New Roman" w:cs="Times New Roman"/>
          <w:bCs/>
          <w:color w:val="000000"/>
          <w:sz w:val="24"/>
          <w:szCs w:val="24"/>
          <w:lang w:val="en-US"/>
        </w:rPr>
      </w:pPr>
    </w:p>
    <w:p w14:paraId="2A29C65B" w14:textId="77777777" w:rsidR="00EB53AA" w:rsidRPr="00EB53AA" w:rsidRDefault="00EB53AA" w:rsidP="00EB53AA">
      <w:pPr>
        <w:spacing w:after="0" w:line="480" w:lineRule="auto"/>
        <w:rPr>
          <w:rFonts w:ascii="Times New Roman" w:eastAsia="Calibri" w:hAnsi="Times New Roman" w:cs="Times New Roman"/>
          <w:bCs/>
          <w:color w:val="000000"/>
          <w:sz w:val="24"/>
          <w:szCs w:val="24"/>
          <w:lang w:val="en-US"/>
        </w:rPr>
      </w:pPr>
    </w:p>
    <w:p w14:paraId="1FAB522C" w14:textId="77777777" w:rsidR="00EB53AA" w:rsidRPr="00EB53AA" w:rsidRDefault="00EB53AA" w:rsidP="00EB53AA">
      <w:pPr>
        <w:spacing w:after="0" w:line="480" w:lineRule="auto"/>
        <w:rPr>
          <w:rFonts w:ascii="Times New Roman" w:eastAsia="Calibri" w:hAnsi="Times New Roman" w:cs="Times New Roman"/>
          <w:bCs/>
          <w:color w:val="000000"/>
          <w:sz w:val="24"/>
          <w:szCs w:val="24"/>
          <w:lang w:val="en-US"/>
        </w:rPr>
      </w:pPr>
    </w:p>
    <w:p w14:paraId="0A7C35E8" w14:textId="77777777" w:rsidR="00EB53AA" w:rsidRPr="00EB53AA" w:rsidRDefault="00EB53AA" w:rsidP="00EB53AA">
      <w:pPr>
        <w:spacing w:after="0" w:line="480" w:lineRule="auto"/>
        <w:rPr>
          <w:rFonts w:ascii="Times New Roman" w:eastAsia="Calibri" w:hAnsi="Times New Roman" w:cs="Times New Roman"/>
          <w:bCs/>
          <w:color w:val="000000"/>
          <w:sz w:val="24"/>
          <w:szCs w:val="24"/>
          <w:lang w:val="en-US"/>
        </w:rPr>
      </w:pPr>
    </w:p>
    <w:p w14:paraId="5A2CC98A" w14:textId="77777777" w:rsidR="00EB53AA" w:rsidRPr="00EB53AA" w:rsidRDefault="00EB53AA" w:rsidP="00EB53AA">
      <w:pPr>
        <w:spacing w:after="0" w:line="480" w:lineRule="auto"/>
        <w:rPr>
          <w:rFonts w:ascii="Times New Roman" w:eastAsia="Calibri" w:hAnsi="Times New Roman" w:cs="Times New Roman"/>
          <w:bCs/>
          <w:color w:val="000000"/>
          <w:sz w:val="24"/>
          <w:szCs w:val="24"/>
          <w:lang w:val="en-US"/>
        </w:rPr>
      </w:pPr>
    </w:p>
    <w:p w14:paraId="033C9F2F" w14:textId="77777777" w:rsidR="00EB53AA" w:rsidRPr="00EB53AA" w:rsidRDefault="00EB53AA" w:rsidP="00EB53AA">
      <w:pPr>
        <w:spacing w:after="0" w:line="480" w:lineRule="auto"/>
        <w:rPr>
          <w:rFonts w:ascii="Times New Roman" w:eastAsia="Calibri" w:hAnsi="Times New Roman" w:cs="Times New Roman"/>
          <w:bCs/>
          <w:color w:val="000000"/>
          <w:sz w:val="24"/>
          <w:szCs w:val="24"/>
          <w:vertAlign w:val="superscript"/>
          <w:lang w:val="en-US"/>
        </w:rPr>
      </w:pPr>
    </w:p>
    <w:p w14:paraId="47B37EB4" w14:textId="77777777" w:rsidR="00EB53AA" w:rsidRPr="00EB53AA" w:rsidRDefault="00EB53AA" w:rsidP="00EB53AA">
      <w:pPr>
        <w:spacing w:after="0" w:line="480" w:lineRule="auto"/>
        <w:rPr>
          <w:rFonts w:ascii="Times New Roman" w:eastAsia="Calibri" w:hAnsi="Times New Roman" w:cs="Times New Roman"/>
          <w:bCs/>
          <w:color w:val="000000"/>
          <w:sz w:val="24"/>
          <w:szCs w:val="24"/>
          <w:vertAlign w:val="superscript"/>
          <w:lang w:val="en-US"/>
        </w:rPr>
      </w:pPr>
    </w:p>
    <w:p w14:paraId="4C1094D0" w14:textId="77777777" w:rsidR="00EB53AA" w:rsidRPr="00EB53AA" w:rsidRDefault="00EB53AA" w:rsidP="00EB53AA">
      <w:pPr>
        <w:spacing w:after="0" w:line="480" w:lineRule="auto"/>
        <w:rPr>
          <w:rFonts w:ascii="Times New Roman" w:eastAsia="Calibri" w:hAnsi="Times New Roman" w:cs="Times New Roman"/>
          <w:bCs/>
          <w:color w:val="000000"/>
          <w:sz w:val="24"/>
          <w:szCs w:val="24"/>
          <w:vertAlign w:val="superscript"/>
          <w:lang w:val="en-US"/>
        </w:rPr>
      </w:pPr>
    </w:p>
    <w:p w14:paraId="3329BCBD" w14:textId="77777777" w:rsidR="00EB53AA" w:rsidRPr="00EB53AA" w:rsidRDefault="00EB53AA" w:rsidP="00EB53AA">
      <w:pPr>
        <w:spacing w:after="0" w:line="480" w:lineRule="auto"/>
        <w:rPr>
          <w:rFonts w:ascii="Times New Roman" w:eastAsia="Calibri" w:hAnsi="Times New Roman" w:cs="Times New Roman"/>
          <w:bCs/>
          <w:color w:val="000000"/>
          <w:sz w:val="24"/>
          <w:szCs w:val="24"/>
          <w:vertAlign w:val="superscript"/>
          <w:lang w:val="en-US"/>
        </w:rPr>
      </w:pPr>
    </w:p>
    <w:p w14:paraId="633A7BF2" w14:textId="77777777" w:rsidR="00EB53AA" w:rsidRPr="00EB53AA" w:rsidRDefault="00EB53AA" w:rsidP="00EB53AA">
      <w:pPr>
        <w:spacing w:after="0" w:line="480" w:lineRule="auto"/>
        <w:rPr>
          <w:rFonts w:ascii="Times New Roman" w:eastAsia="Calibri" w:hAnsi="Times New Roman" w:cs="Times New Roman"/>
          <w:bCs/>
          <w:color w:val="000000"/>
          <w:sz w:val="24"/>
          <w:szCs w:val="24"/>
          <w:vertAlign w:val="superscript"/>
          <w:lang w:val="en-US"/>
        </w:rPr>
      </w:pPr>
    </w:p>
    <w:p w14:paraId="55B1D239" w14:textId="77777777" w:rsidR="00EB53AA" w:rsidRPr="00EB53AA" w:rsidRDefault="00EB53AA" w:rsidP="00EB53AA">
      <w:pPr>
        <w:spacing w:after="0" w:line="480" w:lineRule="auto"/>
        <w:rPr>
          <w:rFonts w:ascii="Times New Roman" w:eastAsia="Calibri" w:hAnsi="Times New Roman" w:cs="Times New Roman"/>
          <w:bCs/>
          <w:color w:val="000000"/>
          <w:sz w:val="24"/>
          <w:szCs w:val="24"/>
          <w:vertAlign w:val="superscript"/>
          <w:lang w:val="en-US"/>
        </w:rPr>
      </w:pPr>
    </w:p>
    <w:p w14:paraId="21DAB059" w14:textId="77777777" w:rsidR="00EB53AA" w:rsidRPr="00EB53AA" w:rsidRDefault="00EB53AA" w:rsidP="00EB53AA">
      <w:pPr>
        <w:spacing w:after="0" w:line="480" w:lineRule="auto"/>
        <w:rPr>
          <w:rFonts w:ascii="Times New Roman" w:eastAsia="Calibri" w:hAnsi="Times New Roman" w:cs="Times New Roman"/>
          <w:bCs/>
          <w:color w:val="000000"/>
          <w:sz w:val="24"/>
          <w:szCs w:val="24"/>
          <w:lang w:val="en-US"/>
        </w:rPr>
      </w:pPr>
      <w:r w:rsidRPr="00EB53AA">
        <w:rPr>
          <w:rFonts w:ascii="Times New Roman" w:eastAsia="Calibri" w:hAnsi="Times New Roman" w:cs="Times New Roman"/>
          <w:bCs/>
          <w:color w:val="000000"/>
          <w:sz w:val="24"/>
          <w:szCs w:val="24"/>
          <w:vertAlign w:val="superscript"/>
          <w:lang w:val="en-US"/>
        </w:rPr>
        <w:t>*</w:t>
      </w:r>
      <w:r w:rsidRPr="00EB53AA">
        <w:rPr>
          <w:rFonts w:ascii="Times New Roman" w:eastAsia="Calibri" w:hAnsi="Times New Roman" w:cs="Times New Roman"/>
          <w:b/>
          <w:bCs/>
          <w:color w:val="000000"/>
          <w:sz w:val="24"/>
          <w:szCs w:val="24"/>
          <w:lang w:val="en-US"/>
        </w:rPr>
        <w:t>Corresponding authors</w:t>
      </w:r>
      <w:r w:rsidRPr="00EB53AA">
        <w:rPr>
          <w:rFonts w:ascii="Times New Roman" w:eastAsia="Calibri" w:hAnsi="Times New Roman" w:cs="Times New Roman"/>
          <w:bCs/>
          <w:color w:val="000000"/>
          <w:sz w:val="24"/>
          <w:szCs w:val="24"/>
          <w:lang w:val="en-US"/>
        </w:rPr>
        <w:t xml:space="preserve"> </w:t>
      </w:r>
    </w:p>
    <w:p w14:paraId="5DABFF6D" w14:textId="77777777" w:rsidR="00EB53AA" w:rsidRPr="00EB53AA" w:rsidRDefault="00EB53AA" w:rsidP="00EB53AA">
      <w:pPr>
        <w:spacing w:after="0" w:line="480" w:lineRule="auto"/>
        <w:rPr>
          <w:rFonts w:ascii="Times New Roman" w:eastAsia="Calibri" w:hAnsi="Times New Roman" w:cs="Times New Roman"/>
          <w:bCs/>
          <w:color w:val="000000"/>
          <w:sz w:val="24"/>
          <w:szCs w:val="24"/>
          <w:lang w:val="en-US"/>
        </w:rPr>
      </w:pPr>
      <w:r w:rsidRPr="00EB53AA">
        <w:rPr>
          <w:rFonts w:ascii="Times New Roman" w:eastAsia="Calibri" w:hAnsi="Times New Roman" w:cs="Times New Roman"/>
          <w:bCs/>
          <w:color w:val="000000"/>
          <w:sz w:val="24"/>
          <w:szCs w:val="24"/>
          <w:lang w:val="en-US"/>
        </w:rPr>
        <w:t>Teklit Gebregiorgis Ambaye (</w:t>
      </w:r>
      <w:hyperlink r:id="rId7" w:history="1">
        <w:r w:rsidRPr="00EB53AA">
          <w:rPr>
            <w:rFonts w:ascii="Times New Roman" w:eastAsia="Calibri" w:hAnsi="Times New Roman" w:cs="Times New Roman"/>
            <w:bCs/>
            <w:color w:val="000000"/>
            <w:sz w:val="24"/>
            <w:szCs w:val="24"/>
            <w:lang w:val="en-US"/>
          </w:rPr>
          <w:t>teklitgeb@gmail.com</w:t>
        </w:r>
      </w:hyperlink>
      <w:r w:rsidRPr="00EB53AA">
        <w:rPr>
          <w:rFonts w:ascii="Times New Roman" w:eastAsia="Calibri" w:hAnsi="Times New Roman" w:cs="Times New Roman"/>
          <w:bCs/>
          <w:color w:val="000000"/>
          <w:sz w:val="24"/>
          <w:szCs w:val="24"/>
          <w:lang w:val="en-US"/>
        </w:rPr>
        <w:t>) and Eldon R. Rene (</w:t>
      </w:r>
      <w:hyperlink r:id="rId8" w:history="1">
        <w:r w:rsidRPr="00EB53AA">
          <w:rPr>
            <w:rFonts w:ascii="Times New Roman" w:eastAsia="Calibri" w:hAnsi="Times New Roman" w:cs="Times New Roman"/>
            <w:bCs/>
            <w:color w:val="000000"/>
            <w:sz w:val="24"/>
            <w:szCs w:val="24"/>
            <w:lang w:val="en-US"/>
          </w:rPr>
          <w:t>e.raj@un-ihe.org</w:t>
        </w:r>
      </w:hyperlink>
      <w:r w:rsidRPr="00EB53AA">
        <w:rPr>
          <w:rFonts w:ascii="Times New Roman" w:eastAsia="Calibri" w:hAnsi="Times New Roman" w:cs="Times New Roman"/>
          <w:bCs/>
          <w:color w:val="000000"/>
          <w:sz w:val="24"/>
          <w:szCs w:val="24"/>
          <w:lang w:val="en-US"/>
        </w:rPr>
        <w:t>)</w:t>
      </w:r>
    </w:p>
    <w:p w14:paraId="2A72E22C" w14:textId="77777777" w:rsidR="00EB53AA" w:rsidRPr="00EB53AA" w:rsidRDefault="005C6227" w:rsidP="00EB53AA">
      <w:pPr>
        <w:spacing w:after="0" w:line="480" w:lineRule="auto"/>
        <w:jc w:val="both"/>
        <w:rPr>
          <w:rFonts w:ascii="Times New Roman" w:eastAsia="Calibri" w:hAnsi="Times New Roman" w:cs="Times New Roman"/>
          <w:b/>
          <w:iCs/>
          <w:sz w:val="24"/>
          <w:szCs w:val="24"/>
          <w:lang w:val="en-US"/>
        </w:rPr>
      </w:pPr>
      <w:r>
        <w:rPr>
          <w:rFonts w:ascii="Times New Roman" w:eastAsia="Calibri" w:hAnsi="Times New Roman" w:cs="Times New Roman"/>
          <w:b/>
          <w:iCs/>
          <w:sz w:val="24"/>
          <w:szCs w:val="24"/>
          <w:lang w:val="en-US"/>
        </w:rPr>
        <w:lastRenderedPageBreak/>
        <w:t>Introduction to the feedstock</w:t>
      </w:r>
    </w:p>
    <w:p w14:paraId="145B8934" w14:textId="77777777" w:rsidR="00EB53AA" w:rsidRPr="00EB53AA" w:rsidRDefault="00EB53AA" w:rsidP="00EB53AA">
      <w:pPr>
        <w:spacing w:after="0" w:line="480" w:lineRule="auto"/>
        <w:jc w:val="both"/>
        <w:rPr>
          <w:rFonts w:ascii="Times New Roman" w:eastAsia="Calibri" w:hAnsi="Times New Roman" w:cs="Times New Roman"/>
          <w:sz w:val="24"/>
          <w:szCs w:val="24"/>
          <w:lang w:val="en-US"/>
        </w:rPr>
      </w:pPr>
      <w:r w:rsidRPr="00EB53AA">
        <w:rPr>
          <w:rFonts w:ascii="Times New Roman" w:eastAsia="Calibri" w:hAnsi="Times New Roman" w:cs="Times New Roman"/>
          <w:sz w:val="24"/>
          <w:szCs w:val="24"/>
          <w:lang w:val="en-US"/>
        </w:rPr>
        <w:t xml:space="preserve">Biomass that contain carbohydrates, proteins, fats, cellulose or hemicelluloses can be treated by anaerobic digestion (Weiland, 2010). The time and rate of the degradation depends on the composition of the substrate (Deublein and Steinhauser, </w:t>
      </w:r>
      <w:r w:rsidR="005C6227">
        <w:rPr>
          <w:rFonts w:ascii="Times New Roman" w:eastAsia="Calibri" w:hAnsi="Times New Roman" w:cs="Times New Roman"/>
          <w:sz w:val="24"/>
          <w:szCs w:val="24"/>
          <w:lang w:val="en-US"/>
        </w:rPr>
        <w:t xml:space="preserve">2011). </w:t>
      </w:r>
      <w:r w:rsidRPr="00EB53AA">
        <w:rPr>
          <w:rFonts w:ascii="Times New Roman" w:eastAsia="Calibri" w:hAnsi="Times New Roman" w:cs="Times New Roman"/>
          <w:sz w:val="24"/>
          <w:szCs w:val="24"/>
          <w:lang w:val="en-US"/>
        </w:rPr>
        <w:t>For example, lignified organic substances (e.g. wood) degrade very slowly and are not good feedstocks for anaerobic digestion (Weiland, 2010). Some substances, for example, short-chain sugars and carbohydrates, degrade in a very short time</w:t>
      </w:r>
      <w:r w:rsidR="005C6227">
        <w:rPr>
          <w:rFonts w:ascii="Times New Roman" w:eastAsia="Calibri" w:hAnsi="Times New Roman" w:cs="Times New Roman"/>
          <w:sz w:val="24"/>
          <w:szCs w:val="24"/>
          <w:lang w:val="en-US"/>
        </w:rPr>
        <w:t>,</w:t>
      </w:r>
      <w:r w:rsidRPr="00EB53AA">
        <w:rPr>
          <w:rFonts w:ascii="Times New Roman" w:eastAsia="Calibri" w:hAnsi="Times New Roman" w:cs="Times New Roman"/>
          <w:sz w:val="24"/>
          <w:szCs w:val="24"/>
          <w:lang w:val="en-US"/>
        </w:rPr>
        <w:t xml:space="preserve"> while others, like substances rich in </w:t>
      </w:r>
      <w:r w:rsidR="005C6227">
        <w:rPr>
          <w:rFonts w:ascii="Times New Roman" w:eastAsia="Calibri" w:hAnsi="Times New Roman" w:cs="Times New Roman"/>
          <w:sz w:val="24"/>
          <w:szCs w:val="24"/>
          <w:lang w:val="en-US"/>
        </w:rPr>
        <w:t xml:space="preserve">cellulose and hemicellulose might require as </w:t>
      </w:r>
      <w:r w:rsidRPr="00EB53AA">
        <w:rPr>
          <w:rFonts w:ascii="Times New Roman" w:eastAsia="Calibri" w:hAnsi="Times New Roman" w:cs="Times New Roman"/>
          <w:sz w:val="24"/>
          <w:szCs w:val="24"/>
          <w:lang w:val="en-US"/>
        </w:rPr>
        <w:t xml:space="preserve">much as 20 days (Deublein and Steinhauser, 2011). Different feedstocks provide different amounts of biogas and this can be estimated </w:t>
      </w:r>
      <w:r w:rsidR="005C6227">
        <w:rPr>
          <w:rFonts w:ascii="Times New Roman" w:eastAsia="Calibri" w:hAnsi="Times New Roman" w:cs="Times New Roman"/>
          <w:sz w:val="24"/>
          <w:szCs w:val="24"/>
          <w:lang w:val="en-US"/>
        </w:rPr>
        <w:t>using the</w:t>
      </w:r>
      <w:r w:rsidRPr="00EB53AA">
        <w:rPr>
          <w:rFonts w:ascii="Times New Roman" w:eastAsia="Calibri" w:hAnsi="Times New Roman" w:cs="Times New Roman"/>
          <w:sz w:val="24"/>
          <w:szCs w:val="24"/>
          <w:lang w:val="en-US"/>
        </w:rPr>
        <w:t xml:space="preserve"> biomethane potential (BMP) test (Ward et al., 2008).</w:t>
      </w:r>
    </w:p>
    <w:p w14:paraId="16AB53DA" w14:textId="77777777" w:rsidR="00EB53AA" w:rsidRPr="00EB53AA" w:rsidRDefault="00EB53AA" w:rsidP="00EB53AA">
      <w:pPr>
        <w:spacing w:after="0" w:line="480" w:lineRule="auto"/>
        <w:jc w:val="both"/>
        <w:rPr>
          <w:rFonts w:ascii="Times New Roman" w:eastAsia="Calibri" w:hAnsi="Times New Roman" w:cs="Times New Roman"/>
          <w:b/>
          <w:sz w:val="24"/>
          <w:szCs w:val="24"/>
          <w:lang w:val="en-US"/>
        </w:rPr>
      </w:pPr>
      <w:r w:rsidRPr="00EB53AA">
        <w:rPr>
          <w:rFonts w:ascii="Times New Roman" w:eastAsia="Calibri" w:hAnsi="Times New Roman" w:cs="Times New Roman"/>
          <w:b/>
          <w:sz w:val="24"/>
          <w:szCs w:val="24"/>
          <w:lang w:val="en-US"/>
        </w:rPr>
        <w:t xml:space="preserve">Sample </w:t>
      </w:r>
      <w:r w:rsidR="005C6227">
        <w:rPr>
          <w:rFonts w:ascii="Times New Roman" w:eastAsia="Calibri" w:hAnsi="Times New Roman" w:cs="Times New Roman"/>
          <w:b/>
          <w:sz w:val="24"/>
          <w:szCs w:val="24"/>
          <w:lang w:val="en-US"/>
        </w:rPr>
        <w:t>p</w:t>
      </w:r>
      <w:r w:rsidRPr="00EB53AA">
        <w:rPr>
          <w:rFonts w:ascii="Times New Roman" w:eastAsia="Calibri" w:hAnsi="Times New Roman" w:cs="Times New Roman"/>
          <w:b/>
          <w:sz w:val="24"/>
          <w:szCs w:val="24"/>
          <w:lang w:val="en-US"/>
        </w:rPr>
        <w:t>reparation</w:t>
      </w:r>
    </w:p>
    <w:p w14:paraId="45BCA25E" w14:textId="77777777" w:rsidR="00EB53AA" w:rsidRPr="00EB53AA" w:rsidRDefault="00EB53AA" w:rsidP="00EB53AA">
      <w:pPr>
        <w:spacing w:after="0" w:line="480" w:lineRule="auto"/>
        <w:jc w:val="both"/>
        <w:rPr>
          <w:rFonts w:ascii="Times New Roman" w:eastAsia="Calibri" w:hAnsi="Times New Roman" w:cs="Times New Roman"/>
          <w:sz w:val="24"/>
          <w:szCs w:val="24"/>
          <w:lang w:val="en-US"/>
        </w:rPr>
      </w:pPr>
      <w:r w:rsidRPr="00EB53AA">
        <w:rPr>
          <w:rFonts w:ascii="Times New Roman" w:eastAsia="Calibri" w:hAnsi="Times New Roman" w:cs="Times New Roman"/>
          <w:sz w:val="24"/>
          <w:szCs w:val="24"/>
          <w:lang w:val="en-US"/>
        </w:rPr>
        <w:t>The feedstock substrate</w:t>
      </w:r>
      <w:r w:rsidR="005C6227">
        <w:rPr>
          <w:rFonts w:ascii="Times New Roman" w:eastAsia="Calibri" w:hAnsi="Times New Roman" w:cs="Times New Roman"/>
          <w:sz w:val="24"/>
          <w:szCs w:val="24"/>
          <w:lang w:val="en-US"/>
        </w:rPr>
        <w:t>s</w:t>
      </w:r>
      <w:r w:rsidRPr="00EB53AA">
        <w:rPr>
          <w:rFonts w:ascii="Times New Roman" w:eastAsia="Calibri" w:hAnsi="Times New Roman" w:cs="Times New Roman"/>
          <w:sz w:val="24"/>
          <w:szCs w:val="24"/>
          <w:lang w:val="en-US"/>
        </w:rPr>
        <w:t xml:space="preserve"> (</w:t>
      </w:r>
      <w:r w:rsidR="005C6227" w:rsidRPr="00EB53AA">
        <w:rPr>
          <w:rFonts w:ascii="Times New Roman" w:eastAsia="Calibri" w:hAnsi="Times New Roman" w:cs="Times New Roman"/>
          <w:sz w:val="24"/>
          <w:szCs w:val="24"/>
          <w:lang w:val="en-US"/>
        </w:rPr>
        <w:t>tomato, banana, mango, and papaya</w:t>
      </w:r>
      <w:r w:rsidRPr="00EB53AA">
        <w:rPr>
          <w:rFonts w:ascii="Times New Roman" w:eastAsia="Calibri" w:hAnsi="Times New Roman" w:cs="Times New Roman"/>
          <w:sz w:val="24"/>
          <w:szCs w:val="24"/>
          <w:lang w:val="en-US"/>
        </w:rPr>
        <w:t xml:space="preserve">) </w:t>
      </w:r>
      <w:r w:rsidR="005C6227">
        <w:rPr>
          <w:rFonts w:ascii="Times New Roman" w:eastAsia="Calibri" w:hAnsi="Times New Roman" w:cs="Times New Roman"/>
          <w:sz w:val="24"/>
          <w:szCs w:val="24"/>
          <w:lang w:val="en-US"/>
        </w:rPr>
        <w:t xml:space="preserve">were </w:t>
      </w:r>
      <w:r w:rsidRPr="00EB53AA">
        <w:rPr>
          <w:rFonts w:ascii="Times New Roman" w:eastAsia="Calibri" w:hAnsi="Times New Roman" w:cs="Times New Roman"/>
          <w:sz w:val="24"/>
          <w:szCs w:val="24"/>
          <w:lang w:val="en-US"/>
        </w:rPr>
        <w:t xml:space="preserve">initially selected </w:t>
      </w:r>
      <w:r w:rsidR="005C6227">
        <w:rPr>
          <w:rFonts w:ascii="Times New Roman" w:eastAsia="Calibri" w:hAnsi="Times New Roman" w:cs="Times New Roman"/>
          <w:sz w:val="24"/>
          <w:szCs w:val="24"/>
          <w:lang w:val="en-US"/>
        </w:rPr>
        <w:t xml:space="preserve">based on previous </w:t>
      </w:r>
      <w:r w:rsidRPr="00EB53AA">
        <w:rPr>
          <w:rFonts w:ascii="Times New Roman" w:eastAsia="Calibri" w:hAnsi="Times New Roman" w:cs="Times New Roman"/>
          <w:sz w:val="24"/>
          <w:szCs w:val="24"/>
          <w:lang w:val="en-US"/>
        </w:rPr>
        <w:t>literature</w:t>
      </w:r>
      <w:r w:rsidR="005C6227">
        <w:rPr>
          <w:rFonts w:ascii="Times New Roman" w:eastAsia="Calibri" w:hAnsi="Times New Roman" w:cs="Times New Roman"/>
          <w:sz w:val="24"/>
          <w:szCs w:val="24"/>
          <w:lang w:val="en-US"/>
        </w:rPr>
        <w:t xml:space="preserve">s and by considering their </w:t>
      </w:r>
      <w:r w:rsidRPr="00EB53AA">
        <w:rPr>
          <w:rFonts w:ascii="Times New Roman" w:eastAsia="Calibri" w:hAnsi="Times New Roman" w:cs="Times New Roman"/>
          <w:sz w:val="24"/>
          <w:szCs w:val="24"/>
          <w:lang w:val="en-US"/>
        </w:rPr>
        <w:t xml:space="preserve">physiochemical properties </w:t>
      </w:r>
      <w:r w:rsidR="005C6227">
        <w:rPr>
          <w:rFonts w:ascii="Times New Roman" w:eastAsia="Calibri" w:hAnsi="Times New Roman" w:cs="Times New Roman"/>
          <w:sz w:val="24"/>
          <w:szCs w:val="24"/>
          <w:lang w:val="en-US"/>
        </w:rPr>
        <w:t>such as t</w:t>
      </w:r>
      <w:r w:rsidRPr="00EB53AA">
        <w:rPr>
          <w:rFonts w:ascii="Times New Roman" w:eastAsia="Calibri" w:hAnsi="Times New Roman" w:cs="Times New Roman"/>
          <w:sz w:val="24"/>
          <w:szCs w:val="24"/>
          <w:lang w:val="en-US"/>
        </w:rPr>
        <w:t>otal solid</w:t>
      </w:r>
      <w:r w:rsidR="005C6227">
        <w:rPr>
          <w:rFonts w:ascii="Times New Roman" w:eastAsia="Calibri" w:hAnsi="Times New Roman" w:cs="Times New Roman"/>
          <w:sz w:val="24"/>
          <w:szCs w:val="24"/>
          <w:lang w:val="en-US"/>
        </w:rPr>
        <w:t xml:space="preserve">s (TS) and volatile solids (VS). The feedstock was </w:t>
      </w:r>
      <w:r w:rsidRPr="00EB53AA">
        <w:rPr>
          <w:rFonts w:ascii="Times New Roman" w:eastAsia="Calibri" w:hAnsi="Times New Roman" w:cs="Times New Roman"/>
          <w:sz w:val="24"/>
          <w:szCs w:val="24"/>
          <w:lang w:val="en-US"/>
        </w:rPr>
        <w:t xml:space="preserve">purchased from </w:t>
      </w:r>
      <w:r w:rsidR="005C6227">
        <w:rPr>
          <w:rFonts w:ascii="Times New Roman" w:eastAsia="Calibri" w:hAnsi="Times New Roman" w:cs="Times New Roman"/>
          <w:sz w:val="24"/>
          <w:szCs w:val="24"/>
          <w:lang w:val="en-US"/>
        </w:rPr>
        <w:t xml:space="preserve">the local </w:t>
      </w:r>
      <w:r w:rsidRPr="00EB53AA">
        <w:rPr>
          <w:rFonts w:ascii="Times New Roman" w:eastAsia="Calibri" w:hAnsi="Times New Roman" w:cs="Times New Roman"/>
          <w:sz w:val="24"/>
          <w:szCs w:val="24"/>
          <w:lang w:val="en-US"/>
        </w:rPr>
        <w:t>supermarket</w:t>
      </w:r>
      <w:r w:rsidR="005C6227">
        <w:rPr>
          <w:rFonts w:ascii="Times New Roman" w:eastAsia="Calibri" w:hAnsi="Times New Roman" w:cs="Times New Roman"/>
          <w:sz w:val="24"/>
          <w:szCs w:val="24"/>
          <w:lang w:val="en-US"/>
        </w:rPr>
        <w:t xml:space="preserve"> in Delft city, The Netherlands. The</w:t>
      </w:r>
      <w:r w:rsidRPr="00EB53AA">
        <w:rPr>
          <w:rFonts w:ascii="Times New Roman" w:eastAsia="Calibri" w:hAnsi="Times New Roman" w:cs="Times New Roman"/>
          <w:sz w:val="24"/>
          <w:szCs w:val="24"/>
          <w:lang w:val="en-US"/>
        </w:rPr>
        <w:t xml:space="preserve"> </w:t>
      </w:r>
      <w:r w:rsidR="005C6227">
        <w:rPr>
          <w:rFonts w:ascii="Times New Roman" w:eastAsia="Calibri" w:hAnsi="Times New Roman" w:cs="Times New Roman"/>
          <w:sz w:val="24"/>
          <w:szCs w:val="24"/>
          <w:lang w:val="en-US"/>
        </w:rPr>
        <w:t>wastes were pre-treated</w:t>
      </w:r>
      <w:r w:rsidRPr="00EB53AA">
        <w:rPr>
          <w:rFonts w:ascii="Times New Roman" w:eastAsia="Calibri" w:hAnsi="Times New Roman" w:cs="Times New Roman"/>
          <w:sz w:val="24"/>
          <w:szCs w:val="24"/>
          <w:lang w:val="en-US"/>
        </w:rPr>
        <w:t xml:space="preserve"> to decrease the size </w:t>
      </w:r>
      <w:r w:rsidR="005C6227">
        <w:rPr>
          <w:rFonts w:ascii="Times New Roman" w:eastAsia="Calibri" w:hAnsi="Times New Roman" w:cs="Times New Roman"/>
          <w:sz w:val="24"/>
          <w:szCs w:val="24"/>
          <w:lang w:val="en-US"/>
        </w:rPr>
        <w:t xml:space="preserve">in the range of </w:t>
      </w:r>
      <w:r w:rsidRPr="00EB53AA">
        <w:rPr>
          <w:rFonts w:ascii="Times New Roman" w:eastAsia="Calibri" w:hAnsi="Times New Roman" w:cs="Times New Roman"/>
          <w:sz w:val="24"/>
          <w:szCs w:val="24"/>
          <w:lang w:val="en-US"/>
        </w:rPr>
        <w:t xml:space="preserve">1-4 mm (Figure S1). </w:t>
      </w:r>
    </w:p>
    <w:tbl>
      <w:tblPr>
        <w:tblStyle w:val="TableGrid3"/>
        <w:tblW w:w="0" w:type="auto"/>
        <w:tblLook w:val="04A0" w:firstRow="1" w:lastRow="0" w:firstColumn="1" w:lastColumn="0" w:noHBand="0" w:noVBand="1"/>
      </w:tblPr>
      <w:tblGrid>
        <w:gridCol w:w="2264"/>
        <w:gridCol w:w="2294"/>
        <w:gridCol w:w="2223"/>
        <w:gridCol w:w="2235"/>
      </w:tblGrid>
      <w:tr w:rsidR="00EB53AA" w:rsidRPr="00EB53AA" w14:paraId="36F41E68" w14:textId="77777777" w:rsidTr="00271EE1">
        <w:trPr>
          <w:trHeight w:val="2760"/>
        </w:trPr>
        <w:tc>
          <w:tcPr>
            <w:tcW w:w="2349" w:type="dxa"/>
          </w:tcPr>
          <w:p w14:paraId="70ADD79F" w14:textId="77777777" w:rsidR="00EB53AA" w:rsidRPr="00EB53AA" w:rsidRDefault="00EB53AA" w:rsidP="00EB53AA">
            <w:pPr>
              <w:spacing w:line="360" w:lineRule="auto"/>
              <w:jc w:val="both"/>
              <w:rPr>
                <w:rFonts w:eastAsia="Calibri"/>
                <w:sz w:val="24"/>
                <w:szCs w:val="24"/>
              </w:rPr>
            </w:pPr>
            <w:r w:rsidRPr="00EB53AA">
              <w:rPr>
                <w:noProof/>
                <w:sz w:val="24"/>
                <w:szCs w:val="24"/>
                <w:lang w:eastAsia="en-GB"/>
              </w:rPr>
              <w:drawing>
                <wp:inline distT="0" distB="0" distL="0" distR="0" wp14:anchorId="7197C98E" wp14:editId="671C4751">
                  <wp:extent cx="1304925" cy="1749621"/>
                  <wp:effectExtent l="0" t="0" r="0" b="3175"/>
                  <wp:docPr id="7" name="Picture 7" descr="https://scontent-amt2-1.xx.fbcdn.net/v/t34.0-12/23146380_10155805446834420_1537515569_n.jpg?oh=1e5b15bcbd70d6825f74d7dc5d11dc90&amp;oe=59FF6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t2-1.xx.fbcdn.net/v/t34.0-12/23146380_10155805446834420_1537515569_n.jpg?oh=1e5b15bcbd70d6825f74d7dc5d11dc90&amp;oe=59FF663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3876" cy="1761622"/>
                          </a:xfrm>
                          <a:prstGeom prst="rect">
                            <a:avLst/>
                          </a:prstGeom>
                          <a:noFill/>
                          <a:ln>
                            <a:noFill/>
                          </a:ln>
                        </pic:spPr>
                      </pic:pic>
                    </a:graphicData>
                  </a:graphic>
                </wp:inline>
              </w:drawing>
            </w:r>
          </w:p>
        </w:tc>
        <w:tc>
          <w:tcPr>
            <w:tcW w:w="2361" w:type="dxa"/>
          </w:tcPr>
          <w:p w14:paraId="5835E90B" w14:textId="77777777" w:rsidR="00EB53AA" w:rsidRPr="00EB53AA" w:rsidRDefault="00EB53AA" w:rsidP="00EB53AA">
            <w:pPr>
              <w:spacing w:line="360" w:lineRule="auto"/>
              <w:jc w:val="both"/>
              <w:rPr>
                <w:rFonts w:eastAsia="Calibri"/>
                <w:sz w:val="24"/>
                <w:szCs w:val="24"/>
              </w:rPr>
            </w:pPr>
            <w:r w:rsidRPr="00EB53AA">
              <w:rPr>
                <w:noProof/>
                <w:sz w:val="24"/>
                <w:szCs w:val="24"/>
                <w:lang w:eastAsia="en-GB"/>
              </w:rPr>
              <w:drawing>
                <wp:inline distT="0" distB="0" distL="0" distR="0" wp14:anchorId="42E8DCA5" wp14:editId="7A658732">
                  <wp:extent cx="1323975" cy="1775162"/>
                  <wp:effectExtent l="0" t="0" r="0" b="0"/>
                  <wp:docPr id="21" name="Picture 21" descr="https://scontent-amt2-1.xx.fbcdn.net/v/t34.0-12/23113371_10155805446929420_943523161_n.jpg?oh=6db5362e18e3ace5aac862d2a42199bd&amp;oe=59FF94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mt2-1.xx.fbcdn.net/v/t34.0-12/23113371_10155805446929420_943523161_n.jpg?oh=6db5362e18e3ace5aac862d2a42199bd&amp;oe=59FF948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452" cy="1787868"/>
                          </a:xfrm>
                          <a:prstGeom prst="rect">
                            <a:avLst/>
                          </a:prstGeom>
                          <a:noFill/>
                          <a:ln>
                            <a:noFill/>
                          </a:ln>
                        </pic:spPr>
                      </pic:pic>
                    </a:graphicData>
                  </a:graphic>
                </wp:inline>
              </w:drawing>
            </w:r>
          </w:p>
        </w:tc>
        <w:tc>
          <w:tcPr>
            <w:tcW w:w="2346" w:type="dxa"/>
          </w:tcPr>
          <w:p w14:paraId="273A359F" w14:textId="77777777" w:rsidR="00EB53AA" w:rsidRPr="00EB53AA" w:rsidRDefault="00EB53AA" w:rsidP="00EB53AA">
            <w:pPr>
              <w:spacing w:line="360" w:lineRule="auto"/>
              <w:jc w:val="both"/>
              <w:rPr>
                <w:rFonts w:eastAsia="Calibri"/>
                <w:sz w:val="24"/>
                <w:szCs w:val="24"/>
              </w:rPr>
            </w:pPr>
            <w:r w:rsidRPr="00EB53AA">
              <w:rPr>
                <w:noProof/>
                <w:sz w:val="24"/>
                <w:szCs w:val="24"/>
                <w:lang w:eastAsia="en-GB"/>
              </w:rPr>
              <w:drawing>
                <wp:inline distT="0" distB="0" distL="0" distR="0" wp14:anchorId="24008087" wp14:editId="424F7C28">
                  <wp:extent cx="1278732" cy="1714500"/>
                  <wp:effectExtent l="0" t="0" r="0" b="0"/>
                  <wp:docPr id="22" name="Picture 22" descr="https://scontent-amt2-1.xx.fbcdn.net/v/t34.0-12/23140307_10155805447029420_1730578659_n.jpg?oh=0d4cea1001f382d7b03b257dbabe4439&amp;oe=59FF7B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amt2-1.xx.fbcdn.net/v/t34.0-12/23140307_10155805447029420_1730578659_n.jpg?oh=0d4cea1001f382d7b03b257dbabe4439&amp;oe=59FF7B9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9512" cy="1728954"/>
                          </a:xfrm>
                          <a:prstGeom prst="rect">
                            <a:avLst/>
                          </a:prstGeom>
                          <a:noFill/>
                          <a:ln>
                            <a:noFill/>
                          </a:ln>
                        </pic:spPr>
                      </pic:pic>
                    </a:graphicData>
                  </a:graphic>
                </wp:inline>
              </w:drawing>
            </w:r>
          </w:p>
        </w:tc>
        <w:tc>
          <w:tcPr>
            <w:tcW w:w="2347" w:type="dxa"/>
          </w:tcPr>
          <w:p w14:paraId="7F27DA71" w14:textId="77777777" w:rsidR="00EB53AA" w:rsidRPr="00EB53AA" w:rsidRDefault="00EB53AA" w:rsidP="00EB53AA">
            <w:pPr>
              <w:spacing w:line="360" w:lineRule="auto"/>
              <w:jc w:val="both"/>
              <w:rPr>
                <w:rFonts w:eastAsia="Calibri"/>
                <w:sz w:val="24"/>
                <w:szCs w:val="24"/>
              </w:rPr>
            </w:pPr>
            <w:r w:rsidRPr="00EB53AA">
              <w:rPr>
                <w:noProof/>
                <w:sz w:val="24"/>
                <w:szCs w:val="24"/>
                <w:lang w:eastAsia="en-GB"/>
              </w:rPr>
              <w:drawing>
                <wp:inline distT="0" distB="0" distL="0" distR="0" wp14:anchorId="7E5ADE73" wp14:editId="7F14CC66">
                  <wp:extent cx="1285875" cy="1724079"/>
                  <wp:effectExtent l="0" t="0" r="0" b="9525"/>
                  <wp:docPr id="23" name="Picture 23" descr="https://scontent-amt2-1.xx.fbcdn.net/v/t34.0-12/23113691_10155805447104420_618712465_n.jpg?oh=7fe0d64dfd0517aeb99a215f1a2d7f2b&amp;oe=59FF9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amt2-1.xx.fbcdn.net/v/t34.0-12/23113691_10155805447104420_618712465_n.jpg?oh=7fe0d64dfd0517aeb99a215f1a2d7f2b&amp;oe=59FF95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96242" cy="1737978"/>
                          </a:xfrm>
                          <a:prstGeom prst="rect">
                            <a:avLst/>
                          </a:prstGeom>
                          <a:noFill/>
                          <a:ln>
                            <a:noFill/>
                          </a:ln>
                        </pic:spPr>
                      </pic:pic>
                    </a:graphicData>
                  </a:graphic>
                </wp:inline>
              </w:drawing>
            </w:r>
          </w:p>
        </w:tc>
      </w:tr>
    </w:tbl>
    <w:p w14:paraId="4E3F5146" w14:textId="77777777" w:rsidR="005C6227" w:rsidRDefault="005C6227" w:rsidP="00EB53AA">
      <w:pPr>
        <w:spacing w:line="360" w:lineRule="auto"/>
        <w:jc w:val="both"/>
        <w:rPr>
          <w:rFonts w:ascii="Times New Roman" w:eastAsia="Calibri" w:hAnsi="Times New Roman" w:cs="Times New Roman"/>
          <w:b/>
          <w:sz w:val="24"/>
          <w:szCs w:val="24"/>
          <w:lang w:val="en-US"/>
        </w:rPr>
      </w:pPr>
    </w:p>
    <w:p w14:paraId="6E1DCDEF" w14:textId="77777777" w:rsidR="00EB53AA" w:rsidRPr="00EB53AA" w:rsidRDefault="00EB53AA" w:rsidP="00EB53AA">
      <w:pPr>
        <w:spacing w:line="360" w:lineRule="auto"/>
        <w:jc w:val="both"/>
        <w:rPr>
          <w:rFonts w:ascii="Times New Roman" w:eastAsia="Calibri" w:hAnsi="Times New Roman" w:cs="Times New Roman"/>
          <w:sz w:val="24"/>
          <w:szCs w:val="24"/>
          <w:lang w:val="en-US"/>
        </w:rPr>
      </w:pPr>
      <w:r w:rsidRPr="00EB53AA">
        <w:rPr>
          <w:rFonts w:ascii="Times New Roman" w:eastAsia="Calibri" w:hAnsi="Times New Roman" w:cs="Times New Roman"/>
          <w:b/>
          <w:sz w:val="24"/>
          <w:szCs w:val="24"/>
          <w:lang w:val="en-US"/>
        </w:rPr>
        <w:t>Figure S1.</w:t>
      </w:r>
      <w:r w:rsidRPr="00EB53AA">
        <w:rPr>
          <w:rFonts w:ascii="Times New Roman" w:eastAsia="Calibri" w:hAnsi="Times New Roman" w:cs="Times New Roman"/>
          <w:sz w:val="24"/>
          <w:szCs w:val="24"/>
          <w:lang w:val="en-US"/>
        </w:rPr>
        <w:t xml:space="preserve"> Fruit samples of papaya, mango, tomato and banana </w:t>
      </w:r>
      <w:r w:rsidR="005C6227">
        <w:rPr>
          <w:rFonts w:ascii="Times New Roman" w:eastAsia="Calibri" w:hAnsi="Times New Roman" w:cs="Times New Roman"/>
          <w:sz w:val="24"/>
          <w:szCs w:val="24"/>
          <w:lang w:val="en-US"/>
        </w:rPr>
        <w:t>(</w:t>
      </w:r>
      <w:r w:rsidRPr="00EB53AA">
        <w:rPr>
          <w:rFonts w:ascii="Times New Roman" w:eastAsia="Calibri" w:hAnsi="Times New Roman" w:cs="Times New Roman"/>
          <w:sz w:val="24"/>
          <w:szCs w:val="24"/>
          <w:lang w:val="en-US"/>
        </w:rPr>
        <w:t>from left to right</w:t>
      </w:r>
      <w:r w:rsidR="005C6227">
        <w:rPr>
          <w:rFonts w:ascii="Times New Roman" w:eastAsia="Calibri" w:hAnsi="Times New Roman" w:cs="Times New Roman"/>
          <w:sz w:val="24"/>
          <w:szCs w:val="24"/>
          <w:lang w:val="en-US"/>
        </w:rPr>
        <w:t>)</w:t>
      </w:r>
      <w:r w:rsidRPr="00EB53AA">
        <w:rPr>
          <w:rFonts w:ascii="Times New Roman" w:eastAsia="Calibri" w:hAnsi="Times New Roman" w:cs="Times New Roman"/>
          <w:sz w:val="24"/>
          <w:szCs w:val="24"/>
          <w:lang w:val="en-US"/>
        </w:rPr>
        <w:t>, respectively.</w:t>
      </w:r>
    </w:p>
    <w:p w14:paraId="08722C0F" w14:textId="77777777" w:rsidR="005B1FD3" w:rsidRDefault="005B1FD3" w:rsidP="00EB53AA">
      <w:pPr>
        <w:spacing w:after="0" w:line="480" w:lineRule="auto"/>
        <w:jc w:val="both"/>
        <w:rPr>
          <w:rFonts w:ascii="Times New Roman" w:eastAsia="Calibri" w:hAnsi="Times New Roman" w:cs="Times New Roman"/>
          <w:b/>
          <w:sz w:val="24"/>
          <w:szCs w:val="24"/>
          <w:lang w:val="en-US"/>
        </w:rPr>
      </w:pPr>
    </w:p>
    <w:p w14:paraId="1F10F406" w14:textId="77777777" w:rsidR="00EB53AA" w:rsidRPr="00EB53AA" w:rsidRDefault="00EB53AA" w:rsidP="00EB53AA">
      <w:pPr>
        <w:spacing w:after="0" w:line="480" w:lineRule="auto"/>
        <w:jc w:val="both"/>
        <w:rPr>
          <w:rFonts w:ascii="Times New Roman" w:eastAsia="Calibri" w:hAnsi="Times New Roman" w:cs="Times New Roman"/>
          <w:b/>
          <w:sz w:val="24"/>
          <w:szCs w:val="24"/>
          <w:lang w:val="en-US"/>
        </w:rPr>
      </w:pPr>
      <w:r w:rsidRPr="00EB53AA">
        <w:rPr>
          <w:rFonts w:ascii="Times New Roman" w:eastAsia="Calibri" w:hAnsi="Times New Roman" w:cs="Times New Roman"/>
          <w:b/>
          <w:sz w:val="24"/>
          <w:szCs w:val="24"/>
          <w:lang w:val="en-US"/>
        </w:rPr>
        <w:lastRenderedPageBreak/>
        <w:t>Characterization of the fruit substrates</w:t>
      </w:r>
    </w:p>
    <w:p w14:paraId="686E42F9" w14:textId="77777777" w:rsidR="00EB53AA" w:rsidRPr="00EB53AA" w:rsidRDefault="00EB53AA" w:rsidP="00EB53AA">
      <w:pPr>
        <w:spacing w:after="0" w:line="480" w:lineRule="auto"/>
        <w:jc w:val="both"/>
        <w:rPr>
          <w:rFonts w:ascii="Times New Roman" w:eastAsia="Calibri" w:hAnsi="Times New Roman" w:cs="Times New Roman"/>
          <w:sz w:val="24"/>
          <w:szCs w:val="24"/>
          <w:lang w:val="en-US"/>
        </w:rPr>
      </w:pPr>
      <w:r w:rsidRPr="00EB53AA">
        <w:rPr>
          <w:rFonts w:ascii="Times New Roman" w:eastAsia="Calibri" w:hAnsi="Times New Roman" w:cs="Times New Roman"/>
          <w:sz w:val="24"/>
          <w:szCs w:val="24"/>
          <w:lang w:val="en-US"/>
        </w:rPr>
        <w:t>The characteristics of four different fruit substrates are summarized in Table 1. The TS</w:t>
      </w:r>
      <w:r w:rsidR="005C6227">
        <w:rPr>
          <w:rFonts w:ascii="Times New Roman" w:eastAsia="Calibri" w:hAnsi="Times New Roman" w:cs="Times New Roman"/>
          <w:sz w:val="24"/>
          <w:szCs w:val="24"/>
          <w:lang w:val="en-US"/>
        </w:rPr>
        <w:t xml:space="preserve"> (%)</w:t>
      </w:r>
      <w:r w:rsidRPr="00EB53AA">
        <w:rPr>
          <w:rFonts w:ascii="Times New Roman" w:eastAsia="Calibri" w:hAnsi="Times New Roman" w:cs="Times New Roman"/>
          <w:sz w:val="24"/>
          <w:szCs w:val="24"/>
          <w:lang w:val="en-US"/>
        </w:rPr>
        <w:t xml:space="preserve"> was in the range of 4.6 ± 0.1 to 18.24 ± 0.02 %. The tomato substrate displays the lowest and the banana </w:t>
      </w:r>
      <w:r w:rsidR="005C6227">
        <w:rPr>
          <w:rFonts w:ascii="Times New Roman" w:eastAsia="Calibri" w:hAnsi="Times New Roman" w:cs="Times New Roman"/>
          <w:sz w:val="24"/>
          <w:szCs w:val="24"/>
          <w:lang w:val="en-US"/>
        </w:rPr>
        <w:t xml:space="preserve">feedstock displays the highest </w:t>
      </w:r>
      <w:r w:rsidRPr="00EB53AA">
        <w:rPr>
          <w:rFonts w:ascii="Times New Roman" w:eastAsia="Calibri" w:hAnsi="Times New Roman" w:cs="Times New Roman"/>
          <w:sz w:val="24"/>
          <w:szCs w:val="24"/>
          <w:lang w:val="en-US"/>
        </w:rPr>
        <w:t xml:space="preserve">TS. As expected, </w:t>
      </w:r>
      <w:r w:rsidR="005C6227">
        <w:rPr>
          <w:rFonts w:ascii="Times New Roman" w:eastAsia="Calibri" w:hAnsi="Times New Roman" w:cs="Times New Roman"/>
          <w:sz w:val="24"/>
          <w:szCs w:val="24"/>
          <w:lang w:val="en-US"/>
        </w:rPr>
        <w:t xml:space="preserve">the substrate with the highest </w:t>
      </w:r>
      <w:r w:rsidRPr="00EB53AA">
        <w:rPr>
          <w:rFonts w:ascii="Times New Roman" w:eastAsia="Calibri" w:hAnsi="Times New Roman" w:cs="Times New Roman"/>
          <w:sz w:val="24"/>
          <w:szCs w:val="24"/>
          <w:lang w:val="en-US"/>
        </w:rPr>
        <w:t>TS has the lowest moistur</w:t>
      </w:r>
      <w:r w:rsidR="005C6227">
        <w:rPr>
          <w:rFonts w:ascii="Times New Roman" w:eastAsia="Calibri" w:hAnsi="Times New Roman" w:cs="Times New Roman"/>
          <w:sz w:val="24"/>
          <w:szCs w:val="24"/>
          <w:lang w:val="en-US"/>
        </w:rPr>
        <w:t xml:space="preserve">e content and vice-versa. When the </w:t>
      </w:r>
      <w:r w:rsidRPr="00EB53AA">
        <w:rPr>
          <w:rFonts w:ascii="Times New Roman" w:eastAsia="Calibri" w:hAnsi="Times New Roman" w:cs="Times New Roman"/>
          <w:sz w:val="24"/>
          <w:szCs w:val="24"/>
          <w:lang w:val="en-US"/>
        </w:rPr>
        <w:t xml:space="preserve">TS increases, the amount of water decreases, thus reducing the level of microbial activity, which </w:t>
      </w:r>
      <w:r w:rsidR="005C6227">
        <w:rPr>
          <w:rFonts w:ascii="Times New Roman" w:eastAsia="Calibri" w:hAnsi="Times New Roman" w:cs="Times New Roman"/>
          <w:sz w:val="24"/>
          <w:szCs w:val="24"/>
          <w:lang w:val="en-US"/>
        </w:rPr>
        <w:t>subsequently</w:t>
      </w:r>
      <w:r w:rsidRPr="00EB53AA">
        <w:rPr>
          <w:rFonts w:ascii="Times New Roman" w:eastAsia="Calibri" w:hAnsi="Times New Roman" w:cs="Times New Roman"/>
          <w:sz w:val="24"/>
          <w:szCs w:val="24"/>
          <w:lang w:val="en-US"/>
        </w:rPr>
        <w:t xml:space="preserve"> affects the am</w:t>
      </w:r>
      <w:r w:rsidR="005C6227">
        <w:rPr>
          <w:rFonts w:ascii="Times New Roman" w:eastAsia="Calibri" w:hAnsi="Times New Roman" w:cs="Times New Roman"/>
          <w:sz w:val="24"/>
          <w:szCs w:val="24"/>
          <w:lang w:val="en-US"/>
        </w:rPr>
        <w:t xml:space="preserve">ount of biogas, especially at higher values of the </w:t>
      </w:r>
      <w:r w:rsidRPr="00EB53AA">
        <w:rPr>
          <w:rFonts w:ascii="Times New Roman" w:eastAsia="Calibri" w:hAnsi="Times New Roman" w:cs="Times New Roman"/>
          <w:sz w:val="24"/>
          <w:szCs w:val="24"/>
          <w:lang w:val="en-US"/>
        </w:rPr>
        <w:t xml:space="preserve">TS. Typically, the </w:t>
      </w:r>
      <w:r w:rsidR="005C6227">
        <w:rPr>
          <w:rFonts w:ascii="Times New Roman" w:eastAsia="Calibri" w:hAnsi="Times New Roman" w:cs="Times New Roman"/>
          <w:sz w:val="24"/>
          <w:szCs w:val="24"/>
          <w:lang w:val="en-US"/>
        </w:rPr>
        <w:t>TS</w:t>
      </w:r>
      <w:r w:rsidRPr="00EB53AA">
        <w:rPr>
          <w:rFonts w:ascii="Times New Roman" w:eastAsia="Calibri" w:hAnsi="Times New Roman" w:cs="Times New Roman"/>
          <w:sz w:val="24"/>
          <w:szCs w:val="24"/>
          <w:lang w:val="en-US"/>
        </w:rPr>
        <w:t xml:space="preserve"> amount to less than 10% of the total volume. The volatile solids (VS) content, which is used to determine the total organic substances in the substrate, was in the range of 88.52 ± 0.02 to 95.75 ± 0.01 %. The results indicated that the banana feedstock displays the lowest</w:t>
      </w:r>
      <w:r w:rsidR="005C6227">
        <w:rPr>
          <w:rFonts w:ascii="Times New Roman" w:eastAsia="Calibri" w:hAnsi="Times New Roman" w:cs="Times New Roman"/>
          <w:sz w:val="24"/>
          <w:szCs w:val="24"/>
          <w:lang w:val="en-US"/>
        </w:rPr>
        <w:t xml:space="preserve"> VS content</w:t>
      </w:r>
      <w:r w:rsidRPr="00EB53AA">
        <w:rPr>
          <w:rFonts w:ascii="Times New Roman" w:eastAsia="Calibri" w:hAnsi="Times New Roman" w:cs="Times New Roman"/>
          <w:sz w:val="24"/>
          <w:szCs w:val="24"/>
          <w:lang w:val="en-US"/>
        </w:rPr>
        <w:t xml:space="preserve"> while that of tomato had the highest VS</w:t>
      </w:r>
      <w:r w:rsidR="005C6227">
        <w:rPr>
          <w:rFonts w:ascii="Times New Roman" w:eastAsia="Calibri" w:hAnsi="Times New Roman" w:cs="Times New Roman"/>
          <w:sz w:val="24"/>
          <w:szCs w:val="24"/>
          <w:lang w:val="en-US"/>
        </w:rPr>
        <w:t xml:space="preserve"> (%)</w:t>
      </w:r>
      <w:r w:rsidRPr="00EB53AA">
        <w:rPr>
          <w:rFonts w:ascii="Times New Roman" w:eastAsia="Calibri" w:hAnsi="Times New Roman" w:cs="Times New Roman"/>
          <w:sz w:val="24"/>
          <w:szCs w:val="24"/>
          <w:lang w:val="en-US"/>
        </w:rPr>
        <w:t>.</w:t>
      </w:r>
    </w:p>
    <w:p w14:paraId="690C3E85" w14:textId="77777777" w:rsidR="00EB53AA" w:rsidRPr="00EB53AA" w:rsidRDefault="00EB53AA" w:rsidP="00EB53AA">
      <w:pPr>
        <w:pBdr>
          <w:bottom w:val="single" w:sz="4" w:space="1" w:color="auto"/>
        </w:pBdr>
        <w:spacing w:line="360" w:lineRule="auto"/>
        <w:jc w:val="both"/>
        <w:rPr>
          <w:rFonts w:ascii="Times New Roman" w:eastAsia="Calibri" w:hAnsi="Times New Roman" w:cs="Times New Roman"/>
          <w:sz w:val="24"/>
          <w:szCs w:val="24"/>
          <w:lang w:val="en-US"/>
        </w:rPr>
      </w:pPr>
      <w:r w:rsidRPr="00EB53AA">
        <w:rPr>
          <w:rFonts w:ascii="Times New Roman" w:eastAsia="Calibri" w:hAnsi="Times New Roman" w:cs="Times New Roman"/>
          <w:b/>
          <w:sz w:val="24"/>
          <w:szCs w:val="24"/>
          <w:lang w:val="en-US"/>
        </w:rPr>
        <w:t>Table S1</w:t>
      </w:r>
      <w:r w:rsidRPr="00EB53AA">
        <w:rPr>
          <w:rFonts w:ascii="Times New Roman" w:eastAsia="Calibri" w:hAnsi="Times New Roman" w:cs="Times New Roman"/>
          <w:sz w:val="24"/>
          <w:szCs w:val="24"/>
          <w:lang w:val="en-US"/>
        </w:rPr>
        <w:t>. Characteristics of fruit substrates (n=3).</w:t>
      </w:r>
    </w:p>
    <w:tbl>
      <w:tblPr>
        <w:tblStyle w:val="TableGrid3"/>
        <w:tblW w:w="963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1"/>
        <w:gridCol w:w="1542"/>
        <w:gridCol w:w="1560"/>
        <w:gridCol w:w="1701"/>
        <w:gridCol w:w="1417"/>
        <w:gridCol w:w="1305"/>
        <w:gridCol w:w="708"/>
      </w:tblGrid>
      <w:tr w:rsidR="00EB53AA" w:rsidRPr="00EB53AA" w14:paraId="5EBEC568" w14:textId="77777777" w:rsidTr="00271EE1">
        <w:tc>
          <w:tcPr>
            <w:tcW w:w="1401" w:type="dxa"/>
          </w:tcPr>
          <w:p w14:paraId="15C75C05" w14:textId="77777777" w:rsidR="00EB53AA" w:rsidRPr="00EB53AA" w:rsidRDefault="00EB53AA" w:rsidP="00EB53AA">
            <w:pPr>
              <w:pBdr>
                <w:bottom w:val="single" w:sz="4" w:space="1" w:color="auto"/>
              </w:pBdr>
              <w:spacing w:line="276" w:lineRule="auto"/>
              <w:jc w:val="both"/>
              <w:rPr>
                <w:rFonts w:eastAsia="Calibri"/>
                <w:sz w:val="24"/>
                <w:szCs w:val="24"/>
              </w:rPr>
            </w:pPr>
            <w:r w:rsidRPr="00EB53AA">
              <w:rPr>
                <w:rFonts w:eastAsia="Calibri"/>
                <w:sz w:val="24"/>
                <w:szCs w:val="24"/>
              </w:rPr>
              <w:t>Feedstock</w:t>
            </w:r>
          </w:p>
        </w:tc>
        <w:tc>
          <w:tcPr>
            <w:tcW w:w="1542" w:type="dxa"/>
          </w:tcPr>
          <w:p w14:paraId="1C21EE48" w14:textId="77777777" w:rsidR="00EB53AA" w:rsidRPr="00EB53AA" w:rsidRDefault="00EB53AA" w:rsidP="00EB53AA">
            <w:pPr>
              <w:pBdr>
                <w:bottom w:val="single" w:sz="4" w:space="1" w:color="auto"/>
              </w:pBdr>
              <w:spacing w:line="276" w:lineRule="auto"/>
              <w:jc w:val="both"/>
              <w:rPr>
                <w:rFonts w:eastAsia="Calibri"/>
                <w:sz w:val="24"/>
                <w:szCs w:val="24"/>
              </w:rPr>
            </w:pPr>
            <w:r w:rsidRPr="00EB53AA">
              <w:rPr>
                <w:rFonts w:eastAsia="Calibri"/>
                <w:sz w:val="24"/>
                <w:szCs w:val="24"/>
              </w:rPr>
              <w:t>TS</w:t>
            </w:r>
            <w:r w:rsidR="005C6227">
              <w:rPr>
                <w:rFonts w:eastAsia="Calibri"/>
                <w:sz w:val="24"/>
                <w:szCs w:val="24"/>
              </w:rPr>
              <w:t>, %</w:t>
            </w:r>
          </w:p>
        </w:tc>
        <w:tc>
          <w:tcPr>
            <w:tcW w:w="1560" w:type="dxa"/>
          </w:tcPr>
          <w:p w14:paraId="5CBEF80D" w14:textId="77777777" w:rsidR="00EB53AA" w:rsidRPr="00EB53AA" w:rsidRDefault="00EB53AA" w:rsidP="00EB53AA">
            <w:pPr>
              <w:pBdr>
                <w:bottom w:val="single" w:sz="4" w:space="1" w:color="auto"/>
              </w:pBdr>
              <w:spacing w:line="276" w:lineRule="auto"/>
              <w:jc w:val="both"/>
              <w:rPr>
                <w:rFonts w:eastAsia="Calibri"/>
                <w:sz w:val="24"/>
                <w:szCs w:val="24"/>
              </w:rPr>
            </w:pPr>
            <w:r w:rsidRPr="00EB53AA">
              <w:rPr>
                <w:rFonts w:eastAsia="Calibri"/>
                <w:sz w:val="24"/>
                <w:szCs w:val="24"/>
              </w:rPr>
              <w:t>Moisture</w:t>
            </w:r>
            <w:r w:rsidR="005C6227">
              <w:rPr>
                <w:rFonts w:eastAsia="Calibri"/>
                <w:sz w:val="24"/>
                <w:szCs w:val="24"/>
              </w:rPr>
              <w:t xml:space="preserve">, </w:t>
            </w:r>
            <w:r w:rsidRPr="00EB53AA">
              <w:rPr>
                <w:rFonts w:eastAsia="Calibri"/>
                <w:sz w:val="24"/>
                <w:szCs w:val="24"/>
              </w:rPr>
              <w:t>%</w:t>
            </w:r>
          </w:p>
        </w:tc>
        <w:tc>
          <w:tcPr>
            <w:tcW w:w="1701" w:type="dxa"/>
          </w:tcPr>
          <w:p w14:paraId="253EF7E5" w14:textId="77777777" w:rsidR="00EB53AA" w:rsidRPr="00EB53AA" w:rsidRDefault="005C6227" w:rsidP="00EB53AA">
            <w:pPr>
              <w:pBdr>
                <w:bottom w:val="single" w:sz="4" w:space="1" w:color="auto"/>
              </w:pBdr>
              <w:spacing w:line="276" w:lineRule="auto"/>
              <w:jc w:val="both"/>
              <w:rPr>
                <w:rFonts w:eastAsia="Calibri"/>
                <w:sz w:val="24"/>
                <w:szCs w:val="24"/>
              </w:rPr>
            </w:pPr>
            <w:r>
              <w:rPr>
                <w:rFonts w:eastAsia="Calibri"/>
                <w:sz w:val="24"/>
                <w:szCs w:val="24"/>
              </w:rPr>
              <w:t xml:space="preserve">VS, </w:t>
            </w:r>
            <w:r w:rsidR="00EB53AA" w:rsidRPr="00EB53AA">
              <w:rPr>
                <w:rFonts w:eastAsia="Calibri"/>
                <w:sz w:val="24"/>
                <w:szCs w:val="24"/>
              </w:rPr>
              <w:t>%</w:t>
            </w:r>
          </w:p>
        </w:tc>
        <w:tc>
          <w:tcPr>
            <w:tcW w:w="1417" w:type="dxa"/>
          </w:tcPr>
          <w:p w14:paraId="7BB8D89D" w14:textId="77777777" w:rsidR="00EB53AA" w:rsidRPr="00EB53AA" w:rsidRDefault="005C6227" w:rsidP="00EB53AA">
            <w:pPr>
              <w:pBdr>
                <w:bottom w:val="single" w:sz="4" w:space="1" w:color="auto"/>
              </w:pBdr>
              <w:spacing w:line="276" w:lineRule="auto"/>
              <w:jc w:val="both"/>
              <w:rPr>
                <w:rFonts w:eastAsia="Calibri"/>
                <w:sz w:val="24"/>
                <w:szCs w:val="24"/>
              </w:rPr>
            </w:pPr>
            <w:r>
              <w:rPr>
                <w:rFonts w:eastAsia="Calibri"/>
                <w:sz w:val="24"/>
                <w:szCs w:val="24"/>
              </w:rPr>
              <w:t xml:space="preserve">Ash, </w:t>
            </w:r>
            <w:r w:rsidR="00EB53AA" w:rsidRPr="00EB53AA">
              <w:rPr>
                <w:rFonts w:eastAsia="Calibri"/>
                <w:sz w:val="24"/>
                <w:szCs w:val="24"/>
              </w:rPr>
              <w:t>%</w:t>
            </w:r>
          </w:p>
        </w:tc>
        <w:tc>
          <w:tcPr>
            <w:tcW w:w="1305" w:type="dxa"/>
          </w:tcPr>
          <w:p w14:paraId="7D5B09B9" w14:textId="77777777" w:rsidR="00EB53AA" w:rsidRPr="00EB53AA" w:rsidRDefault="00EB53AA" w:rsidP="00EB53AA">
            <w:pPr>
              <w:pBdr>
                <w:bottom w:val="single" w:sz="4" w:space="1" w:color="auto"/>
              </w:pBdr>
              <w:spacing w:line="276" w:lineRule="auto"/>
              <w:jc w:val="both"/>
              <w:rPr>
                <w:rFonts w:eastAsia="Calibri"/>
                <w:sz w:val="24"/>
                <w:szCs w:val="24"/>
              </w:rPr>
            </w:pPr>
            <w:r w:rsidRPr="00EB53AA">
              <w:rPr>
                <w:rFonts w:eastAsia="Calibri"/>
                <w:sz w:val="24"/>
                <w:szCs w:val="24"/>
              </w:rPr>
              <w:t>VS/TS</w:t>
            </w:r>
          </w:p>
        </w:tc>
        <w:tc>
          <w:tcPr>
            <w:tcW w:w="708" w:type="dxa"/>
          </w:tcPr>
          <w:p w14:paraId="289106CE" w14:textId="77777777" w:rsidR="00EB53AA" w:rsidRPr="00EB53AA" w:rsidRDefault="00EB53AA" w:rsidP="00EB53AA">
            <w:pPr>
              <w:pBdr>
                <w:bottom w:val="single" w:sz="4" w:space="1" w:color="auto"/>
              </w:pBdr>
              <w:spacing w:line="276" w:lineRule="auto"/>
              <w:jc w:val="both"/>
              <w:rPr>
                <w:rFonts w:eastAsia="Calibri"/>
                <w:sz w:val="24"/>
                <w:szCs w:val="24"/>
              </w:rPr>
            </w:pPr>
            <w:r w:rsidRPr="00EB53AA">
              <w:rPr>
                <w:sz w:val="24"/>
                <w:szCs w:val="24"/>
              </w:rPr>
              <w:t>pH</w:t>
            </w:r>
          </w:p>
        </w:tc>
      </w:tr>
      <w:tr w:rsidR="00EB53AA" w:rsidRPr="00EB53AA" w14:paraId="7AC240FC" w14:textId="77777777" w:rsidTr="00271EE1">
        <w:tc>
          <w:tcPr>
            <w:tcW w:w="1401" w:type="dxa"/>
          </w:tcPr>
          <w:p w14:paraId="57A805F0"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Tomato</w:t>
            </w:r>
          </w:p>
        </w:tc>
        <w:tc>
          <w:tcPr>
            <w:tcW w:w="1542" w:type="dxa"/>
          </w:tcPr>
          <w:p w14:paraId="63F8BC40"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4.6 ± 0.1</w:t>
            </w:r>
          </w:p>
        </w:tc>
        <w:tc>
          <w:tcPr>
            <w:tcW w:w="1560" w:type="dxa"/>
          </w:tcPr>
          <w:p w14:paraId="585ACAF3"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95.4 ± 0.1</w:t>
            </w:r>
          </w:p>
        </w:tc>
        <w:tc>
          <w:tcPr>
            <w:tcW w:w="1701" w:type="dxa"/>
          </w:tcPr>
          <w:p w14:paraId="2E28B51A"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95.75 ± 0.01</w:t>
            </w:r>
          </w:p>
        </w:tc>
        <w:tc>
          <w:tcPr>
            <w:tcW w:w="1417" w:type="dxa"/>
          </w:tcPr>
          <w:p w14:paraId="6AB884B4"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5.25 ± 0.01</w:t>
            </w:r>
          </w:p>
        </w:tc>
        <w:tc>
          <w:tcPr>
            <w:tcW w:w="1305" w:type="dxa"/>
          </w:tcPr>
          <w:p w14:paraId="43C7DA90"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95.2 ± 0.1</w:t>
            </w:r>
          </w:p>
        </w:tc>
        <w:tc>
          <w:tcPr>
            <w:tcW w:w="708" w:type="dxa"/>
          </w:tcPr>
          <w:p w14:paraId="651892BD" w14:textId="77777777" w:rsidR="00EB53AA" w:rsidRPr="00EB53AA" w:rsidRDefault="00EB53AA" w:rsidP="00EB53AA">
            <w:pPr>
              <w:spacing w:line="276" w:lineRule="auto"/>
              <w:jc w:val="both"/>
              <w:rPr>
                <w:rFonts w:eastAsia="Calibri"/>
                <w:sz w:val="24"/>
                <w:szCs w:val="24"/>
              </w:rPr>
            </w:pPr>
            <w:r w:rsidRPr="00EB53AA">
              <w:rPr>
                <w:sz w:val="24"/>
                <w:szCs w:val="24"/>
              </w:rPr>
              <w:t>5.0</w:t>
            </w:r>
          </w:p>
        </w:tc>
      </w:tr>
      <w:tr w:rsidR="00EB53AA" w:rsidRPr="00EB53AA" w14:paraId="3BA236EE" w14:textId="77777777" w:rsidTr="00271EE1">
        <w:tc>
          <w:tcPr>
            <w:tcW w:w="1401" w:type="dxa"/>
          </w:tcPr>
          <w:p w14:paraId="09440C12"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Banana</w:t>
            </w:r>
          </w:p>
        </w:tc>
        <w:tc>
          <w:tcPr>
            <w:tcW w:w="1542" w:type="dxa"/>
          </w:tcPr>
          <w:p w14:paraId="128FC038"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18.24 ± 0.02</w:t>
            </w:r>
          </w:p>
        </w:tc>
        <w:tc>
          <w:tcPr>
            <w:tcW w:w="1560" w:type="dxa"/>
          </w:tcPr>
          <w:p w14:paraId="2FCDE83B"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81.78 ± 0.02</w:t>
            </w:r>
          </w:p>
        </w:tc>
        <w:tc>
          <w:tcPr>
            <w:tcW w:w="1701" w:type="dxa"/>
          </w:tcPr>
          <w:p w14:paraId="0952E8A4"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88.52 ± 0.02</w:t>
            </w:r>
          </w:p>
        </w:tc>
        <w:tc>
          <w:tcPr>
            <w:tcW w:w="1417" w:type="dxa"/>
          </w:tcPr>
          <w:p w14:paraId="4CB3A0D0"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3.27 ± 0.01</w:t>
            </w:r>
          </w:p>
        </w:tc>
        <w:tc>
          <w:tcPr>
            <w:tcW w:w="1305" w:type="dxa"/>
          </w:tcPr>
          <w:p w14:paraId="222D1F1C"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88.5 ± 0.2</w:t>
            </w:r>
          </w:p>
        </w:tc>
        <w:tc>
          <w:tcPr>
            <w:tcW w:w="708" w:type="dxa"/>
          </w:tcPr>
          <w:p w14:paraId="380F3CF4" w14:textId="77777777" w:rsidR="00EB53AA" w:rsidRPr="00EB53AA" w:rsidRDefault="00EB53AA" w:rsidP="00EB53AA">
            <w:pPr>
              <w:spacing w:line="276" w:lineRule="auto"/>
              <w:jc w:val="both"/>
              <w:rPr>
                <w:rFonts w:eastAsia="Calibri"/>
                <w:sz w:val="24"/>
                <w:szCs w:val="24"/>
              </w:rPr>
            </w:pPr>
            <w:r w:rsidRPr="00EB53AA">
              <w:rPr>
                <w:sz w:val="24"/>
                <w:szCs w:val="24"/>
              </w:rPr>
              <w:t>5.5</w:t>
            </w:r>
          </w:p>
        </w:tc>
      </w:tr>
      <w:tr w:rsidR="00EB53AA" w:rsidRPr="00EB53AA" w14:paraId="384382D8" w14:textId="77777777" w:rsidTr="00271EE1">
        <w:tc>
          <w:tcPr>
            <w:tcW w:w="1401" w:type="dxa"/>
          </w:tcPr>
          <w:p w14:paraId="59221D94"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Mango</w:t>
            </w:r>
          </w:p>
        </w:tc>
        <w:tc>
          <w:tcPr>
            <w:tcW w:w="1542" w:type="dxa"/>
          </w:tcPr>
          <w:p w14:paraId="0CD59DCC"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17.8 ± 0.1</w:t>
            </w:r>
          </w:p>
        </w:tc>
        <w:tc>
          <w:tcPr>
            <w:tcW w:w="1560" w:type="dxa"/>
          </w:tcPr>
          <w:p w14:paraId="7A134537"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82.2 ± 0.1</w:t>
            </w:r>
          </w:p>
        </w:tc>
        <w:tc>
          <w:tcPr>
            <w:tcW w:w="1701" w:type="dxa"/>
          </w:tcPr>
          <w:p w14:paraId="50535254"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93.8 ± 0.1</w:t>
            </w:r>
          </w:p>
        </w:tc>
        <w:tc>
          <w:tcPr>
            <w:tcW w:w="1417" w:type="dxa"/>
          </w:tcPr>
          <w:p w14:paraId="278A4A64"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6.2 ± 0.1</w:t>
            </w:r>
          </w:p>
        </w:tc>
        <w:tc>
          <w:tcPr>
            <w:tcW w:w="1305" w:type="dxa"/>
          </w:tcPr>
          <w:p w14:paraId="7F54AB0D"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93.4 ± 0.1</w:t>
            </w:r>
          </w:p>
        </w:tc>
        <w:tc>
          <w:tcPr>
            <w:tcW w:w="708" w:type="dxa"/>
          </w:tcPr>
          <w:p w14:paraId="6E3311EC" w14:textId="77777777" w:rsidR="00EB53AA" w:rsidRPr="00EB53AA" w:rsidRDefault="00EB53AA" w:rsidP="00EB53AA">
            <w:pPr>
              <w:spacing w:line="276" w:lineRule="auto"/>
              <w:jc w:val="both"/>
              <w:rPr>
                <w:rFonts w:eastAsia="Calibri"/>
                <w:sz w:val="24"/>
                <w:szCs w:val="24"/>
              </w:rPr>
            </w:pPr>
            <w:r w:rsidRPr="00EB53AA">
              <w:rPr>
                <w:sz w:val="24"/>
                <w:szCs w:val="24"/>
              </w:rPr>
              <w:t>6.0</w:t>
            </w:r>
          </w:p>
        </w:tc>
      </w:tr>
      <w:tr w:rsidR="00EB53AA" w:rsidRPr="00EB53AA" w14:paraId="6D7F5C8D" w14:textId="77777777" w:rsidTr="00271EE1">
        <w:trPr>
          <w:trHeight w:val="144"/>
        </w:trPr>
        <w:tc>
          <w:tcPr>
            <w:tcW w:w="1401" w:type="dxa"/>
          </w:tcPr>
          <w:p w14:paraId="10FF78E8"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Papaya</w:t>
            </w:r>
          </w:p>
        </w:tc>
        <w:tc>
          <w:tcPr>
            <w:tcW w:w="1542" w:type="dxa"/>
          </w:tcPr>
          <w:p w14:paraId="33CE06FE"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10.2 ± 0.1</w:t>
            </w:r>
          </w:p>
        </w:tc>
        <w:tc>
          <w:tcPr>
            <w:tcW w:w="1560" w:type="dxa"/>
          </w:tcPr>
          <w:p w14:paraId="01EF0649"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89.8 ± 0.1</w:t>
            </w:r>
          </w:p>
        </w:tc>
        <w:tc>
          <w:tcPr>
            <w:tcW w:w="1701" w:type="dxa"/>
          </w:tcPr>
          <w:p w14:paraId="49D0C0FC"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93.22 ± 0.52</w:t>
            </w:r>
          </w:p>
        </w:tc>
        <w:tc>
          <w:tcPr>
            <w:tcW w:w="1417" w:type="dxa"/>
          </w:tcPr>
          <w:p w14:paraId="688872AA"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6.78 ± 0.01</w:t>
            </w:r>
          </w:p>
        </w:tc>
        <w:tc>
          <w:tcPr>
            <w:tcW w:w="1305" w:type="dxa"/>
          </w:tcPr>
          <w:p w14:paraId="55A3E2E9"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93.2 ± 0.2</w:t>
            </w:r>
          </w:p>
        </w:tc>
        <w:tc>
          <w:tcPr>
            <w:tcW w:w="708" w:type="dxa"/>
          </w:tcPr>
          <w:p w14:paraId="0B44E7DA" w14:textId="77777777" w:rsidR="00EB53AA" w:rsidRPr="00EB53AA" w:rsidRDefault="00EB53AA" w:rsidP="00EB53AA">
            <w:pPr>
              <w:spacing w:line="276" w:lineRule="auto"/>
              <w:jc w:val="both"/>
              <w:rPr>
                <w:rFonts w:eastAsia="Calibri"/>
                <w:sz w:val="24"/>
                <w:szCs w:val="24"/>
              </w:rPr>
            </w:pPr>
            <w:r w:rsidRPr="00EB53AA">
              <w:rPr>
                <w:sz w:val="24"/>
                <w:szCs w:val="24"/>
              </w:rPr>
              <w:t>5.5</w:t>
            </w:r>
          </w:p>
        </w:tc>
      </w:tr>
    </w:tbl>
    <w:p w14:paraId="4A0E7C91" w14:textId="77777777" w:rsidR="00EB53AA" w:rsidRPr="00EB53AA" w:rsidRDefault="00EB53AA" w:rsidP="00EB53AA">
      <w:pPr>
        <w:spacing w:line="360" w:lineRule="auto"/>
        <w:jc w:val="both"/>
        <w:rPr>
          <w:rFonts w:ascii="Times New Roman" w:eastAsia="Calibri" w:hAnsi="Times New Roman" w:cs="Times New Roman"/>
          <w:sz w:val="24"/>
          <w:szCs w:val="24"/>
          <w:lang w:val="en-US"/>
        </w:rPr>
      </w:pPr>
      <w:r w:rsidRPr="00EB53AA">
        <w:rPr>
          <w:rFonts w:ascii="Times New Roman" w:eastAsia="Calibri" w:hAnsi="Times New Roman" w:cs="Times New Roman"/>
          <w:sz w:val="24"/>
          <w:szCs w:val="24"/>
          <w:lang w:val="en-US"/>
        </w:rPr>
        <w:t xml:space="preserve">* The results are in the form of </w:t>
      </w:r>
      <w:r w:rsidR="00271EE1">
        <w:rPr>
          <w:rFonts w:ascii="Times New Roman" w:eastAsia="Calibri" w:hAnsi="Times New Roman" w:cs="Times New Roman"/>
          <w:sz w:val="24"/>
          <w:szCs w:val="24"/>
          <w:lang w:val="en-US"/>
        </w:rPr>
        <w:t>m</w:t>
      </w:r>
      <w:r w:rsidRPr="00EB53AA">
        <w:rPr>
          <w:rFonts w:ascii="Times New Roman" w:eastAsia="Calibri" w:hAnsi="Times New Roman" w:cs="Times New Roman"/>
          <w:sz w:val="24"/>
          <w:szCs w:val="24"/>
          <w:lang w:val="en-US"/>
        </w:rPr>
        <w:t>ean ± SD</w:t>
      </w:r>
    </w:p>
    <w:p w14:paraId="28CD9D85" w14:textId="77777777" w:rsidR="00EB53AA" w:rsidRPr="00EB53AA" w:rsidRDefault="00271EE1" w:rsidP="00EB53AA">
      <w:pPr>
        <w:spacing w:after="0" w:line="48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non-volatile solids </w:t>
      </w:r>
      <w:r w:rsidR="00EB53AA" w:rsidRPr="00EB53AA">
        <w:rPr>
          <w:rFonts w:ascii="Times New Roman" w:eastAsia="Calibri" w:hAnsi="Times New Roman" w:cs="Times New Roman"/>
          <w:sz w:val="24"/>
          <w:szCs w:val="24"/>
          <w:lang w:val="en-US"/>
        </w:rPr>
        <w:t>or</w:t>
      </w:r>
      <w:r>
        <w:rPr>
          <w:rFonts w:ascii="Times New Roman" w:eastAsia="Calibri" w:hAnsi="Times New Roman" w:cs="Times New Roman"/>
          <w:sz w:val="24"/>
          <w:szCs w:val="24"/>
          <w:lang w:val="en-US"/>
        </w:rPr>
        <w:t xml:space="preserve"> the</w:t>
      </w:r>
      <w:r w:rsidR="00EB53AA" w:rsidRPr="00EB53AA">
        <w:rPr>
          <w:rFonts w:ascii="Times New Roman" w:eastAsia="Calibri" w:hAnsi="Times New Roman" w:cs="Times New Roman"/>
          <w:sz w:val="24"/>
          <w:szCs w:val="24"/>
          <w:lang w:val="en-US"/>
        </w:rPr>
        <w:t xml:space="preserve"> ash content</w:t>
      </w:r>
      <w:r>
        <w:rPr>
          <w:rFonts w:ascii="Times New Roman" w:eastAsia="Calibri" w:hAnsi="Times New Roman" w:cs="Times New Roman"/>
          <w:sz w:val="24"/>
          <w:szCs w:val="24"/>
          <w:lang w:val="en-US"/>
        </w:rPr>
        <w:t xml:space="preserve"> of a substrate will occupy the </w:t>
      </w:r>
      <w:r w:rsidR="00EB53AA" w:rsidRPr="00EB53AA">
        <w:rPr>
          <w:rFonts w:ascii="Times New Roman" w:eastAsia="Calibri" w:hAnsi="Times New Roman" w:cs="Times New Roman"/>
          <w:sz w:val="24"/>
          <w:szCs w:val="24"/>
          <w:lang w:val="en-US"/>
        </w:rPr>
        <w:t xml:space="preserve">digester volume and will not contribute to biogas production. As </w:t>
      </w:r>
      <w:r>
        <w:rPr>
          <w:rFonts w:ascii="Times New Roman" w:eastAsia="Calibri" w:hAnsi="Times New Roman" w:cs="Times New Roman"/>
          <w:sz w:val="24"/>
          <w:szCs w:val="24"/>
          <w:lang w:val="en-US"/>
        </w:rPr>
        <w:t xml:space="preserve">it </w:t>
      </w:r>
      <w:r w:rsidR="00EB53AA" w:rsidRPr="00EB53AA">
        <w:rPr>
          <w:rFonts w:ascii="Times New Roman" w:eastAsia="Calibri" w:hAnsi="Times New Roman" w:cs="Times New Roman"/>
          <w:sz w:val="24"/>
          <w:szCs w:val="24"/>
          <w:lang w:val="en-US"/>
        </w:rPr>
        <w:t xml:space="preserve">can be seen from Table </w:t>
      </w:r>
      <w:r>
        <w:rPr>
          <w:rFonts w:ascii="Times New Roman" w:eastAsia="Calibri" w:hAnsi="Times New Roman" w:cs="Times New Roman"/>
          <w:sz w:val="24"/>
          <w:szCs w:val="24"/>
          <w:lang w:val="en-US"/>
        </w:rPr>
        <w:t>S</w:t>
      </w:r>
      <w:r w:rsidR="00EB53AA" w:rsidRPr="00EB53AA">
        <w:rPr>
          <w:rFonts w:ascii="Times New Roman" w:eastAsia="Calibri" w:hAnsi="Times New Roman" w:cs="Times New Roman"/>
          <w:sz w:val="24"/>
          <w:szCs w:val="24"/>
          <w:lang w:val="en-US"/>
        </w:rPr>
        <w:t xml:space="preserve">1, the ash content ranges from 3.27 to 6.78 %. The highest ash content was obtained for papaya substrate while the lowest was obtained for the banana substrate. The VS/TS indicates the fraction of organic matter that can be converted into biogas by the microorganisms. As seen from Table S1, the </w:t>
      </w:r>
      <w:r>
        <w:rPr>
          <w:rFonts w:ascii="Times New Roman" w:eastAsia="Calibri" w:hAnsi="Times New Roman" w:cs="Times New Roman"/>
          <w:sz w:val="24"/>
          <w:szCs w:val="24"/>
          <w:lang w:val="en-US"/>
        </w:rPr>
        <w:t>VS/TS ratio</w:t>
      </w:r>
      <w:r w:rsidR="00EB53AA" w:rsidRPr="00EB53AA">
        <w:rPr>
          <w:rFonts w:ascii="Times New Roman" w:eastAsia="Calibri" w:hAnsi="Times New Roman" w:cs="Times New Roman"/>
          <w:sz w:val="24"/>
          <w:szCs w:val="24"/>
          <w:lang w:val="en-US"/>
        </w:rPr>
        <w:t xml:space="preserve"> was in the range of 5.3 to 20.8 for the four different substrates. It was highest for the tomato substrate and lowest for the mango substrate. pH plays an important role in the digestion process as each group of microorganisms survives at different pH ranges. Most microorganisms favor a neutral pH environment. </w:t>
      </w:r>
      <w:r>
        <w:rPr>
          <w:rFonts w:ascii="Times New Roman" w:eastAsia="Calibri" w:hAnsi="Times New Roman" w:cs="Times New Roman"/>
          <w:sz w:val="24"/>
          <w:szCs w:val="24"/>
          <w:lang w:val="en-US"/>
        </w:rPr>
        <w:t>T</w:t>
      </w:r>
      <w:r w:rsidR="00EB53AA" w:rsidRPr="00EB53AA">
        <w:rPr>
          <w:rFonts w:ascii="Times New Roman" w:eastAsia="Calibri" w:hAnsi="Times New Roman" w:cs="Times New Roman"/>
          <w:sz w:val="24"/>
          <w:szCs w:val="24"/>
          <w:lang w:val="en-US"/>
        </w:rPr>
        <w:t xml:space="preserve">he pH was </w:t>
      </w:r>
      <w:r>
        <w:rPr>
          <w:rFonts w:ascii="Times New Roman" w:eastAsia="Calibri" w:hAnsi="Times New Roman" w:cs="Times New Roman"/>
          <w:sz w:val="24"/>
          <w:szCs w:val="24"/>
          <w:lang w:val="en-US"/>
        </w:rPr>
        <w:t>less than</w:t>
      </w:r>
      <w:r w:rsidR="00EB53AA" w:rsidRPr="00EB53AA">
        <w:rPr>
          <w:rFonts w:ascii="Times New Roman" w:eastAsia="Calibri" w:hAnsi="Times New Roman" w:cs="Times New Roman"/>
          <w:sz w:val="24"/>
          <w:szCs w:val="24"/>
          <w:lang w:val="en-US"/>
        </w:rPr>
        <w:t xml:space="preserve"> 6.5 for all the substrates. </w:t>
      </w:r>
      <w:r w:rsidR="00EB53AA" w:rsidRPr="00EB53AA">
        <w:rPr>
          <w:rFonts w:ascii="Times New Roman" w:eastAsia="Calibri" w:hAnsi="Times New Roman" w:cs="Times New Roman"/>
          <w:sz w:val="24"/>
          <w:szCs w:val="24"/>
          <w:lang w:val="en-US"/>
        </w:rPr>
        <w:lastRenderedPageBreak/>
        <w:t xml:space="preserve">Among the four substrates, the pH was the highest for the substrate obtained from mango followed by banana and papaya, and it was the lowest for tomato. Biogas production from tomato waste is therefore expected to be the lowest. </w:t>
      </w:r>
    </w:p>
    <w:p w14:paraId="7320BECC" w14:textId="77777777" w:rsidR="00EB53AA" w:rsidRPr="00EB53AA" w:rsidRDefault="00EB53AA" w:rsidP="00EB53AA">
      <w:pPr>
        <w:spacing w:after="0" w:line="480" w:lineRule="auto"/>
        <w:jc w:val="both"/>
        <w:rPr>
          <w:rFonts w:ascii="Times New Roman" w:eastAsia="Calibri" w:hAnsi="Times New Roman" w:cs="Times New Roman"/>
          <w:b/>
          <w:sz w:val="24"/>
          <w:szCs w:val="24"/>
          <w:lang w:val="en-US"/>
        </w:rPr>
      </w:pPr>
      <w:r w:rsidRPr="00EB53AA">
        <w:rPr>
          <w:rFonts w:ascii="Times New Roman" w:eastAsia="Calibri" w:hAnsi="Times New Roman" w:cs="Times New Roman"/>
          <w:b/>
          <w:sz w:val="24"/>
          <w:szCs w:val="24"/>
          <w:lang w:val="en-US"/>
        </w:rPr>
        <w:t>Determination of chemical oxygen demand (COD) of the substrates</w:t>
      </w:r>
    </w:p>
    <w:p w14:paraId="4A447CE3" w14:textId="77777777" w:rsidR="00EB53AA" w:rsidRPr="00EB53AA" w:rsidRDefault="00EB53AA" w:rsidP="00EB53AA">
      <w:pPr>
        <w:spacing w:after="0" w:line="480" w:lineRule="auto"/>
        <w:jc w:val="both"/>
        <w:rPr>
          <w:rFonts w:ascii="Times New Roman" w:eastAsia="Calibri" w:hAnsi="Times New Roman" w:cs="Times New Roman"/>
          <w:sz w:val="24"/>
          <w:szCs w:val="24"/>
          <w:lang w:val="en-US"/>
        </w:rPr>
      </w:pPr>
      <w:r w:rsidRPr="00EB53AA">
        <w:rPr>
          <w:rFonts w:ascii="Times New Roman" w:eastAsia="Calibri" w:hAnsi="Times New Roman" w:cs="Times New Roman"/>
          <w:sz w:val="24"/>
          <w:szCs w:val="24"/>
          <w:lang w:val="en-US"/>
        </w:rPr>
        <w:t xml:space="preserve">Chemical oxygen demand (COD) is the oxygen required to oxidize soluble and particulate organic matter. Higher COD levels mean a greater amount of oxidizable organic material in the sample. The COD values of different fruits are shown in Table S2. The value for the four fruit substrates ranged from 0.88 to 1.37 g/L Among the four fruits, the lowest COD was found for the tomato substrate and the highest value was obtained for mango. The value of the mixture was the highest. </w:t>
      </w:r>
    </w:p>
    <w:p w14:paraId="4077F625" w14:textId="77777777" w:rsidR="00EB53AA" w:rsidRPr="00EB53AA" w:rsidRDefault="00EB53AA" w:rsidP="00EB53AA">
      <w:pPr>
        <w:spacing w:line="360" w:lineRule="auto"/>
        <w:jc w:val="both"/>
        <w:rPr>
          <w:rFonts w:ascii="Times New Roman" w:eastAsia="Calibri" w:hAnsi="Times New Roman" w:cs="Times New Roman"/>
          <w:sz w:val="24"/>
          <w:szCs w:val="24"/>
          <w:lang w:val="en-US"/>
        </w:rPr>
      </w:pPr>
      <w:r w:rsidRPr="00EB53AA">
        <w:rPr>
          <w:rFonts w:ascii="Times New Roman" w:eastAsia="Calibri" w:hAnsi="Times New Roman" w:cs="Times New Roman"/>
          <w:b/>
          <w:sz w:val="24"/>
          <w:szCs w:val="24"/>
          <w:lang w:val="en-US"/>
        </w:rPr>
        <w:t>Table S2</w:t>
      </w:r>
      <w:r w:rsidRPr="00EB53AA">
        <w:rPr>
          <w:rFonts w:ascii="Times New Roman" w:eastAsia="Calibri" w:hAnsi="Times New Roman" w:cs="Times New Roman"/>
          <w:sz w:val="24"/>
          <w:szCs w:val="24"/>
          <w:lang w:val="en-US"/>
        </w:rPr>
        <w:t xml:space="preserve">. COD values </w:t>
      </w:r>
      <w:r w:rsidR="009A439F">
        <w:rPr>
          <w:rFonts w:ascii="Times New Roman" w:eastAsia="Calibri" w:hAnsi="Times New Roman" w:cs="Times New Roman"/>
          <w:sz w:val="24"/>
          <w:szCs w:val="24"/>
          <w:lang w:val="en-US"/>
        </w:rPr>
        <w:t>(</w:t>
      </w:r>
      <w:r w:rsidR="009A439F" w:rsidRPr="00EB53AA">
        <w:rPr>
          <w:rFonts w:ascii="Times New Roman" w:eastAsia="Calibri" w:hAnsi="Times New Roman" w:cs="Times New Roman"/>
          <w:sz w:val="24"/>
          <w:szCs w:val="24"/>
          <w:lang w:val="en-US"/>
        </w:rPr>
        <w:t>g/L</w:t>
      </w:r>
      <w:r w:rsidR="009A439F">
        <w:rPr>
          <w:rFonts w:ascii="Times New Roman" w:eastAsia="Calibri" w:hAnsi="Times New Roman" w:cs="Times New Roman"/>
          <w:sz w:val="24"/>
          <w:szCs w:val="24"/>
          <w:lang w:val="en-US"/>
        </w:rPr>
        <w:t>)</w:t>
      </w:r>
      <w:r w:rsidR="009A439F" w:rsidRPr="00EB53AA">
        <w:rPr>
          <w:rFonts w:ascii="Times New Roman" w:eastAsia="Calibri" w:hAnsi="Times New Roman" w:cs="Times New Roman"/>
          <w:sz w:val="24"/>
          <w:szCs w:val="24"/>
          <w:lang w:val="en-US"/>
        </w:rPr>
        <w:t xml:space="preserve"> </w:t>
      </w:r>
      <w:r w:rsidRPr="00EB53AA">
        <w:rPr>
          <w:rFonts w:ascii="Times New Roman" w:eastAsia="Calibri" w:hAnsi="Times New Roman" w:cs="Times New Roman"/>
          <w:sz w:val="24"/>
          <w:szCs w:val="24"/>
          <w:lang w:val="en-US"/>
        </w:rPr>
        <w:t xml:space="preserve">of different substrates </w:t>
      </w:r>
    </w:p>
    <w:tbl>
      <w:tblPr>
        <w:tblStyle w:val="TableGrid3"/>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3"/>
        <w:gridCol w:w="1308"/>
      </w:tblGrid>
      <w:tr w:rsidR="00EB53AA" w:rsidRPr="00EB53AA" w14:paraId="16F53F2A" w14:textId="77777777" w:rsidTr="00271EE1">
        <w:trPr>
          <w:jc w:val="center"/>
        </w:trPr>
        <w:tc>
          <w:tcPr>
            <w:tcW w:w="0" w:type="auto"/>
            <w:tcBorders>
              <w:top w:val="single" w:sz="4" w:space="0" w:color="auto"/>
              <w:bottom w:val="single" w:sz="4" w:space="0" w:color="auto"/>
            </w:tcBorders>
          </w:tcPr>
          <w:p w14:paraId="552AAF93" w14:textId="77777777" w:rsidR="00EB53AA" w:rsidRPr="00EB53AA" w:rsidRDefault="00EB53AA" w:rsidP="00EB53AA">
            <w:pPr>
              <w:spacing w:line="276" w:lineRule="auto"/>
              <w:jc w:val="both"/>
              <w:rPr>
                <w:rFonts w:eastAsia="Calibri"/>
                <w:b/>
                <w:sz w:val="24"/>
                <w:szCs w:val="24"/>
              </w:rPr>
            </w:pPr>
            <w:r w:rsidRPr="00EB53AA">
              <w:rPr>
                <w:rFonts w:eastAsia="Calibri"/>
                <w:b/>
                <w:sz w:val="24"/>
                <w:szCs w:val="24"/>
              </w:rPr>
              <w:t xml:space="preserve">Feedstock </w:t>
            </w:r>
          </w:p>
        </w:tc>
        <w:tc>
          <w:tcPr>
            <w:tcW w:w="0" w:type="auto"/>
            <w:tcBorders>
              <w:top w:val="single" w:sz="4" w:space="0" w:color="auto"/>
              <w:bottom w:val="single" w:sz="4" w:space="0" w:color="auto"/>
            </w:tcBorders>
          </w:tcPr>
          <w:p w14:paraId="619E74D7" w14:textId="77777777" w:rsidR="00EB53AA" w:rsidRPr="00EB53AA" w:rsidRDefault="00EB53AA" w:rsidP="00EB53AA">
            <w:pPr>
              <w:spacing w:line="276" w:lineRule="auto"/>
              <w:jc w:val="both"/>
              <w:rPr>
                <w:rFonts w:eastAsia="Calibri"/>
                <w:b/>
                <w:sz w:val="24"/>
                <w:szCs w:val="24"/>
              </w:rPr>
            </w:pPr>
            <w:r w:rsidRPr="00EB53AA">
              <w:rPr>
                <w:rFonts w:eastAsia="Calibri"/>
                <w:b/>
                <w:sz w:val="24"/>
                <w:szCs w:val="24"/>
              </w:rPr>
              <w:t>COD, g/L</w:t>
            </w:r>
          </w:p>
        </w:tc>
      </w:tr>
      <w:tr w:rsidR="00EB53AA" w:rsidRPr="00EB53AA" w14:paraId="3F3CE244" w14:textId="77777777" w:rsidTr="00271EE1">
        <w:trPr>
          <w:jc w:val="center"/>
        </w:trPr>
        <w:tc>
          <w:tcPr>
            <w:tcW w:w="0" w:type="auto"/>
            <w:tcBorders>
              <w:top w:val="single" w:sz="4" w:space="0" w:color="auto"/>
            </w:tcBorders>
          </w:tcPr>
          <w:p w14:paraId="5984E6AD"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 xml:space="preserve">Tomato </w:t>
            </w:r>
          </w:p>
        </w:tc>
        <w:tc>
          <w:tcPr>
            <w:tcW w:w="0" w:type="auto"/>
            <w:tcBorders>
              <w:top w:val="single" w:sz="4" w:space="0" w:color="auto"/>
            </w:tcBorders>
          </w:tcPr>
          <w:p w14:paraId="5A92726F"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0.88 ± 0.01</w:t>
            </w:r>
          </w:p>
        </w:tc>
      </w:tr>
      <w:tr w:rsidR="00EB53AA" w:rsidRPr="00EB53AA" w14:paraId="274C3FE1" w14:textId="77777777" w:rsidTr="00271EE1">
        <w:trPr>
          <w:jc w:val="center"/>
        </w:trPr>
        <w:tc>
          <w:tcPr>
            <w:tcW w:w="0" w:type="auto"/>
          </w:tcPr>
          <w:p w14:paraId="1DC131A8"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Mango</w:t>
            </w:r>
          </w:p>
        </w:tc>
        <w:tc>
          <w:tcPr>
            <w:tcW w:w="0" w:type="auto"/>
          </w:tcPr>
          <w:p w14:paraId="179AC38A"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1.15 ± 0.02</w:t>
            </w:r>
          </w:p>
        </w:tc>
      </w:tr>
      <w:tr w:rsidR="00EB53AA" w:rsidRPr="00EB53AA" w14:paraId="5F629A50" w14:textId="77777777" w:rsidTr="00271EE1">
        <w:trPr>
          <w:jc w:val="center"/>
        </w:trPr>
        <w:tc>
          <w:tcPr>
            <w:tcW w:w="0" w:type="auto"/>
          </w:tcPr>
          <w:p w14:paraId="333B5DCD"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 xml:space="preserve">Banana </w:t>
            </w:r>
          </w:p>
        </w:tc>
        <w:tc>
          <w:tcPr>
            <w:tcW w:w="0" w:type="auto"/>
          </w:tcPr>
          <w:p w14:paraId="078A4AC2"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1.12 ± 0.02</w:t>
            </w:r>
          </w:p>
        </w:tc>
      </w:tr>
      <w:tr w:rsidR="00EB53AA" w:rsidRPr="00EB53AA" w14:paraId="4C2C1E76" w14:textId="77777777" w:rsidTr="00271EE1">
        <w:trPr>
          <w:jc w:val="center"/>
        </w:trPr>
        <w:tc>
          <w:tcPr>
            <w:tcW w:w="0" w:type="auto"/>
          </w:tcPr>
          <w:p w14:paraId="64C6E4D9"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Papaya</w:t>
            </w:r>
          </w:p>
        </w:tc>
        <w:tc>
          <w:tcPr>
            <w:tcW w:w="0" w:type="auto"/>
          </w:tcPr>
          <w:p w14:paraId="3D46475A"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1.00 ± 0.00</w:t>
            </w:r>
          </w:p>
        </w:tc>
      </w:tr>
      <w:tr w:rsidR="00EB53AA" w:rsidRPr="00EB53AA" w14:paraId="55EF12F6" w14:textId="77777777" w:rsidTr="00271EE1">
        <w:trPr>
          <w:jc w:val="center"/>
        </w:trPr>
        <w:tc>
          <w:tcPr>
            <w:tcW w:w="0" w:type="auto"/>
          </w:tcPr>
          <w:p w14:paraId="53997BBE"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Slurry mixture</w:t>
            </w:r>
          </w:p>
        </w:tc>
        <w:tc>
          <w:tcPr>
            <w:tcW w:w="0" w:type="auto"/>
          </w:tcPr>
          <w:p w14:paraId="422D10EC" w14:textId="77777777" w:rsidR="00EB53AA" w:rsidRPr="00EB53AA" w:rsidRDefault="00EB53AA" w:rsidP="00EB53AA">
            <w:pPr>
              <w:spacing w:line="276" w:lineRule="auto"/>
              <w:jc w:val="both"/>
              <w:rPr>
                <w:rFonts w:eastAsia="Calibri"/>
                <w:sz w:val="24"/>
                <w:szCs w:val="24"/>
              </w:rPr>
            </w:pPr>
            <w:r w:rsidRPr="00EB53AA">
              <w:rPr>
                <w:rFonts w:eastAsia="Calibri"/>
                <w:sz w:val="24"/>
                <w:szCs w:val="24"/>
              </w:rPr>
              <w:t>1.37 ± 0.01</w:t>
            </w:r>
          </w:p>
        </w:tc>
      </w:tr>
    </w:tbl>
    <w:p w14:paraId="4FB7506B" w14:textId="77777777" w:rsidR="00EB53AA" w:rsidRPr="00EB53AA" w:rsidRDefault="00EB53AA" w:rsidP="00EB53AA">
      <w:pPr>
        <w:spacing w:line="360" w:lineRule="auto"/>
        <w:jc w:val="both"/>
        <w:rPr>
          <w:rFonts w:ascii="Times New Roman" w:eastAsia="Calibri" w:hAnsi="Times New Roman" w:cs="Times New Roman"/>
          <w:b/>
          <w:sz w:val="24"/>
          <w:szCs w:val="24"/>
          <w:lang w:val="en-US"/>
        </w:rPr>
      </w:pPr>
    </w:p>
    <w:p w14:paraId="4694E5AC" w14:textId="77777777" w:rsidR="00EB53AA" w:rsidRPr="00EB53AA" w:rsidRDefault="00EB53AA" w:rsidP="00EB53AA">
      <w:pPr>
        <w:spacing w:line="360" w:lineRule="auto"/>
        <w:jc w:val="both"/>
        <w:rPr>
          <w:rFonts w:ascii="Times New Roman" w:eastAsia="Calibri" w:hAnsi="Times New Roman" w:cs="Times New Roman"/>
          <w:b/>
          <w:sz w:val="24"/>
          <w:szCs w:val="24"/>
          <w:lang w:val="en-US"/>
        </w:rPr>
      </w:pPr>
      <w:r w:rsidRPr="00EB53AA">
        <w:rPr>
          <w:rFonts w:ascii="Times New Roman" w:eastAsia="Calibri" w:hAnsi="Times New Roman" w:cs="Times New Roman"/>
          <w:b/>
          <w:sz w:val="24"/>
          <w:szCs w:val="24"/>
          <w:lang w:val="en-US"/>
        </w:rPr>
        <w:t>Accumulated methane production from the four fruit substrates and their mixture</w:t>
      </w:r>
    </w:p>
    <w:p w14:paraId="593BD84A" w14:textId="77777777" w:rsidR="00EB53AA" w:rsidRPr="00EB53AA" w:rsidRDefault="00EB53AA" w:rsidP="00EB53AA">
      <w:pPr>
        <w:spacing w:after="0" w:line="480" w:lineRule="auto"/>
        <w:jc w:val="both"/>
        <w:rPr>
          <w:rFonts w:ascii="Times New Roman" w:eastAsia="Calibri" w:hAnsi="Times New Roman" w:cs="Times New Roman"/>
          <w:sz w:val="24"/>
          <w:szCs w:val="24"/>
          <w:lang w:val="en-US"/>
        </w:rPr>
      </w:pPr>
      <w:r w:rsidRPr="00EB53AA">
        <w:rPr>
          <w:rFonts w:ascii="Times New Roman" w:eastAsia="Calibri" w:hAnsi="Times New Roman" w:cs="Times New Roman"/>
          <w:sz w:val="24"/>
          <w:szCs w:val="24"/>
          <w:lang w:val="en-US"/>
        </w:rPr>
        <w:t xml:space="preserve">As its fundamental standard, in order to know how much organics within the substrate is capable enough for conversion to methane, the fruit wastes </w:t>
      </w:r>
      <w:r w:rsidR="009A439F">
        <w:rPr>
          <w:rFonts w:ascii="Times New Roman" w:eastAsia="Calibri" w:hAnsi="Times New Roman" w:cs="Times New Roman"/>
          <w:sz w:val="24"/>
          <w:szCs w:val="24"/>
          <w:lang w:val="en-US"/>
        </w:rPr>
        <w:t>were mixed</w:t>
      </w:r>
      <w:r w:rsidRPr="00EB53AA">
        <w:rPr>
          <w:rFonts w:ascii="Times New Roman" w:eastAsia="Calibri" w:hAnsi="Times New Roman" w:cs="Times New Roman"/>
          <w:sz w:val="24"/>
          <w:szCs w:val="24"/>
          <w:lang w:val="en-US"/>
        </w:rPr>
        <w:t xml:space="preserve"> with the inoculum in </w:t>
      </w:r>
      <w:r w:rsidR="009A439F">
        <w:rPr>
          <w:rFonts w:ascii="Times New Roman" w:eastAsia="Calibri" w:hAnsi="Times New Roman" w:cs="Times New Roman"/>
          <w:sz w:val="24"/>
          <w:szCs w:val="24"/>
          <w:lang w:val="en-US"/>
        </w:rPr>
        <w:t xml:space="preserve">a </w:t>
      </w:r>
      <w:r w:rsidRPr="00EB53AA">
        <w:rPr>
          <w:rFonts w:ascii="Times New Roman" w:eastAsia="Calibri" w:hAnsi="Times New Roman" w:cs="Times New Roman"/>
          <w:sz w:val="24"/>
          <w:szCs w:val="24"/>
          <w:lang w:val="en-US"/>
        </w:rPr>
        <w:t xml:space="preserve">ratio of 2 </w:t>
      </w:r>
      <w:r w:rsidR="009A439F">
        <w:rPr>
          <w:rFonts w:ascii="Times New Roman" w:eastAsia="Calibri" w:hAnsi="Times New Roman" w:cs="Times New Roman"/>
          <w:sz w:val="24"/>
          <w:szCs w:val="24"/>
          <w:lang w:val="en-US"/>
        </w:rPr>
        <w:t xml:space="preserve">(i.e. </w:t>
      </w:r>
      <w:r w:rsidRPr="00EB53AA">
        <w:rPr>
          <w:rFonts w:ascii="Times New Roman" w:eastAsia="Calibri" w:hAnsi="Times New Roman" w:cs="Times New Roman"/>
          <w:sz w:val="24"/>
          <w:szCs w:val="24"/>
          <w:lang w:val="en-US"/>
        </w:rPr>
        <w:t>160 mL of the inoculum and 80 mL of each substrate</w:t>
      </w:r>
      <w:r w:rsidR="009A439F">
        <w:rPr>
          <w:rFonts w:ascii="Times New Roman" w:eastAsia="Calibri" w:hAnsi="Times New Roman" w:cs="Times New Roman"/>
          <w:sz w:val="24"/>
          <w:szCs w:val="24"/>
          <w:lang w:val="en-US"/>
        </w:rPr>
        <w:t>)</w:t>
      </w:r>
      <w:r w:rsidRPr="00EB53AA">
        <w:rPr>
          <w:rFonts w:ascii="Times New Roman" w:eastAsia="Calibri" w:hAnsi="Times New Roman" w:cs="Times New Roman"/>
          <w:sz w:val="24"/>
          <w:szCs w:val="24"/>
          <w:lang w:val="en-US"/>
        </w:rPr>
        <w:t xml:space="preserve">, and two control </w:t>
      </w:r>
      <w:r w:rsidR="009A439F">
        <w:rPr>
          <w:rFonts w:ascii="Times New Roman" w:eastAsia="Calibri" w:hAnsi="Times New Roman" w:cs="Times New Roman"/>
          <w:sz w:val="24"/>
          <w:szCs w:val="24"/>
          <w:lang w:val="en-US"/>
        </w:rPr>
        <w:t>experiments were performed (</w:t>
      </w:r>
      <w:r w:rsidRPr="00EB53AA">
        <w:rPr>
          <w:rFonts w:ascii="Times New Roman" w:eastAsia="Calibri" w:hAnsi="Times New Roman" w:cs="Times New Roman"/>
          <w:sz w:val="24"/>
          <w:szCs w:val="24"/>
          <w:lang w:val="en-US"/>
        </w:rPr>
        <w:t>with inoculum only and with inoculum and biochar</w:t>
      </w:r>
      <w:r w:rsidR="009A439F">
        <w:rPr>
          <w:rFonts w:ascii="Times New Roman" w:eastAsia="Calibri" w:hAnsi="Times New Roman" w:cs="Times New Roman"/>
          <w:sz w:val="24"/>
          <w:szCs w:val="24"/>
          <w:lang w:val="en-US"/>
        </w:rPr>
        <w:t xml:space="preserve">). The different treatments were incubated in </w:t>
      </w:r>
      <w:r w:rsidRPr="00EB53AA">
        <w:rPr>
          <w:rFonts w:ascii="Times New Roman" w:eastAsia="Calibri" w:hAnsi="Times New Roman" w:cs="Times New Roman"/>
          <w:sz w:val="24"/>
          <w:szCs w:val="24"/>
          <w:lang w:val="en-US"/>
        </w:rPr>
        <w:t>an AMPTS</w:t>
      </w:r>
      <w:r w:rsidR="009A439F">
        <w:rPr>
          <w:rFonts w:ascii="Times New Roman" w:eastAsia="Calibri" w:hAnsi="Times New Roman" w:cs="Times New Roman"/>
          <w:sz w:val="24"/>
          <w:szCs w:val="24"/>
          <w:lang w:val="en-US"/>
        </w:rPr>
        <w:t xml:space="preserve">, for 5 d, </w:t>
      </w:r>
      <w:r w:rsidRPr="00EB53AA">
        <w:rPr>
          <w:rFonts w:ascii="Times New Roman" w:eastAsia="Calibri" w:hAnsi="Times New Roman" w:cs="Times New Roman"/>
          <w:sz w:val="24"/>
          <w:szCs w:val="24"/>
          <w:lang w:val="en-US"/>
        </w:rPr>
        <w:t>under mesophilic condition</w:t>
      </w:r>
      <w:r w:rsidR="009A439F">
        <w:rPr>
          <w:rFonts w:ascii="Times New Roman" w:eastAsia="Calibri" w:hAnsi="Times New Roman" w:cs="Times New Roman"/>
          <w:sz w:val="24"/>
          <w:szCs w:val="24"/>
          <w:lang w:val="en-US"/>
        </w:rPr>
        <w:t>s</w:t>
      </w:r>
      <w:r w:rsidRPr="00EB53AA">
        <w:rPr>
          <w:rFonts w:ascii="Times New Roman" w:eastAsia="Calibri" w:hAnsi="Times New Roman" w:cs="Times New Roman"/>
          <w:sz w:val="24"/>
          <w:szCs w:val="24"/>
          <w:lang w:val="en-US"/>
        </w:rPr>
        <w:t>.</w:t>
      </w:r>
    </w:p>
    <w:p w14:paraId="67E582CB" w14:textId="77777777" w:rsidR="00EB53AA" w:rsidRPr="00EB53AA" w:rsidRDefault="00EB53AA" w:rsidP="00EB53AA">
      <w:pPr>
        <w:spacing w:after="0" w:line="480" w:lineRule="auto"/>
        <w:ind w:firstLine="720"/>
        <w:jc w:val="both"/>
        <w:rPr>
          <w:rFonts w:ascii="Times New Roman" w:eastAsia="Calibri" w:hAnsi="Times New Roman" w:cs="Times New Roman"/>
          <w:sz w:val="24"/>
          <w:szCs w:val="24"/>
          <w:lang w:val="en-US"/>
        </w:rPr>
      </w:pPr>
      <w:r w:rsidRPr="00EB53AA">
        <w:rPr>
          <w:rFonts w:ascii="Times New Roman" w:eastAsia="Calibri" w:hAnsi="Times New Roman" w:cs="Times New Roman"/>
          <w:sz w:val="24"/>
          <w:szCs w:val="24"/>
          <w:lang w:val="en-US"/>
        </w:rPr>
        <w:t xml:space="preserve">Figure S2 shows the accumulated volume of gas obtained from the four different fruits and their mixture. Comparing the four fruits, the lowest </w:t>
      </w:r>
      <w:r w:rsidR="009A439F">
        <w:rPr>
          <w:rFonts w:ascii="Times New Roman" w:eastAsia="Calibri" w:hAnsi="Times New Roman" w:cs="Times New Roman"/>
          <w:sz w:val="24"/>
          <w:szCs w:val="24"/>
          <w:lang w:val="en-US"/>
        </w:rPr>
        <w:t>volume of gas</w:t>
      </w:r>
      <w:r w:rsidRPr="00EB53AA">
        <w:rPr>
          <w:rFonts w:ascii="Times New Roman" w:eastAsia="Calibri" w:hAnsi="Times New Roman" w:cs="Times New Roman"/>
          <w:sz w:val="24"/>
          <w:szCs w:val="24"/>
          <w:lang w:val="en-US"/>
        </w:rPr>
        <w:t xml:space="preserve"> was obtained from the tomato substrate and the highest output was obtained from the banana substrate. This could be due to the charac</w:t>
      </w:r>
      <w:r w:rsidR="009A439F">
        <w:rPr>
          <w:rFonts w:ascii="Times New Roman" w:eastAsia="Calibri" w:hAnsi="Times New Roman" w:cs="Times New Roman"/>
          <w:sz w:val="24"/>
          <w:szCs w:val="24"/>
          <w:lang w:val="en-US"/>
        </w:rPr>
        <w:t>teristics of the substrates (</w:t>
      </w:r>
      <w:r w:rsidRPr="00EB53AA">
        <w:rPr>
          <w:rFonts w:ascii="Times New Roman" w:eastAsia="Calibri" w:hAnsi="Times New Roman" w:cs="Times New Roman"/>
          <w:sz w:val="24"/>
          <w:szCs w:val="24"/>
          <w:lang w:val="en-US"/>
        </w:rPr>
        <w:t xml:space="preserve">Table S1). It was also found that the mixture had </w:t>
      </w:r>
      <w:r w:rsidRPr="00EB53AA">
        <w:rPr>
          <w:rFonts w:ascii="Times New Roman" w:eastAsia="Calibri" w:hAnsi="Times New Roman" w:cs="Times New Roman"/>
          <w:sz w:val="24"/>
          <w:szCs w:val="24"/>
          <w:lang w:val="en-US"/>
        </w:rPr>
        <w:lastRenderedPageBreak/>
        <w:t xml:space="preserve">the highest methane </w:t>
      </w:r>
      <w:r w:rsidR="006660B6" w:rsidRPr="00EB53AA">
        <w:rPr>
          <w:rFonts w:ascii="Times New Roman" w:eastAsia="Calibri" w:hAnsi="Times New Roman" w:cs="Times New Roman"/>
          <w:sz w:val="24"/>
          <w:szCs w:val="24"/>
          <w:lang w:val="en-US"/>
        </w:rPr>
        <w:t>production,</w:t>
      </w:r>
      <w:r w:rsidRPr="00EB53AA">
        <w:rPr>
          <w:rFonts w:ascii="Times New Roman" w:eastAsia="Calibri" w:hAnsi="Times New Roman" w:cs="Times New Roman"/>
          <w:sz w:val="24"/>
          <w:szCs w:val="24"/>
          <w:lang w:val="en-US"/>
        </w:rPr>
        <w:t xml:space="preserve"> and this </w:t>
      </w:r>
      <w:r w:rsidR="009A439F">
        <w:rPr>
          <w:rFonts w:ascii="Times New Roman" w:eastAsia="Calibri" w:hAnsi="Times New Roman" w:cs="Times New Roman"/>
          <w:sz w:val="24"/>
          <w:szCs w:val="24"/>
          <w:lang w:val="en-US"/>
        </w:rPr>
        <w:t>was presumably</w:t>
      </w:r>
      <w:r w:rsidRPr="00EB53AA">
        <w:rPr>
          <w:rFonts w:ascii="Times New Roman" w:eastAsia="Calibri" w:hAnsi="Times New Roman" w:cs="Times New Roman"/>
          <w:sz w:val="24"/>
          <w:szCs w:val="24"/>
          <w:lang w:val="en-US"/>
        </w:rPr>
        <w:t xml:space="preserve"> due to co-digestion as compared to the individual substrate</w:t>
      </w:r>
      <w:r w:rsidR="009A439F">
        <w:rPr>
          <w:rFonts w:ascii="Times New Roman" w:eastAsia="Calibri" w:hAnsi="Times New Roman" w:cs="Times New Roman"/>
          <w:sz w:val="24"/>
          <w:szCs w:val="24"/>
          <w:lang w:val="en-US"/>
        </w:rPr>
        <w:t xml:space="preserve">. Besides, </w:t>
      </w:r>
      <w:r w:rsidRPr="00EB53AA">
        <w:rPr>
          <w:rFonts w:ascii="Times New Roman" w:eastAsia="Calibri" w:hAnsi="Times New Roman" w:cs="Times New Roman"/>
          <w:sz w:val="24"/>
          <w:szCs w:val="24"/>
          <w:lang w:val="en-US"/>
        </w:rPr>
        <w:t>mango has high biodegradability rate than banana, tomato, and papaya.</w:t>
      </w:r>
    </w:p>
    <w:p w14:paraId="6AD7A5DF" w14:textId="77777777" w:rsidR="00EB53AA" w:rsidRPr="00EB53AA" w:rsidRDefault="009A439F" w:rsidP="00EB53AA">
      <w:pPr>
        <w:spacing w:after="0" w:line="48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E</w:t>
      </w:r>
      <w:r w:rsidR="00EB53AA" w:rsidRPr="00EB53AA">
        <w:rPr>
          <w:rFonts w:ascii="Times New Roman" w:eastAsia="Calibri" w:hAnsi="Times New Roman" w:cs="Times New Roman"/>
          <w:b/>
          <w:sz w:val="24"/>
          <w:szCs w:val="24"/>
          <w:lang w:val="en-US"/>
        </w:rPr>
        <w:t xml:space="preserve">ffect of ammonia in the digester environment </w:t>
      </w:r>
    </w:p>
    <w:p w14:paraId="6E034D13" w14:textId="77777777" w:rsidR="00EB53AA" w:rsidRPr="00EB53AA" w:rsidRDefault="00EB53AA" w:rsidP="00EB53AA">
      <w:pPr>
        <w:spacing w:after="0" w:line="480" w:lineRule="auto"/>
        <w:jc w:val="both"/>
        <w:rPr>
          <w:rFonts w:ascii="Times New Roman" w:eastAsia="Calibri" w:hAnsi="Times New Roman" w:cs="Times New Roman"/>
          <w:color w:val="000000"/>
          <w:sz w:val="24"/>
          <w:szCs w:val="24"/>
          <w:lang w:val="en-US"/>
        </w:rPr>
      </w:pPr>
      <w:r w:rsidRPr="00EB53AA">
        <w:rPr>
          <w:rFonts w:ascii="Times New Roman" w:eastAsia="Calibri" w:hAnsi="Times New Roman" w:cs="Times New Roman"/>
          <w:color w:val="000000"/>
          <w:sz w:val="24"/>
          <w:szCs w:val="24"/>
          <w:lang w:val="en-US"/>
        </w:rPr>
        <w:t>Protein-rich substrates contribute</w:t>
      </w:r>
      <w:r w:rsidR="009A439F">
        <w:rPr>
          <w:rFonts w:ascii="Times New Roman" w:eastAsia="Calibri" w:hAnsi="Times New Roman" w:cs="Times New Roman"/>
          <w:color w:val="000000"/>
          <w:sz w:val="24"/>
          <w:szCs w:val="24"/>
          <w:lang w:val="en-US"/>
        </w:rPr>
        <w:t xml:space="preserve"> to nearly most of the nitrogen</w:t>
      </w:r>
      <w:r w:rsidRPr="00EB53AA">
        <w:rPr>
          <w:rFonts w:ascii="Times New Roman" w:eastAsia="Calibri" w:hAnsi="Times New Roman" w:cs="Times New Roman"/>
          <w:color w:val="000000"/>
          <w:sz w:val="24"/>
          <w:szCs w:val="24"/>
          <w:lang w:val="en-US"/>
        </w:rPr>
        <w:t xml:space="preserve"> which enters the solution as NH</w:t>
      </w:r>
      <w:r w:rsidRPr="00EB53AA">
        <w:rPr>
          <w:rFonts w:ascii="Times New Roman" w:eastAsia="Calibri" w:hAnsi="Times New Roman" w:cs="Times New Roman"/>
          <w:color w:val="000000"/>
          <w:sz w:val="24"/>
          <w:szCs w:val="24"/>
          <w:vertAlign w:val="subscript"/>
          <w:lang w:val="en-US"/>
        </w:rPr>
        <w:t>3</w:t>
      </w:r>
      <w:r w:rsidRPr="00EB53AA">
        <w:rPr>
          <w:rFonts w:ascii="Times New Roman" w:eastAsia="Calibri" w:hAnsi="Times New Roman" w:cs="Times New Roman"/>
          <w:color w:val="000000"/>
          <w:sz w:val="24"/>
          <w:szCs w:val="24"/>
          <w:lang w:val="en-US"/>
        </w:rPr>
        <w:t xml:space="preserve"> or the NH</w:t>
      </w:r>
      <w:r w:rsidRPr="00EB53AA">
        <w:rPr>
          <w:rFonts w:ascii="Times New Roman" w:eastAsia="Calibri" w:hAnsi="Times New Roman" w:cs="Times New Roman"/>
          <w:color w:val="000000"/>
          <w:sz w:val="24"/>
          <w:szCs w:val="24"/>
          <w:vertAlign w:val="subscript"/>
          <w:lang w:val="en-US"/>
        </w:rPr>
        <w:t>4</w:t>
      </w:r>
      <w:r w:rsidRPr="00EB53AA">
        <w:rPr>
          <w:rFonts w:ascii="Times New Roman" w:eastAsia="Calibri" w:hAnsi="Times New Roman" w:cs="Times New Roman"/>
          <w:color w:val="000000"/>
          <w:sz w:val="24"/>
          <w:szCs w:val="24"/>
          <w:vertAlign w:val="superscript"/>
          <w:lang w:val="en-US"/>
        </w:rPr>
        <w:t>+</w:t>
      </w:r>
      <w:r w:rsidRPr="00EB53AA">
        <w:rPr>
          <w:rFonts w:ascii="Times New Roman" w:eastAsia="Calibri" w:hAnsi="Times New Roman" w:cs="Times New Roman"/>
          <w:color w:val="000000"/>
          <w:sz w:val="24"/>
          <w:szCs w:val="24"/>
          <w:lang w:val="en-US"/>
        </w:rPr>
        <w:t xml:space="preserve"> ions (</w:t>
      </w:r>
      <w:r w:rsidRPr="00EB53AA">
        <w:rPr>
          <w:rFonts w:ascii="Times New Roman" w:eastAsia="Calibri" w:hAnsi="Times New Roman" w:cs="Times New Roman"/>
          <w:sz w:val="24"/>
          <w:szCs w:val="24"/>
          <w:lang w:val="en-US"/>
        </w:rPr>
        <w:t>Fountoulakis et al., 2010; Hagen et al., 2014</w:t>
      </w:r>
      <w:r w:rsidRPr="00EB53AA">
        <w:rPr>
          <w:rFonts w:ascii="Times New Roman" w:eastAsia="Calibri" w:hAnsi="Times New Roman" w:cs="Times New Roman"/>
          <w:color w:val="000000"/>
          <w:sz w:val="24"/>
          <w:szCs w:val="24"/>
          <w:lang w:val="en-US"/>
        </w:rPr>
        <w:t xml:space="preserve">). The appropriate concentration of ammonia ensures sufficient buffer capacity and </w:t>
      </w:r>
      <w:r w:rsidR="009A439F">
        <w:rPr>
          <w:rFonts w:ascii="Times New Roman" w:eastAsia="Calibri" w:hAnsi="Times New Roman" w:cs="Times New Roman"/>
          <w:color w:val="000000"/>
          <w:sz w:val="24"/>
          <w:szCs w:val="24"/>
          <w:lang w:val="en-US"/>
        </w:rPr>
        <w:t xml:space="preserve">it </w:t>
      </w:r>
      <w:r w:rsidRPr="00EB53AA">
        <w:rPr>
          <w:rFonts w:ascii="Times New Roman" w:eastAsia="Calibri" w:hAnsi="Times New Roman" w:cs="Times New Roman"/>
          <w:color w:val="000000"/>
          <w:sz w:val="24"/>
          <w:szCs w:val="24"/>
          <w:lang w:val="en-US"/>
        </w:rPr>
        <w:t>improve</w:t>
      </w:r>
      <w:r w:rsidR="009A439F">
        <w:rPr>
          <w:rFonts w:ascii="Times New Roman" w:eastAsia="Calibri" w:hAnsi="Times New Roman" w:cs="Times New Roman"/>
          <w:color w:val="000000"/>
          <w:sz w:val="24"/>
          <w:szCs w:val="24"/>
          <w:lang w:val="en-US"/>
        </w:rPr>
        <w:t>s</w:t>
      </w:r>
      <w:r w:rsidRPr="00EB53AA">
        <w:rPr>
          <w:rFonts w:ascii="Times New Roman" w:eastAsia="Calibri" w:hAnsi="Times New Roman" w:cs="Times New Roman"/>
          <w:color w:val="000000"/>
          <w:sz w:val="24"/>
          <w:szCs w:val="24"/>
          <w:lang w:val="en-US"/>
        </w:rPr>
        <w:t xml:space="preserve"> the stability of AD.</w:t>
      </w:r>
      <w:r w:rsidR="009A439F">
        <w:rPr>
          <w:rFonts w:ascii="Times New Roman" w:eastAsia="Calibri" w:hAnsi="Times New Roman" w:cs="Times New Roman"/>
          <w:color w:val="000000"/>
          <w:sz w:val="24"/>
          <w:szCs w:val="24"/>
          <w:lang w:val="en-US"/>
        </w:rPr>
        <w:t xml:space="preserve"> </w:t>
      </w:r>
      <w:r w:rsidRPr="00EB53AA">
        <w:rPr>
          <w:rFonts w:ascii="Times New Roman" w:eastAsia="Calibri" w:hAnsi="Times New Roman" w:cs="Times New Roman"/>
          <w:color w:val="000000"/>
          <w:sz w:val="24"/>
          <w:szCs w:val="24"/>
          <w:lang w:val="en-US"/>
        </w:rPr>
        <w:t xml:space="preserve">However, high ammonia may cause </w:t>
      </w:r>
      <w:r w:rsidR="009A439F">
        <w:rPr>
          <w:rFonts w:ascii="Times New Roman" w:eastAsia="Calibri" w:hAnsi="Times New Roman" w:cs="Times New Roman"/>
          <w:color w:val="000000"/>
          <w:sz w:val="24"/>
          <w:szCs w:val="24"/>
          <w:lang w:val="en-US"/>
        </w:rPr>
        <w:t xml:space="preserve">complete </w:t>
      </w:r>
      <w:r w:rsidRPr="00EB53AA">
        <w:rPr>
          <w:rFonts w:ascii="Times New Roman" w:eastAsia="Calibri" w:hAnsi="Times New Roman" w:cs="Times New Roman"/>
          <w:color w:val="000000"/>
          <w:sz w:val="24"/>
          <w:szCs w:val="24"/>
          <w:lang w:val="en-US"/>
        </w:rPr>
        <w:t>digester failure.</w:t>
      </w:r>
    </w:p>
    <w:p w14:paraId="0FB0D5DB" w14:textId="77777777" w:rsidR="00EB53AA" w:rsidRPr="00EB53AA" w:rsidRDefault="00EB53AA" w:rsidP="00EB53AA">
      <w:pPr>
        <w:spacing w:after="0" w:line="480" w:lineRule="auto"/>
        <w:ind w:firstLine="720"/>
        <w:jc w:val="both"/>
        <w:rPr>
          <w:rFonts w:ascii="Times New Roman" w:eastAsia="Calibri" w:hAnsi="Times New Roman" w:cs="Times New Roman"/>
          <w:color w:val="000000"/>
          <w:sz w:val="24"/>
          <w:szCs w:val="24"/>
          <w:lang w:val="en-US"/>
        </w:rPr>
      </w:pPr>
      <w:r w:rsidRPr="00EB53AA">
        <w:rPr>
          <w:rFonts w:ascii="Times New Roman" w:eastAsia="Calibri" w:hAnsi="Times New Roman" w:cs="Times New Roman"/>
          <w:color w:val="000000"/>
          <w:sz w:val="24"/>
          <w:szCs w:val="24"/>
          <w:lang w:val="en-US"/>
        </w:rPr>
        <w:t>In this study, the pH of the digester increased with biochar addition (Figures S3, S4, and S5) because of the alkaline nature of biochar. The concentration of NH</w:t>
      </w:r>
      <w:r w:rsidRPr="00EB53AA">
        <w:rPr>
          <w:rFonts w:ascii="Times New Roman" w:eastAsia="Calibri" w:hAnsi="Times New Roman" w:cs="Times New Roman"/>
          <w:color w:val="000000"/>
          <w:sz w:val="24"/>
          <w:szCs w:val="24"/>
          <w:vertAlign w:val="subscript"/>
          <w:lang w:val="en-US"/>
        </w:rPr>
        <w:t>3</w:t>
      </w:r>
      <w:r w:rsidRPr="00EB53AA">
        <w:rPr>
          <w:rFonts w:ascii="Times New Roman" w:eastAsia="Calibri" w:hAnsi="Times New Roman" w:cs="Times New Roman"/>
          <w:color w:val="000000"/>
          <w:sz w:val="24"/>
          <w:szCs w:val="24"/>
          <w:lang w:val="en-US"/>
        </w:rPr>
        <w:t xml:space="preserve">-N in the digesters increased </w:t>
      </w:r>
      <w:r w:rsidR="009A439F">
        <w:rPr>
          <w:rFonts w:ascii="Times New Roman" w:eastAsia="Calibri" w:hAnsi="Times New Roman" w:cs="Times New Roman"/>
          <w:color w:val="000000"/>
          <w:sz w:val="24"/>
          <w:szCs w:val="24"/>
          <w:lang w:val="en-US"/>
        </w:rPr>
        <w:t xml:space="preserve">when </w:t>
      </w:r>
      <w:r w:rsidRPr="00EB53AA">
        <w:rPr>
          <w:rFonts w:ascii="Times New Roman" w:eastAsia="Calibri" w:hAnsi="Times New Roman" w:cs="Times New Roman"/>
          <w:color w:val="000000"/>
          <w:sz w:val="24"/>
          <w:szCs w:val="24"/>
          <w:lang w:val="en-US"/>
        </w:rPr>
        <w:t>compared to the control. This can be endorsed to the higher pH (7.2 to 8.02) with biochar amendment. The dissociation equilibrium of NH</w:t>
      </w:r>
      <w:r w:rsidRPr="00EB53AA">
        <w:rPr>
          <w:rFonts w:ascii="Times New Roman" w:eastAsia="Calibri" w:hAnsi="Times New Roman" w:cs="Times New Roman"/>
          <w:color w:val="000000"/>
          <w:sz w:val="24"/>
          <w:szCs w:val="24"/>
          <w:vertAlign w:val="subscript"/>
          <w:lang w:val="en-US"/>
        </w:rPr>
        <w:t>3</w:t>
      </w:r>
      <w:r w:rsidRPr="00EB53AA">
        <w:rPr>
          <w:rFonts w:ascii="Times New Roman" w:eastAsia="Calibri" w:hAnsi="Times New Roman" w:cs="Times New Roman"/>
          <w:color w:val="000000"/>
          <w:sz w:val="24"/>
          <w:szCs w:val="24"/>
          <w:lang w:val="en-US"/>
        </w:rPr>
        <w:t>/NH</w:t>
      </w:r>
      <w:r w:rsidRPr="00EB53AA">
        <w:rPr>
          <w:rFonts w:ascii="Times New Roman" w:eastAsia="Calibri" w:hAnsi="Times New Roman" w:cs="Times New Roman"/>
          <w:color w:val="000000"/>
          <w:sz w:val="24"/>
          <w:szCs w:val="24"/>
          <w:vertAlign w:val="subscript"/>
          <w:lang w:val="en-US"/>
        </w:rPr>
        <w:t>4</w:t>
      </w:r>
      <w:r w:rsidRPr="00EB53AA">
        <w:rPr>
          <w:rFonts w:ascii="Times New Roman" w:eastAsia="Calibri" w:hAnsi="Times New Roman" w:cs="Times New Roman"/>
          <w:color w:val="000000"/>
          <w:sz w:val="24"/>
          <w:szCs w:val="24"/>
          <w:vertAlign w:val="superscript"/>
          <w:lang w:val="en-US"/>
        </w:rPr>
        <w:t>+</w:t>
      </w:r>
      <w:r w:rsidRPr="00EB53AA">
        <w:rPr>
          <w:rFonts w:ascii="Times New Roman" w:eastAsia="Calibri" w:hAnsi="Times New Roman" w:cs="Times New Roman"/>
          <w:color w:val="000000"/>
          <w:sz w:val="24"/>
          <w:szCs w:val="24"/>
          <w:lang w:val="en-US"/>
        </w:rPr>
        <w:t xml:space="preserve"> may shift towards free ammonia (NH</w:t>
      </w:r>
      <w:r w:rsidRPr="00EB53AA">
        <w:rPr>
          <w:rFonts w:ascii="Times New Roman" w:eastAsia="Calibri" w:hAnsi="Times New Roman" w:cs="Times New Roman"/>
          <w:color w:val="000000"/>
          <w:sz w:val="24"/>
          <w:szCs w:val="24"/>
          <w:vertAlign w:val="subscript"/>
          <w:lang w:val="en-US"/>
        </w:rPr>
        <w:t>3</w:t>
      </w:r>
      <w:r w:rsidRPr="00EB53AA">
        <w:rPr>
          <w:rFonts w:ascii="Times New Roman" w:eastAsia="Calibri" w:hAnsi="Times New Roman" w:cs="Times New Roman"/>
          <w:color w:val="000000"/>
          <w:sz w:val="24"/>
          <w:szCs w:val="24"/>
          <w:lang w:val="en-US"/>
        </w:rPr>
        <w:t>) formation. Cell membranes permeability towards free NH</w:t>
      </w:r>
      <w:r w:rsidRPr="00EB53AA">
        <w:rPr>
          <w:rFonts w:ascii="Times New Roman" w:eastAsia="Calibri" w:hAnsi="Times New Roman" w:cs="Times New Roman"/>
          <w:color w:val="000000"/>
          <w:sz w:val="24"/>
          <w:szCs w:val="24"/>
          <w:vertAlign w:val="subscript"/>
          <w:lang w:val="en-US"/>
        </w:rPr>
        <w:t>3</w:t>
      </w:r>
      <w:r w:rsidRPr="00EB53AA">
        <w:rPr>
          <w:rFonts w:ascii="Times New Roman" w:eastAsia="Calibri" w:hAnsi="Times New Roman" w:cs="Times New Roman"/>
          <w:color w:val="000000"/>
          <w:sz w:val="24"/>
          <w:szCs w:val="24"/>
          <w:lang w:val="en-US"/>
        </w:rPr>
        <w:t xml:space="preserve"> is high; it can result in an imbalance of intracellular protons and the depletion of potassium (K</w:t>
      </w:r>
      <w:r w:rsidRPr="00EB53AA">
        <w:rPr>
          <w:rFonts w:ascii="Times New Roman" w:eastAsia="Calibri" w:hAnsi="Times New Roman" w:cs="Times New Roman"/>
          <w:color w:val="000000"/>
          <w:sz w:val="24"/>
          <w:szCs w:val="24"/>
          <w:vertAlign w:val="superscript"/>
          <w:lang w:val="en-US"/>
        </w:rPr>
        <w:t>+</w:t>
      </w:r>
      <w:r w:rsidRPr="00EB53AA">
        <w:rPr>
          <w:rFonts w:ascii="Times New Roman" w:eastAsia="Calibri" w:hAnsi="Times New Roman" w:cs="Times New Roman"/>
          <w:color w:val="000000"/>
          <w:sz w:val="24"/>
          <w:szCs w:val="24"/>
          <w:lang w:val="en-US"/>
        </w:rPr>
        <w:t xml:space="preserve">). Due to this, it can be considered as the main cause of toxicity, and its inhibition is </w:t>
      </w:r>
      <w:r w:rsidR="009A439F">
        <w:rPr>
          <w:rFonts w:ascii="Times New Roman" w:eastAsia="Calibri" w:hAnsi="Times New Roman" w:cs="Times New Roman"/>
          <w:color w:val="000000"/>
          <w:sz w:val="24"/>
          <w:szCs w:val="24"/>
          <w:lang w:val="en-US"/>
        </w:rPr>
        <w:t>an operational</w:t>
      </w:r>
      <w:r w:rsidRPr="00EB53AA">
        <w:rPr>
          <w:rFonts w:ascii="Times New Roman" w:eastAsia="Calibri" w:hAnsi="Times New Roman" w:cs="Times New Roman"/>
          <w:color w:val="000000"/>
          <w:sz w:val="24"/>
          <w:szCs w:val="24"/>
          <w:lang w:val="en-US"/>
        </w:rPr>
        <w:t xml:space="preserve"> problem for AD (Chen et al.</w:t>
      </w:r>
      <w:r w:rsidR="009A439F">
        <w:rPr>
          <w:rFonts w:ascii="Times New Roman" w:eastAsia="Calibri" w:hAnsi="Times New Roman" w:cs="Times New Roman"/>
          <w:color w:val="000000"/>
          <w:sz w:val="24"/>
          <w:szCs w:val="24"/>
          <w:lang w:val="en-US"/>
        </w:rPr>
        <w:t>,</w:t>
      </w:r>
      <w:r w:rsidRPr="00EB53AA">
        <w:rPr>
          <w:rFonts w:ascii="Times New Roman" w:eastAsia="Calibri" w:hAnsi="Times New Roman" w:cs="Times New Roman"/>
          <w:color w:val="000000"/>
          <w:sz w:val="24"/>
          <w:szCs w:val="24"/>
          <w:lang w:val="en-US"/>
        </w:rPr>
        <w:t xml:space="preserve"> 2008).</w:t>
      </w:r>
    </w:p>
    <w:p w14:paraId="0E08E118" w14:textId="77777777" w:rsidR="00EB53AA" w:rsidRPr="00EB53AA" w:rsidRDefault="00EB53AA" w:rsidP="00EB53AA">
      <w:pPr>
        <w:spacing w:line="360" w:lineRule="auto"/>
        <w:jc w:val="center"/>
        <w:rPr>
          <w:rFonts w:ascii="Times New Roman" w:eastAsia="Calibri" w:hAnsi="Times New Roman" w:cs="Times New Roman"/>
          <w:sz w:val="24"/>
          <w:szCs w:val="24"/>
          <w:lang w:val="en-US"/>
        </w:rPr>
      </w:pPr>
      <w:r w:rsidRPr="00EB53AA">
        <w:rPr>
          <w:rFonts w:ascii="Times New Roman" w:eastAsia="Calibri" w:hAnsi="Times New Roman" w:cs="Times New Roman"/>
          <w:noProof/>
          <w:sz w:val="24"/>
          <w:szCs w:val="24"/>
          <w:lang w:eastAsia="en-GB"/>
        </w:rPr>
        <w:drawing>
          <wp:inline distT="0" distB="0" distL="0" distR="0" wp14:anchorId="5BF2512D" wp14:editId="7A210961">
            <wp:extent cx="3917950" cy="280852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36841" cy="2822065"/>
                    </a:xfrm>
                    <a:prstGeom prst="rect">
                      <a:avLst/>
                    </a:prstGeom>
                    <a:noFill/>
                    <a:ln>
                      <a:noFill/>
                    </a:ln>
                  </pic:spPr>
                </pic:pic>
              </a:graphicData>
            </a:graphic>
          </wp:inline>
        </w:drawing>
      </w:r>
    </w:p>
    <w:p w14:paraId="05B0017B" w14:textId="77777777" w:rsidR="00EB53AA" w:rsidRDefault="00EB53AA" w:rsidP="00EB53AA">
      <w:pPr>
        <w:spacing w:line="360" w:lineRule="auto"/>
        <w:jc w:val="both"/>
        <w:rPr>
          <w:rFonts w:ascii="Times New Roman" w:eastAsia="Calibri" w:hAnsi="Times New Roman" w:cs="Times New Roman"/>
          <w:sz w:val="24"/>
          <w:szCs w:val="24"/>
          <w:lang w:val="en-US"/>
        </w:rPr>
      </w:pPr>
      <w:r w:rsidRPr="00EB53AA" w:rsidDel="00450494">
        <w:rPr>
          <w:rFonts w:ascii="Times New Roman" w:eastAsia="Calibri" w:hAnsi="Times New Roman" w:cs="Times New Roman"/>
          <w:b/>
          <w:sz w:val="24"/>
          <w:szCs w:val="24"/>
          <w:lang w:val="en-US"/>
        </w:rPr>
        <w:t xml:space="preserve"> </w:t>
      </w:r>
      <w:r w:rsidRPr="00EB53AA">
        <w:rPr>
          <w:rFonts w:ascii="Times New Roman" w:eastAsia="Calibri" w:hAnsi="Times New Roman" w:cs="Times New Roman"/>
          <w:b/>
          <w:sz w:val="24"/>
          <w:szCs w:val="24"/>
          <w:lang w:val="en-US"/>
        </w:rPr>
        <w:t>Figure S2.</w:t>
      </w:r>
      <w:r w:rsidRPr="00EB53AA">
        <w:rPr>
          <w:rFonts w:ascii="Times New Roman" w:eastAsia="Calibri" w:hAnsi="Times New Roman" w:cs="Times New Roman"/>
          <w:sz w:val="24"/>
          <w:szCs w:val="24"/>
          <w:lang w:val="en-US"/>
        </w:rPr>
        <w:t xml:space="preserve"> C</w:t>
      </w:r>
      <w:r w:rsidR="00A348F9">
        <w:rPr>
          <w:rFonts w:ascii="Times New Roman" w:eastAsia="Calibri" w:hAnsi="Times New Roman" w:cs="Times New Roman"/>
          <w:sz w:val="24"/>
          <w:szCs w:val="24"/>
          <w:lang w:val="en-US"/>
        </w:rPr>
        <w:t xml:space="preserve">umulative </w:t>
      </w:r>
      <w:r w:rsidRPr="00EB53AA">
        <w:rPr>
          <w:rFonts w:ascii="Times New Roman" w:eastAsia="Calibri" w:hAnsi="Times New Roman" w:cs="Times New Roman"/>
          <w:sz w:val="24"/>
          <w:szCs w:val="24"/>
          <w:lang w:val="en-US"/>
        </w:rPr>
        <w:t>methane production (mL) from the different substrates</w:t>
      </w:r>
    </w:p>
    <w:p w14:paraId="4C358228" w14:textId="02106612" w:rsidR="006660B6" w:rsidRDefault="00ED1E6A" w:rsidP="006660B6">
      <w:pPr>
        <w:spacing w:line="360" w:lineRule="auto"/>
        <w:jc w:val="both"/>
        <w:rPr>
          <w:rFonts w:ascii="Times New Roman" w:eastAsia="Calibri" w:hAnsi="Times New Roman" w:cs="Times New Roman"/>
          <w:sz w:val="24"/>
          <w:szCs w:val="24"/>
          <w:lang w:val="en-US"/>
        </w:rPr>
      </w:pPr>
      <w:r w:rsidRPr="00ED1E6A">
        <w:lastRenderedPageBreak/>
        <w:drawing>
          <wp:inline distT="0" distB="0" distL="0" distR="0" wp14:anchorId="3AE9FCB5" wp14:editId="54FBE92D">
            <wp:extent cx="5731510" cy="74663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7466330"/>
                    </a:xfrm>
                    <a:prstGeom prst="rect">
                      <a:avLst/>
                    </a:prstGeom>
                    <a:noFill/>
                    <a:ln>
                      <a:noFill/>
                    </a:ln>
                  </pic:spPr>
                </pic:pic>
              </a:graphicData>
            </a:graphic>
          </wp:inline>
        </w:drawing>
      </w:r>
    </w:p>
    <w:p w14:paraId="766E084C" w14:textId="77777777" w:rsidR="006660B6" w:rsidRPr="006660B6" w:rsidRDefault="006660B6" w:rsidP="006660B6">
      <w:pPr>
        <w:spacing w:line="360" w:lineRule="auto"/>
        <w:jc w:val="both"/>
        <w:rPr>
          <w:rFonts w:ascii="Times New Roman" w:eastAsia="Calibri" w:hAnsi="Times New Roman" w:cs="Times New Roman"/>
          <w:sz w:val="24"/>
          <w:szCs w:val="24"/>
        </w:rPr>
      </w:pPr>
      <w:bookmarkStart w:id="0" w:name="_GoBack"/>
      <w:bookmarkEnd w:id="0"/>
      <w:r w:rsidRPr="006660B6">
        <w:rPr>
          <w:rFonts w:ascii="Times New Roman" w:eastAsia="Calibri" w:hAnsi="Times New Roman" w:cs="Times New Roman"/>
          <w:b/>
          <w:sz w:val="24"/>
          <w:szCs w:val="24"/>
          <w:lang w:val="en-US"/>
        </w:rPr>
        <w:t>Figure S3</w:t>
      </w:r>
      <w:r w:rsidRPr="006660B6">
        <w:rPr>
          <w:rFonts w:ascii="Times New Roman" w:eastAsia="Calibri" w:hAnsi="Times New Roman" w:cs="Times New Roman"/>
          <w:sz w:val="24"/>
          <w:szCs w:val="24"/>
          <w:lang w:val="en-US"/>
        </w:rPr>
        <w:t>. Initial and final total ammonia nitrogen (NH</w:t>
      </w:r>
      <w:r w:rsidRPr="006660B6">
        <w:rPr>
          <w:rFonts w:ascii="Times New Roman" w:eastAsia="Calibri" w:hAnsi="Times New Roman" w:cs="Times New Roman"/>
          <w:sz w:val="24"/>
          <w:szCs w:val="24"/>
          <w:vertAlign w:val="subscript"/>
          <w:lang w:val="en-US"/>
        </w:rPr>
        <w:t>4</w:t>
      </w:r>
      <w:r w:rsidRPr="006660B6">
        <w:rPr>
          <w:rFonts w:ascii="Times New Roman" w:eastAsia="Calibri" w:hAnsi="Times New Roman" w:cs="Times New Roman"/>
          <w:sz w:val="24"/>
          <w:szCs w:val="24"/>
          <w:lang w:val="en-US"/>
        </w:rPr>
        <w:t>-N) in anaerobic digestion for ISR 2</w:t>
      </w:r>
      <w:r w:rsidR="00A348F9">
        <w:rPr>
          <w:rFonts w:ascii="Times New Roman" w:eastAsia="Calibri" w:hAnsi="Times New Roman" w:cs="Times New Roman"/>
          <w:sz w:val="24"/>
          <w:szCs w:val="24"/>
          <w:lang w:val="en-US"/>
        </w:rPr>
        <w:t xml:space="preserve"> </w:t>
      </w:r>
      <w:r w:rsidRPr="006660B6">
        <w:rPr>
          <w:rFonts w:ascii="Times New Roman" w:eastAsia="Calibri" w:hAnsi="Times New Roman" w:cs="Times New Roman"/>
          <w:sz w:val="24"/>
          <w:szCs w:val="24"/>
          <w:lang w:val="en-US"/>
        </w:rPr>
        <w:t>(a), ISR 1.5</w:t>
      </w:r>
      <w:r w:rsidR="00A348F9">
        <w:rPr>
          <w:rFonts w:ascii="Times New Roman" w:eastAsia="Calibri" w:hAnsi="Times New Roman" w:cs="Times New Roman"/>
          <w:sz w:val="24"/>
          <w:szCs w:val="24"/>
          <w:lang w:val="en-US"/>
        </w:rPr>
        <w:t xml:space="preserve"> </w:t>
      </w:r>
      <w:r w:rsidRPr="006660B6">
        <w:rPr>
          <w:rFonts w:ascii="Times New Roman" w:eastAsia="Calibri" w:hAnsi="Times New Roman" w:cs="Times New Roman"/>
          <w:sz w:val="24"/>
          <w:szCs w:val="24"/>
          <w:lang w:val="en-US"/>
        </w:rPr>
        <w:t>(b),</w:t>
      </w:r>
      <w:r w:rsidRPr="006660B6">
        <w:rPr>
          <w:rFonts w:ascii="Times New Roman" w:eastAsia="Calibri" w:hAnsi="Times New Roman" w:cs="Times New Roman"/>
          <w:sz w:val="24"/>
          <w:szCs w:val="24"/>
        </w:rPr>
        <w:t xml:space="preserve"> </w:t>
      </w:r>
      <w:r w:rsidRPr="006660B6">
        <w:rPr>
          <w:rFonts w:ascii="Times New Roman" w:eastAsia="Calibri" w:hAnsi="Times New Roman" w:cs="Times New Roman"/>
          <w:sz w:val="24"/>
          <w:szCs w:val="24"/>
          <w:lang w:val="en-US"/>
        </w:rPr>
        <w:t>ISR 1</w:t>
      </w:r>
      <w:r w:rsidR="00A348F9">
        <w:rPr>
          <w:rFonts w:ascii="Times New Roman" w:eastAsia="Calibri" w:hAnsi="Times New Roman" w:cs="Times New Roman"/>
          <w:sz w:val="24"/>
          <w:szCs w:val="24"/>
          <w:lang w:val="en-US"/>
        </w:rPr>
        <w:t xml:space="preserve"> </w:t>
      </w:r>
      <w:r w:rsidRPr="006660B6">
        <w:rPr>
          <w:rFonts w:ascii="Times New Roman" w:eastAsia="Calibri" w:hAnsi="Times New Roman" w:cs="Times New Roman"/>
          <w:sz w:val="24"/>
          <w:szCs w:val="24"/>
          <w:lang w:val="en-US"/>
        </w:rPr>
        <w:t xml:space="preserve">(c) and the addition of different amounts of sludge biochar obtained at 350 and 550 </w:t>
      </w:r>
      <w:r w:rsidRPr="006660B6">
        <w:rPr>
          <w:rFonts w:ascii="Times New Roman" w:eastAsia="Calibri" w:hAnsi="Times New Roman" w:cs="Times New Roman"/>
          <w:sz w:val="24"/>
          <w:szCs w:val="24"/>
          <w:vertAlign w:val="superscript"/>
          <w:lang w:val="en-US"/>
        </w:rPr>
        <w:t>o</w:t>
      </w:r>
      <w:r w:rsidRPr="006660B6">
        <w:rPr>
          <w:rFonts w:ascii="Times New Roman" w:eastAsia="Calibri" w:hAnsi="Times New Roman" w:cs="Times New Roman"/>
          <w:sz w:val="24"/>
          <w:szCs w:val="24"/>
          <w:lang w:val="en-US"/>
        </w:rPr>
        <w:t xml:space="preserve">C. Averages of triplicate measurements are displayed, and error bars correspond to standard deviations </w:t>
      </w:r>
    </w:p>
    <w:p w14:paraId="76413C99" w14:textId="77777777" w:rsidR="006660B6" w:rsidRDefault="006660B6" w:rsidP="006660B6">
      <w:pPr>
        <w:spacing w:line="360" w:lineRule="auto"/>
        <w:jc w:val="both"/>
        <w:rPr>
          <w:rFonts w:ascii="Times New Roman" w:eastAsia="Calibri" w:hAnsi="Times New Roman" w:cs="Times New Roman"/>
          <w:sz w:val="24"/>
          <w:szCs w:val="24"/>
          <w:lang w:val="en-US"/>
        </w:rPr>
      </w:pPr>
    </w:p>
    <w:p w14:paraId="3FBEB67D" w14:textId="77777777" w:rsidR="00EB53AA" w:rsidRPr="00EB53AA" w:rsidRDefault="00A348F9" w:rsidP="00EB53AA">
      <w:pPr>
        <w:spacing w:after="0" w:line="480" w:lineRule="auto"/>
        <w:ind w:firstLine="720"/>
        <w:jc w:val="both"/>
        <w:rPr>
          <w:rFonts w:ascii="Times New Roman" w:eastAsia="Times New Roman" w:hAnsi="Times New Roman" w:cs="Times New Roman"/>
          <w:sz w:val="24"/>
          <w:szCs w:val="24"/>
          <w:lang w:val="en-US"/>
        </w:rPr>
      </w:pPr>
      <w:r>
        <w:rPr>
          <w:rFonts w:ascii="Times New Roman" w:eastAsia="Calibri" w:hAnsi="Times New Roman" w:cs="Times New Roman"/>
          <w:color w:val="000000"/>
          <w:sz w:val="24"/>
          <w:szCs w:val="24"/>
          <w:lang w:val="en-US"/>
        </w:rPr>
        <w:t>In this study, the</w:t>
      </w:r>
      <w:r w:rsidR="00EB53AA" w:rsidRPr="00EB53AA">
        <w:rPr>
          <w:rFonts w:ascii="Times New Roman" w:eastAsia="Calibri" w:hAnsi="Times New Roman" w:cs="Times New Roman"/>
          <w:color w:val="000000"/>
          <w:sz w:val="24"/>
          <w:szCs w:val="24"/>
          <w:lang w:val="en-US"/>
        </w:rPr>
        <w:t xml:space="preserve"> biochars </w:t>
      </w:r>
      <w:r>
        <w:rPr>
          <w:rFonts w:ascii="Times New Roman" w:eastAsia="Calibri" w:hAnsi="Times New Roman" w:cs="Times New Roman"/>
          <w:color w:val="000000"/>
          <w:sz w:val="24"/>
          <w:szCs w:val="24"/>
          <w:lang w:val="en-US"/>
        </w:rPr>
        <w:t xml:space="preserve">were </w:t>
      </w:r>
      <w:r w:rsidR="00EB53AA" w:rsidRPr="00EB53AA">
        <w:rPr>
          <w:rFonts w:ascii="Times New Roman" w:eastAsia="Calibri" w:hAnsi="Times New Roman" w:cs="Times New Roman"/>
          <w:color w:val="000000"/>
          <w:sz w:val="24"/>
          <w:szCs w:val="24"/>
          <w:lang w:val="en-US"/>
        </w:rPr>
        <w:t>prepared at a pyrolysis temperature of 550 and 350</w:t>
      </w:r>
      <w:r>
        <w:rPr>
          <w:rFonts w:ascii="Times New Roman" w:eastAsia="Calibri" w:hAnsi="Times New Roman" w:cs="Times New Roman"/>
          <w:color w:val="000000"/>
          <w:sz w:val="24"/>
          <w:szCs w:val="24"/>
          <w:lang w:val="en-US"/>
        </w:rPr>
        <w:t xml:space="preserve"> </w:t>
      </w:r>
      <w:r w:rsidR="00EB53AA" w:rsidRPr="00EB53AA">
        <w:rPr>
          <w:rFonts w:ascii="Times New Roman" w:eastAsia="Calibri" w:hAnsi="Times New Roman" w:cs="Times New Roman"/>
          <w:color w:val="000000"/>
          <w:sz w:val="24"/>
          <w:szCs w:val="24"/>
          <w:vertAlign w:val="superscript"/>
          <w:lang w:val="en-US"/>
        </w:rPr>
        <w:t>o</w:t>
      </w:r>
      <w:r w:rsidR="00EB53AA" w:rsidRPr="00EB53AA">
        <w:rPr>
          <w:rFonts w:ascii="Times New Roman" w:eastAsia="Calibri" w:hAnsi="Times New Roman" w:cs="Times New Roman"/>
          <w:color w:val="000000"/>
          <w:sz w:val="24"/>
          <w:szCs w:val="24"/>
          <w:lang w:val="en-US"/>
        </w:rPr>
        <w:t>C</w:t>
      </w:r>
      <w:r>
        <w:rPr>
          <w:rFonts w:ascii="Times New Roman" w:eastAsia="Calibri" w:hAnsi="Times New Roman" w:cs="Times New Roman"/>
          <w:color w:val="000000"/>
          <w:sz w:val="24"/>
          <w:szCs w:val="24"/>
          <w:lang w:val="en-US"/>
        </w:rPr>
        <w:t>. When they were amended</w:t>
      </w:r>
      <w:r w:rsidR="00EB53AA" w:rsidRPr="00EB53AA">
        <w:rPr>
          <w:rFonts w:ascii="Times New Roman" w:eastAsia="Calibri" w:hAnsi="Times New Roman" w:cs="Times New Roman"/>
          <w:color w:val="000000"/>
          <w:sz w:val="24"/>
          <w:szCs w:val="24"/>
          <w:lang w:val="en-US"/>
        </w:rPr>
        <w:t xml:space="preserve"> in the AD, there was a 24% increase in the concentration of NH</w:t>
      </w:r>
      <w:r w:rsidR="00EB53AA" w:rsidRPr="00EB53AA">
        <w:rPr>
          <w:rFonts w:ascii="Times New Roman" w:eastAsia="Calibri" w:hAnsi="Times New Roman" w:cs="Times New Roman"/>
          <w:color w:val="000000"/>
          <w:sz w:val="24"/>
          <w:szCs w:val="24"/>
          <w:vertAlign w:val="subscript"/>
          <w:lang w:val="en-US"/>
        </w:rPr>
        <w:t>3</w:t>
      </w:r>
      <w:r w:rsidR="00EB53AA" w:rsidRPr="00EB53AA">
        <w:rPr>
          <w:rFonts w:ascii="Times New Roman" w:eastAsia="Calibri" w:hAnsi="Times New Roman" w:cs="Times New Roman"/>
          <w:color w:val="000000"/>
          <w:sz w:val="24"/>
          <w:szCs w:val="24"/>
          <w:lang w:val="en-US"/>
        </w:rPr>
        <w:t xml:space="preserve">-N in the control digester after </w:t>
      </w:r>
      <w:r>
        <w:rPr>
          <w:rFonts w:ascii="Times New Roman" w:eastAsia="Calibri" w:hAnsi="Times New Roman" w:cs="Times New Roman"/>
          <w:color w:val="000000"/>
          <w:sz w:val="24"/>
          <w:szCs w:val="24"/>
          <w:lang w:val="en-US"/>
        </w:rPr>
        <w:t>10 d</w:t>
      </w:r>
      <w:r w:rsidR="00EB53AA" w:rsidRPr="00EB53AA">
        <w:rPr>
          <w:rFonts w:ascii="Times New Roman" w:eastAsia="Calibri" w:hAnsi="Times New Roman" w:cs="Times New Roman"/>
          <w:color w:val="000000"/>
          <w:sz w:val="24"/>
          <w:szCs w:val="24"/>
          <w:lang w:val="en-US"/>
        </w:rPr>
        <w:t xml:space="preserve"> of incubation (Figures S3</w:t>
      </w:r>
      <w:r w:rsidR="006660B6">
        <w:rPr>
          <w:rFonts w:ascii="Times New Roman" w:eastAsia="Calibri" w:hAnsi="Times New Roman" w:cs="Times New Roman"/>
          <w:color w:val="000000"/>
          <w:sz w:val="24"/>
          <w:szCs w:val="24"/>
          <w:lang w:val="en-US"/>
        </w:rPr>
        <w:t xml:space="preserve"> a,</w:t>
      </w:r>
      <w:r>
        <w:rPr>
          <w:rFonts w:ascii="Times New Roman" w:eastAsia="Calibri" w:hAnsi="Times New Roman" w:cs="Times New Roman"/>
          <w:color w:val="000000"/>
          <w:sz w:val="24"/>
          <w:szCs w:val="24"/>
          <w:lang w:val="en-US"/>
        </w:rPr>
        <w:t xml:space="preserve"> </w:t>
      </w:r>
      <w:r w:rsidR="006660B6">
        <w:rPr>
          <w:rFonts w:ascii="Times New Roman" w:eastAsia="Calibri" w:hAnsi="Times New Roman" w:cs="Times New Roman"/>
          <w:color w:val="000000"/>
          <w:sz w:val="24"/>
          <w:szCs w:val="24"/>
          <w:lang w:val="en-US"/>
        </w:rPr>
        <w:t>b and c</w:t>
      </w:r>
      <w:r w:rsidR="00EB53AA" w:rsidRPr="00EB53AA">
        <w:rPr>
          <w:rFonts w:ascii="Times New Roman" w:eastAsia="Calibri" w:hAnsi="Times New Roman" w:cs="Times New Roman"/>
          <w:color w:val="000000"/>
          <w:sz w:val="24"/>
          <w:szCs w:val="24"/>
          <w:lang w:val="en-US"/>
        </w:rPr>
        <w:t>). However, the difference was in the range 1.5% to 3.5% in the biochar-mixed digesters and the difference was not significant (</w:t>
      </w:r>
      <w:r w:rsidR="00EB53AA" w:rsidRPr="00A348F9">
        <w:rPr>
          <w:rFonts w:ascii="Times New Roman" w:eastAsia="Calibri" w:hAnsi="Times New Roman" w:cs="Times New Roman"/>
          <w:i/>
          <w:color w:val="000000"/>
          <w:sz w:val="24"/>
          <w:szCs w:val="24"/>
          <w:lang w:val="en-US"/>
        </w:rPr>
        <w:t>p</w:t>
      </w:r>
      <w:r w:rsidR="00EB53AA" w:rsidRPr="00EB53AA">
        <w:rPr>
          <w:rFonts w:ascii="Times New Roman" w:eastAsia="Calibri" w:hAnsi="Times New Roman" w:cs="Times New Roman"/>
          <w:color w:val="000000"/>
          <w:sz w:val="24"/>
          <w:szCs w:val="24"/>
          <w:lang w:val="en-US"/>
        </w:rPr>
        <w:t xml:space="preserve"> &gt; 0.1) for all </w:t>
      </w:r>
      <w:r>
        <w:rPr>
          <w:rFonts w:ascii="Times New Roman" w:eastAsia="Calibri" w:hAnsi="Times New Roman" w:cs="Times New Roman"/>
          <w:color w:val="000000"/>
          <w:sz w:val="24"/>
          <w:szCs w:val="24"/>
          <w:lang w:val="en-US"/>
        </w:rPr>
        <w:t xml:space="preserve">the </w:t>
      </w:r>
      <w:r w:rsidR="00EB53AA" w:rsidRPr="00EB53AA">
        <w:rPr>
          <w:rFonts w:ascii="Times New Roman" w:eastAsia="Calibri" w:hAnsi="Times New Roman" w:cs="Times New Roman"/>
          <w:color w:val="000000"/>
          <w:sz w:val="24"/>
          <w:szCs w:val="24"/>
          <w:lang w:val="en-US"/>
        </w:rPr>
        <w:t>treatment</w:t>
      </w:r>
      <w:r>
        <w:rPr>
          <w:rFonts w:ascii="Times New Roman" w:eastAsia="Calibri" w:hAnsi="Times New Roman" w:cs="Times New Roman"/>
          <w:color w:val="000000"/>
          <w:sz w:val="24"/>
          <w:szCs w:val="24"/>
          <w:lang w:val="en-US"/>
        </w:rPr>
        <w:t>s</w:t>
      </w:r>
      <w:r w:rsidR="00EB53AA" w:rsidRPr="00EB53AA">
        <w:rPr>
          <w:rFonts w:ascii="Times New Roman" w:eastAsia="Calibri" w:hAnsi="Times New Roman" w:cs="Times New Roman"/>
          <w:color w:val="000000"/>
          <w:sz w:val="24"/>
          <w:szCs w:val="24"/>
          <w:lang w:val="en-US"/>
        </w:rPr>
        <w:t xml:space="preserve"> and ISR, indicating the feasibility of using biochar to alleviate NH</w:t>
      </w:r>
      <w:r w:rsidR="00EB53AA" w:rsidRPr="00EB53AA">
        <w:rPr>
          <w:rFonts w:ascii="Times New Roman" w:eastAsia="Calibri" w:hAnsi="Times New Roman" w:cs="Times New Roman"/>
          <w:color w:val="000000"/>
          <w:sz w:val="24"/>
          <w:szCs w:val="24"/>
          <w:vertAlign w:val="subscript"/>
          <w:lang w:val="en-US"/>
        </w:rPr>
        <w:t>3</w:t>
      </w:r>
      <w:r w:rsidR="00EB53AA" w:rsidRPr="00EB53AA">
        <w:rPr>
          <w:rFonts w:ascii="Times New Roman" w:eastAsia="Calibri" w:hAnsi="Times New Roman" w:cs="Times New Roman"/>
          <w:color w:val="000000"/>
          <w:sz w:val="24"/>
          <w:szCs w:val="24"/>
          <w:lang w:val="en-US"/>
        </w:rPr>
        <w:t xml:space="preserve">. Therefore, among </w:t>
      </w:r>
      <w:r>
        <w:rPr>
          <w:rFonts w:ascii="Times New Roman" w:eastAsia="Calibri" w:hAnsi="Times New Roman" w:cs="Times New Roman"/>
          <w:color w:val="000000"/>
          <w:sz w:val="24"/>
          <w:szCs w:val="24"/>
          <w:lang w:val="en-US"/>
        </w:rPr>
        <w:t>the different</w:t>
      </w:r>
      <w:r w:rsidR="00EB53AA" w:rsidRPr="00EB53AA">
        <w:rPr>
          <w:rFonts w:ascii="Times New Roman" w:eastAsia="Calibri" w:hAnsi="Times New Roman" w:cs="Times New Roman"/>
          <w:color w:val="000000"/>
          <w:sz w:val="24"/>
          <w:szCs w:val="24"/>
          <w:lang w:val="en-US"/>
        </w:rPr>
        <w:t xml:space="preserve"> ammonia inhibition strategies, the optimization of the feedstock for biogas production with the addition of biochar may possibly be the easiest and cost-effective technique to minimize the toxicity and concentration of ammonia.</w:t>
      </w:r>
    </w:p>
    <w:p w14:paraId="126BAB76" w14:textId="77777777" w:rsidR="00EB53AA" w:rsidRPr="00EB53AA" w:rsidRDefault="00EB53AA" w:rsidP="00EB53AA">
      <w:pPr>
        <w:spacing w:after="0" w:line="480" w:lineRule="auto"/>
        <w:jc w:val="both"/>
        <w:rPr>
          <w:rFonts w:ascii="Times New Roman" w:eastAsia="Calibri" w:hAnsi="Times New Roman" w:cs="Times New Roman"/>
          <w:b/>
          <w:color w:val="000000"/>
          <w:sz w:val="24"/>
          <w:szCs w:val="24"/>
          <w:lang w:val="en-US"/>
        </w:rPr>
      </w:pPr>
      <w:r w:rsidRPr="00EB53AA">
        <w:rPr>
          <w:rFonts w:ascii="Times New Roman" w:eastAsia="Calibri" w:hAnsi="Times New Roman" w:cs="Times New Roman"/>
          <w:b/>
          <w:color w:val="000000"/>
          <w:sz w:val="24"/>
          <w:szCs w:val="24"/>
          <w:lang w:val="en-US"/>
        </w:rPr>
        <w:t xml:space="preserve">References </w:t>
      </w:r>
    </w:p>
    <w:p w14:paraId="479D7D5F" w14:textId="77777777" w:rsidR="00EB53AA" w:rsidRPr="00EB53AA" w:rsidRDefault="00EB53AA" w:rsidP="00EB53AA">
      <w:pPr>
        <w:spacing w:after="0" w:line="480" w:lineRule="auto"/>
        <w:ind w:left="720" w:hanging="720"/>
        <w:jc w:val="both"/>
        <w:rPr>
          <w:rFonts w:ascii="Times New Roman" w:eastAsia="Times New Roman" w:hAnsi="Times New Roman" w:cs="Times New Roman"/>
          <w:noProof/>
          <w:color w:val="000000"/>
          <w:sz w:val="24"/>
          <w:szCs w:val="24"/>
          <w:lang w:val="en-US"/>
        </w:rPr>
      </w:pPr>
      <w:r w:rsidRPr="00EB53AA">
        <w:rPr>
          <w:rFonts w:ascii="Times New Roman" w:eastAsia="Times New Roman" w:hAnsi="Times New Roman" w:cs="Times New Roman"/>
          <w:noProof/>
          <w:color w:val="000000"/>
          <w:sz w:val="24"/>
          <w:szCs w:val="24"/>
          <w:lang w:val="en-US"/>
        </w:rPr>
        <w:t xml:space="preserve">Chen, Y., Cheng, J.J., Creamer, K.S., 2008. Inhibition of anaerobic digestion process: </w:t>
      </w:r>
      <w:r w:rsidR="00A348F9">
        <w:rPr>
          <w:rFonts w:ascii="Times New Roman" w:eastAsia="Times New Roman" w:hAnsi="Times New Roman" w:cs="Times New Roman"/>
          <w:noProof/>
          <w:color w:val="000000"/>
          <w:sz w:val="24"/>
          <w:szCs w:val="24"/>
          <w:lang w:val="en-US"/>
        </w:rPr>
        <w:t>A</w:t>
      </w:r>
      <w:r w:rsidRPr="00EB53AA">
        <w:rPr>
          <w:rFonts w:ascii="Times New Roman" w:eastAsia="Times New Roman" w:hAnsi="Times New Roman" w:cs="Times New Roman"/>
          <w:noProof/>
          <w:color w:val="000000"/>
          <w:sz w:val="24"/>
          <w:szCs w:val="24"/>
          <w:lang w:val="en-US"/>
        </w:rPr>
        <w:t xml:space="preserve"> review Bioresoure </w:t>
      </w:r>
      <w:r w:rsidRPr="00A348F9">
        <w:rPr>
          <w:rFonts w:ascii="Times New Roman" w:eastAsia="Times New Roman" w:hAnsi="Times New Roman" w:cs="Times New Roman"/>
          <w:noProof/>
          <w:color w:val="000000"/>
          <w:sz w:val="24"/>
          <w:szCs w:val="24"/>
          <w:lang w:val="en-US"/>
        </w:rPr>
        <w:t>Technology, 99, 4044</w:t>
      </w:r>
      <w:r w:rsidRPr="00EB53AA">
        <w:rPr>
          <w:rFonts w:ascii="Times New Roman" w:eastAsia="Times New Roman" w:hAnsi="Times New Roman" w:cs="Times New Roman"/>
          <w:noProof/>
          <w:color w:val="000000"/>
          <w:sz w:val="24"/>
          <w:szCs w:val="24"/>
          <w:lang w:val="en-US"/>
        </w:rPr>
        <w:t>-4064. doi: 10.1016/j.biortech.2007.01.057</w:t>
      </w:r>
    </w:p>
    <w:p w14:paraId="7FDF857E" w14:textId="77777777" w:rsidR="00EB53AA" w:rsidRPr="00EB53AA" w:rsidRDefault="00EB53AA" w:rsidP="00EB53AA">
      <w:pPr>
        <w:spacing w:after="0" w:line="480" w:lineRule="auto"/>
        <w:ind w:left="720" w:hanging="720"/>
        <w:jc w:val="both"/>
        <w:rPr>
          <w:rFonts w:ascii="Times New Roman" w:eastAsia="Times New Roman" w:hAnsi="Times New Roman" w:cs="Times New Roman"/>
          <w:noProof/>
          <w:color w:val="000000"/>
          <w:sz w:val="24"/>
          <w:szCs w:val="24"/>
          <w:lang w:val="en-US"/>
        </w:rPr>
      </w:pPr>
      <w:r w:rsidRPr="00EB53AA">
        <w:rPr>
          <w:rFonts w:ascii="Times New Roman" w:eastAsia="Times New Roman" w:hAnsi="Times New Roman" w:cs="Times New Roman"/>
          <w:color w:val="000000"/>
          <w:sz w:val="24"/>
          <w:szCs w:val="24"/>
          <w:shd w:val="clear" w:color="auto" w:fill="FFFFFF"/>
          <w:lang w:val="en-US"/>
        </w:rPr>
        <w:t xml:space="preserve">Deublein, D. and Steinhauser, A., 2011. </w:t>
      </w:r>
      <w:r w:rsidRPr="00EB53AA">
        <w:rPr>
          <w:rFonts w:ascii="Times New Roman" w:eastAsia="Times New Roman" w:hAnsi="Times New Roman" w:cs="Times New Roman"/>
          <w:iCs/>
          <w:color w:val="000000"/>
          <w:sz w:val="24"/>
          <w:szCs w:val="24"/>
          <w:shd w:val="clear" w:color="auto" w:fill="FFFFFF"/>
          <w:lang w:val="en-US"/>
        </w:rPr>
        <w:t xml:space="preserve">Biogas from waste and renewable resources: an </w:t>
      </w:r>
      <w:r w:rsidRPr="00EB53AA">
        <w:rPr>
          <w:rFonts w:ascii="Times New Roman" w:eastAsia="Times New Roman" w:hAnsi="Times New Roman" w:cs="Times New Roman"/>
          <w:color w:val="000000"/>
          <w:sz w:val="24"/>
          <w:szCs w:val="24"/>
          <w:shd w:val="clear" w:color="auto" w:fill="FFFFFF"/>
          <w:lang w:val="en-US"/>
        </w:rPr>
        <w:t>introduction. John Wiley &amp; Sons</w:t>
      </w:r>
      <w:r w:rsidR="00A348F9">
        <w:rPr>
          <w:rFonts w:ascii="Times New Roman" w:eastAsia="Times New Roman" w:hAnsi="Times New Roman" w:cs="Times New Roman"/>
          <w:color w:val="000000"/>
          <w:sz w:val="24"/>
          <w:szCs w:val="24"/>
          <w:shd w:val="clear" w:color="auto" w:fill="FFFFFF"/>
          <w:lang w:val="en-US"/>
        </w:rPr>
        <w:t>.</w:t>
      </w:r>
    </w:p>
    <w:p w14:paraId="3D1126C3" w14:textId="77777777" w:rsidR="00EB53AA" w:rsidRPr="00EB53AA" w:rsidRDefault="00EB53AA" w:rsidP="00EB53AA">
      <w:pPr>
        <w:spacing w:after="0" w:line="480" w:lineRule="auto"/>
        <w:ind w:left="720" w:hanging="720"/>
        <w:jc w:val="both"/>
        <w:rPr>
          <w:rFonts w:ascii="Times New Roman" w:eastAsia="Calibri" w:hAnsi="Times New Roman" w:cs="Times New Roman"/>
          <w:color w:val="000000"/>
          <w:sz w:val="24"/>
          <w:szCs w:val="24"/>
        </w:rPr>
      </w:pPr>
      <w:r w:rsidRPr="00EB53AA">
        <w:rPr>
          <w:rFonts w:ascii="Times New Roman" w:eastAsia="Calibri" w:hAnsi="Times New Roman" w:cs="Times New Roman"/>
          <w:color w:val="000000"/>
          <w:sz w:val="24"/>
          <w:szCs w:val="24"/>
        </w:rPr>
        <w:t>Fountoulakis, M.S., Petousi, I., Manios, T., 2010. Co-digestion of sewage sludge with glycerol to boost biogas production. Waste Manage</w:t>
      </w:r>
      <w:r w:rsidR="00A348F9">
        <w:rPr>
          <w:rFonts w:ascii="Times New Roman" w:eastAsia="Calibri" w:hAnsi="Times New Roman" w:cs="Times New Roman"/>
          <w:color w:val="000000"/>
          <w:sz w:val="24"/>
          <w:szCs w:val="24"/>
        </w:rPr>
        <w:t>ment 30</w:t>
      </w:r>
      <w:r w:rsidRPr="00EB53AA">
        <w:rPr>
          <w:rFonts w:ascii="Times New Roman" w:eastAsia="Calibri" w:hAnsi="Times New Roman" w:cs="Times New Roman"/>
          <w:color w:val="000000"/>
          <w:sz w:val="24"/>
          <w:szCs w:val="24"/>
        </w:rPr>
        <w:t>(10), 1849-1853.</w:t>
      </w:r>
      <w:r w:rsidRPr="00EB53AA">
        <w:rPr>
          <w:rFonts w:ascii="Calibri" w:eastAsia="Calibri" w:hAnsi="Calibri" w:cs="Times New Roman"/>
        </w:rPr>
        <w:t xml:space="preserve"> </w:t>
      </w:r>
      <w:r w:rsidRPr="00EB53AA">
        <w:rPr>
          <w:rFonts w:ascii="Times New Roman" w:eastAsia="Calibri" w:hAnsi="Times New Roman" w:cs="Times New Roman"/>
          <w:color w:val="000000"/>
          <w:sz w:val="24"/>
          <w:szCs w:val="24"/>
        </w:rPr>
        <w:t>doi: 10.1016/j.wasman.2010.04.011.</w:t>
      </w:r>
    </w:p>
    <w:p w14:paraId="5608E792" w14:textId="77777777" w:rsidR="00EB53AA" w:rsidRPr="00EB53AA" w:rsidRDefault="00EB53AA" w:rsidP="00EB53AA">
      <w:pPr>
        <w:spacing w:after="0" w:line="480" w:lineRule="auto"/>
        <w:ind w:left="720" w:hanging="720"/>
        <w:jc w:val="both"/>
        <w:rPr>
          <w:rFonts w:ascii="Times New Roman" w:eastAsia="Calibri" w:hAnsi="Times New Roman" w:cs="Times New Roman"/>
          <w:color w:val="000000"/>
          <w:sz w:val="24"/>
          <w:szCs w:val="24"/>
        </w:rPr>
      </w:pPr>
      <w:r w:rsidRPr="00EB53AA">
        <w:rPr>
          <w:rFonts w:ascii="Times New Roman" w:eastAsia="Calibri" w:hAnsi="Times New Roman" w:cs="Times New Roman"/>
          <w:color w:val="000000"/>
          <w:sz w:val="24"/>
          <w:szCs w:val="24"/>
        </w:rPr>
        <w:t xml:space="preserve">Hagen, L.H., Vivekanand, V., Linjordet, R., Pope, P.B., Eijsink, V.G., Horn, S.J., 2014. Microbial community structure and dynamics during co-digestion of whey permeate and cow manure in continuous stirred tank reactor systems. </w:t>
      </w:r>
      <w:r w:rsidR="00AF1A22" w:rsidRPr="00EB53AA">
        <w:rPr>
          <w:rFonts w:ascii="Times New Roman" w:eastAsia="Calibri" w:hAnsi="Times New Roman" w:cs="Times New Roman"/>
          <w:color w:val="000000"/>
          <w:sz w:val="24"/>
          <w:szCs w:val="24"/>
        </w:rPr>
        <w:t>Bioresource</w:t>
      </w:r>
      <w:r w:rsidRPr="00EB53AA">
        <w:rPr>
          <w:rFonts w:ascii="Times New Roman" w:eastAsia="Calibri" w:hAnsi="Times New Roman" w:cs="Times New Roman"/>
          <w:color w:val="000000"/>
          <w:sz w:val="24"/>
          <w:szCs w:val="24"/>
        </w:rPr>
        <w:t xml:space="preserve"> Technology 171, 350</w:t>
      </w:r>
      <w:r w:rsidR="00A348F9">
        <w:rPr>
          <w:rFonts w:ascii="Times New Roman" w:eastAsia="Calibri" w:hAnsi="Times New Roman" w:cs="Times New Roman"/>
          <w:color w:val="000000"/>
          <w:sz w:val="24"/>
          <w:szCs w:val="24"/>
        </w:rPr>
        <w:t>-</w:t>
      </w:r>
      <w:r w:rsidRPr="00EB53AA">
        <w:rPr>
          <w:rFonts w:ascii="Times New Roman" w:eastAsia="Calibri" w:hAnsi="Times New Roman" w:cs="Times New Roman"/>
          <w:color w:val="000000"/>
          <w:sz w:val="24"/>
          <w:szCs w:val="24"/>
        </w:rPr>
        <w:t>359.</w:t>
      </w:r>
      <w:r w:rsidRPr="00EB53AA">
        <w:rPr>
          <w:rFonts w:ascii="Calibri" w:eastAsia="Calibri" w:hAnsi="Calibri" w:cs="Times New Roman"/>
        </w:rPr>
        <w:t xml:space="preserve"> </w:t>
      </w:r>
      <w:r w:rsidRPr="00EB53AA">
        <w:rPr>
          <w:rFonts w:ascii="Times New Roman" w:eastAsia="Calibri" w:hAnsi="Times New Roman" w:cs="Times New Roman"/>
          <w:color w:val="000000"/>
          <w:sz w:val="24"/>
          <w:szCs w:val="24"/>
        </w:rPr>
        <w:t>doi: 10.1016/j.biortech.2014.08.095</w:t>
      </w:r>
    </w:p>
    <w:p w14:paraId="2EA8B8FC" w14:textId="77777777" w:rsidR="00EB53AA" w:rsidRPr="00EB53AA" w:rsidRDefault="00EB53AA" w:rsidP="00EB53AA">
      <w:pPr>
        <w:spacing w:after="0" w:line="480" w:lineRule="auto"/>
        <w:ind w:left="720" w:hanging="720"/>
        <w:jc w:val="both"/>
        <w:rPr>
          <w:rFonts w:ascii="Times New Roman" w:eastAsia="Calibri" w:hAnsi="Times New Roman" w:cs="Times New Roman"/>
          <w:color w:val="000000"/>
          <w:sz w:val="24"/>
          <w:szCs w:val="24"/>
        </w:rPr>
      </w:pPr>
      <w:r w:rsidRPr="00EB53AA">
        <w:rPr>
          <w:rFonts w:ascii="Times New Roman" w:eastAsia="Calibri" w:hAnsi="Times New Roman" w:cs="Times New Roman"/>
          <w:color w:val="000000"/>
          <w:sz w:val="24"/>
          <w:szCs w:val="24"/>
        </w:rPr>
        <w:t>Ward, A.J., Hobbs, P.J., Holliman, P.J., Jones, D.L., 2008. Optimization of the anaerobic digestion of agricultural resources. Bioresource Technology, 99, 7928-7940. doi: 10.1016/j.biortech.2008</w:t>
      </w:r>
    </w:p>
    <w:p w14:paraId="19CD796F" w14:textId="77777777" w:rsidR="00EB53AA" w:rsidRPr="00EB53AA" w:rsidRDefault="00EB53AA" w:rsidP="00EB53AA">
      <w:pPr>
        <w:spacing w:after="0" w:line="480" w:lineRule="auto"/>
        <w:ind w:left="720" w:hanging="720"/>
        <w:jc w:val="both"/>
        <w:rPr>
          <w:rFonts w:ascii="Times New Roman" w:eastAsia="Times New Roman" w:hAnsi="Times New Roman" w:cs="Times New Roman"/>
          <w:color w:val="000000"/>
          <w:sz w:val="24"/>
          <w:szCs w:val="24"/>
          <w:lang w:val="en-US"/>
        </w:rPr>
      </w:pPr>
      <w:r w:rsidRPr="00EB53AA">
        <w:rPr>
          <w:rFonts w:ascii="Times New Roman" w:eastAsia="Times New Roman" w:hAnsi="Times New Roman" w:cs="Times New Roman"/>
          <w:color w:val="000000"/>
          <w:sz w:val="24"/>
          <w:szCs w:val="24"/>
          <w:shd w:val="clear" w:color="auto" w:fill="FFFFFF"/>
          <w:lang w:val="en-US"/>
        </w:rPr>
        <w:lastRenderedPageBreak/>
        <w:t xml:space="preserve">Weiland, P., 2010. Biogas production: current state and perspectives. </w:t>
      </w:r>
      <w:r w:rsidRPr="00EB53AA">
        <w:rPr>
          <w:rFonts w:ascii="Times New Roman" w:eastAsia="Times New Roman" w:hAnsi="Times New Roman" w:cs="Times New Roman"/>
          <w:iCs/>
          <w:color w:val="000000"/>
          <w:sz w:val="24"/>
          <w:szCs w:val="24"/>
          <w:shd w:val="clear" w:color="auto" w:fill="FFFFFF"/>
          <w:lang w:val="en-US"/>
        </w:rPr>
        <w:t>Applied Microbiology and Biotechnology</w:t>
      </w:r>
      <w:r w:rsidRPr="00EB53AA">
        <w:rPr>
          <w:rFonts w:ascii="Times New Roman" w:eastAsia="Times New Roman" w:hAnsi="Times New Roman" w:cs="Times New Roman"/>
          <w:color w:val="000000"/>
          <w:sz w:val="24"/>
          <w:szCs w:val="24"/>
          <w:shd w:val="clear" w:color="auto" w:fill="FFFFFF"/>
          <w:lang w:val="en-US"/>
        </w:rPr>
        <w:t xml:space="preserve">, </w:t>
      </w:r>
      <w:r w:rsidRPr="00EB53AA">
        <w:rPr>
          <w:rFonts w:ascii="Times New Roman" w:eastAsia="Times New Roman" w:hAnsi="Times New Roman" w:cs="Times New Roman"/>
          <w:iCs/>
          <w:color w:val="000000"/>
          <w:sz w:val="24"/>
          <w:szCs w:val="24"/>
          <w:shd w:val="clear" w:color="auto" w:fill="FFFFFF"/>
          <w:lang w:val="en-US"/>
        </w:rPr>
        <w:t>85</w:t>
      </w:r>
      <w:r w:rsidRPr="00EB53AA">
        <w:rPr>
          <w:rFonts w:ascii="Times New Roman" w:eastAsia="Times New Roman" w:hAnsi="Times New Roman" w:cs="Times New Roman"/>
          <w:color w:val="000000"/>
          <w:sz w:val="24"/>
          <w:szCs w:val="24"/>
          <w:shd w:val="clear" w:color="auto" w:fill="FFFFFF"/>
          <w:lang w:val="en-US"/>
        </w:rPr>
        <w:t>, 849-860.</w:t>
      </w:r>
      <w:r w:rsidRPr="00EB53AA">
        <w:rPr>
          <w:rFonts w:ascii="Calibri" w:eastAsia="Calibri" w:hAnsi="Calibri" w:cs="Times New Roman"/>
          <w:sz w:val="24"/>
          <w:szCs w:val="24"/>
        </w:rPr>
        <w:t xml:space="preserve"> </w:t>
      </w:r>
      <w:r w:rsidRPr="00EB53AA">
        <w:rPr>
          <w:rFonts w:ascii="Times New Roman" w:eastAsia="Times New Roman" w:hAnsi="Times New Roman" w:cs="Times New Roman"/>
          <w:color w:val="000000"/>
          <w:sz w:val="24"/>
          <w:szCs w:val="24"/>
          <w:shd w:val="clear" w:color="auto" w:fill="FFFFFF"/>
          <w:lang w:val="en-US"/>
        </w:rPr>
        <w:t>doi: 10.1007/s00253-009-2246-7</w:t>
      </w:r>
    </w:p>
    <w:p w14:paraId="7AB861A6" w14:textId="77777777" w:rsidR="00EB53AA" w:rsidRPr="00EB53AA" w:rsidRDefault="00EB53AA" w:rsidP="00EB53AA">
      <w:pPr>
        <w:spacing w:after="0" w:line="480" w:lineRule="auto"/>
        <w:jc w:val="both"/>
        <w:rPr>
          <w:rFonts w:ascii="Times New Roman" w:eastAsia="Calibri" w:hAnsi="Times New Roman" w:cs="Times New Roman"/>
          <w:sz w:val="24"/>
          <w:szCs w:val="24"/>
          <w:lang w:val="en-US"/>
        </w:rPr>
      </w:pPr>
    </w:p>
    <w:p w14:paraId="0E8724B4" w14:textId="77777777" w:rsidR="00EB53AA" w:rsidRDefault="00EB53AA"/>
    <w:sectPr w:rsidR="00EB53AA">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D88C25" w14:textId="77777777" w:rsidR="00271B63" w:rsidRDefault="00271B63" w:rsidP="00A348F9">
      <w:pPr>
        <w:spacing w:after="0" w:line="240" w:lineRule="auto"/>
      </w:pPr>
      <w:r>
        <w:separator/>
      </w:r>
    </w:p>
  </w:endnote>
  <w:endnote w:type="continuationSeparator" w:id="0">
    <w:p w14:paraId="68793E0E" w14:textId="77777777" w:rsidR="00271B63" w:rsidRDefault="00271B63" w:rsidP="00A3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899980655"/>
      <w:docPartObj>
        <w:docPartGallery w:val="Page Numbers (Bottom of Page)"/>
        <w:docPartUnique/>
      </w:docPartObj>
    </w:sdtPr>
    <w:sdtEndPr>
      <w:rPr>
        <w:rFonts w:ascii="Times New Roman" w:hAnsi="Times New Roman" w:cs="Times New Roman"/>
        <w:noProof/>
      </w:rPr>
    </w:sdtEndPr>
    <w:sdtContent>
      <w:p w14:paraId="08077219" w14:textId="77777777" w:rsidR="00A348F9" w:rsidRPr="00A348F9" w:rsidRDefault="00A348F9">
        <w:pPr>
          <w:pStyle w:val="Footer"/>
          <w:jc w:val="center"/>
          <w:rPr>
            <w:rFonts w:ascii="Times New Roman" w:hAnsi="Times New Roman" w:cs="Times New Roman"/>
            <w:sz w:val="24"/>
            <w:szCs w:val="24"/>
          </w:rPr>
        </w:pPr>
        <w:r w:rsidRPr="00A348F9">
          <w:rPr>
            <w:rFonts w:ascii="Times New Roman" w:hAnsi="Times New Roman" w:cs="Times New Roman"/>
            <w:sz w:val="24"/>
            <w:szCs w:val="24"/>
          </w:rPr>
          <w:fldChar w:fldCharType="begin"/>
        </w:r>
        <w:r w:rsidRPr="00A348F9">
          <w:rPr>
            <w:rFonts w:ascii="Times New Roman" w:hAnsi="Times New Roman" w:cs="Times New Roman"/>
            <w:sz w:val="24"/>
            <w:szCs w:val="24"/>
          </w:rPr>
          <w:instrText xml:space="preserve"> PAGE   \* MERGEFORMAT </w:instrText>
        </w:r>
        <w:r w:rsidRPr="00A348F9">
          <w:rPr>
            <w:rFonts w:ascii="Times New Roman" w:hAnsi="Times New Roman" w:cs="Times New Roman"/>
            <w:sz w:val="24"/>
            <w:szCs w:val="24"/>
          </w:rPr>
          <w:fldChar w:fldCharType="separate"/>
        </w:r>
        <w:r w:rsidR="005B1FD3">
          <w:rPr>
            <w:rFonts w:ascii="Times New Roman" w:hAnsi="Times New Roman" w:cs="Times New Roman"/>
            <w:noProof/>
            <w:sz w:val="24"/>
            <w:szCs w:val="24"/>
          </w:rPr>
          <w:t>8</w:t>
        </w:r>
        <w:r w:rsidRPr="00A348F9">
          <w:rPr>
            <w:rFonts w:ascii="Times New Roman" w:hAnsi="Times New Roman" w:cs="Times New Roman"/>
            <w:noProof/>
            <w:sz w:val="24"/>
            <w:szCs w:val="24"/>
          </w:rPr>
          <w:fldChar w:fldCharType="end"/>
        </w:r>
      </w:p>
    </w:sdtContent>
  </w:sdt>
  <w:p w14:paraId="20B0D3DE" w14:textId="77777777" w:rsidR="00A348F9" w:rsidRDefault="00A34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D5EFB" w14:textId="77777777" w:rsidR="00271B63" w:rsidRDefault="00271B63" w:rsidP="00A348F9">
      <w:pPr>
        <w:spacing w:after="0" w:line="240" w:lineRule="auto"/>
      </w:pPr>
      <w:r>
        <w:separator/>
      </w:r>
    </w:p>
  </w:footnote>
  <w:footnote w:type="continuationSeparator" w:id="0">
    <w:p w14:paraId="3DFF4CCE" w14:textId="77777777" w:rsidR="00271B63" w:rsidRDefault="00271B63" w:rsidP="00A348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xMTUyNTe1MDQwMrVQ0lEKTi0uzszPAykwqgUAIrHa4ywAAAA="/>
  </w:docVars>
  <w:rsids>
    <w:rsidRoot w:val="00EB53AA"/>
    <w:rsid w:val="0003031C"/>
    <w:rsid w:val="00271B63"/>
    <w:rsid w:val="00271EE1"/>
    <w:rsid w:val="004900E4"/>
    <w:rsid w:val="005138A6"/>
    <w:rsid w:val="00550F62"/>
    <w:rsid w:val="00567B29"/>
    <w:rsid w:val="005B1FD3"/>
    <w:rsid w:val="005C6227"/>
    <w:rsid w:val="006660B6"/>
    <w:rsid w:val="009A439F"/>
    <w:rsid w:val="00A348F9"/>
    <w:rsid w:val="00AF1A22"/>
    <w:rsid w:val="00D75D6A"/>
    <w:rsid w:val="00E43B8D"/>
    <w:rsid w:val="00EB53AA"/>
    <w:rsid w:val="00ED1E6A"/>
    <w:rsid w:val="00F97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51A4"/>
  <w15:chartTrackingRefBased/>
  <w15:docId w15:val="{675D9D7D-2EF6-4506-8865-F12D96EF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39"/>
    <w:rsid w:val="00EB53A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B5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5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3AA"/>
    <w:rPr>
      <w:rFonts w:ascii="Segoe UI" w:hAnsi="Segoe UI" w:cs="Segoe UI"/>
      <w:sz w:val="18"/>
      <w:szCs w:val="18"/>
    </w:rPr>
  </w:style>
  <w:style w:type="paragraph" w:customStyle="1" w:styleId="IWAPaperTitle">
    <w:name w:val="(IWA) Paper Title"/>
    <w:basedOn w:val="Normal"/>
    <w:uiPriority w:val="99"/>
    <w:rsid w:val="005C6227"/>
    <w:pPr>
      <w:spacing w:after="0" w:line="240" w:lineRule="auto"/>
      <w:jc w:val="center"/>
    </w:pPr>
    <w:rPr>
      <w:rFonts w:ascii="Arial" w:eastAsia="Times New Roman" w:hAnsi="Arial" w:cs="Arial"/>
      <w:b/>
      <w:bCs/>
      <w:sz w:val="28"/>
      <w:szCs w:val="28"/>
    </w:rPr>
  </w:style>
  <w:style w:type="paragraph" w:styleId="Header">
    <w:name w:val="header"/>
    <w:basedOn w:val="Normal"/>
    <w:link w:val="HeaderChar"/>
    <w:uiPriority w:val="99"/>
    <w:unhideWhenUsed/>
    <w:rsid w:val="00A348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8F9"/>
  </w:style>
  <w:style w:type="paragraph" w:styleId="Footer">
    <w:name w:val="footer"/>
    <w:basedOn w:val="Normal"/>
    <w:link w:val="FooterChar"/>
    <w:uiPriority w:val="99"/>
    <w:unhideWhenUsed/>
    <w:rsid w:val="00A348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j@un-ihe.or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teklitgeb@gmail.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E10F9-5259-4D55-BF91-17CA7AD9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UNESCO-IHE</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Teklit Ambaye</dc:creator>
  <cp:keywords/>
  <dc:description/>
  <cp:lastModifiedBy>Teklit Ambaye</cp:lastModifiedBy>
  <cp:revision>3</cp:revision>
  <dcterms:created xsi:type="dcterms:W3CDTF">2020-01-25T17:01:00Z</dcterms:created>
  <dcterms:modified xsi:type="dcterms:W3CDTF">2020-03-10T15:34:00Z</dcterms:modified>
</cp:coreProperties>
</file>