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DB69AF5" w14:textId="6713E76E" w:rsidR="00B67C26" w:rsidRPr="00B67C26" w:rsidRDefault="003251A7" w:rsidP="005B6862">
      <w:pPr>
        <w:pStyle w:val="SupplementaryMaterial"/>
      </w:pPr>
      <w:r w:rsidRPr="001549D3">
        <w:t>Supplementary Material</w:t>
      </w:r>
    </w:p>
    <w:p w14:paraId="0E858C2A" w14:textId="112167FC" w:rsidR="009D3A0F" w:rsidRPr="009D3A0F" w:rsidRDefault="009D3A0F" w:rsidP="009D3A0F">
      <w:pPr>
        <w:pStyle w:val="Heading2"/>
        <w:tabs>
          <w:tab w:val="clear" w:pos="567"/>
        </w:tabs>
      </w:pPr>
      <w:r w:rsidRPr="0001436A">
        <w:t>Supplementary</w:t>
      </w:r>
      <w:r w:rsidRPr="001549D3">
        <w:t xml:space="preserve"> Figures</w:t>
      </w:r>
    </w:p>
    <w:p w14:paraId="5E92E956" w14:textId="77777777" w:rsidR="003251A7" w:rsidRDefault="003251A7">
      <w:r>
        <w:rPr>
          <w:noProof/>
        </w:rPr>
        <w:drawing>
          <wp:inline distT="0" distB="0" distL="0" distR="0" wp14:anchorId="67E04F93" wp14:editId="53C562C1">
            <wp:extent cx="5274310" cy="5461000"/>
            <wp:effectExtent l="0" t="0" r="2540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-S1.ti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46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4A2F2" w14:textId="41639A85" w:rsidR="003251A7" w:rsidRDefault="003251A7" w:rsidP="00B67C26">
      <w:pPr>
        <w:pStyle w:val="a"/>
        <w:spacing w:line="240" w:lineRule="auto"/>
      </w:pPr>
      <w:r w:rsidRPr="00A92F20">
        <w:rPr>
          <w:b/>
        </w:rPr>
        <w:t xml:space="preserve">Figure S1. Expression </w:t>
      </w:r>
      <w:r>
        <w:rPr>
          <w:b/>
        </w:rPr>
        <w:t xml:space="preserve">pattern </w:t>
      </w:r>
      <w:r w:rsidRPr="0069023D">
        <w:rPr>
          <w:b/>
        </w:rPr>
        <w:t xml:space="preserve">of m6A RNA methylation regulators in </w:t>
      </w:r>
      <w:r>
        <w:rPr>
          <w:b/>
        </w:rPr>
        <w:t>the m</w:t>
      </w:r>
      <w:r w:rsidRPr="002837A2">
        <w:rPr>
          <w:b/>
        </w:rPr>
        <w:t xml:space="preserve">olecular phenotype </w:t>
      </w:r>
      <w:r>
        <w:rPr>
          <w:b/>
        </w:rPr>
        <w:t xml:space="preserve">of </w:t>
      </w:r>
      <w:r w:rsidRPr="0069023D">
        <w:rPr>
          <w:b/>
        </w:rPr>
        <w:t>GBM</w:t>
      </w:r>
      <w:r w:rsidRPr="002837A2">
        <w:t>. (</w:t>
      </w:r>
      <w:r w:rsidRPr="00DB61DB">
        <w:rPr>
          <w:b/>
        </w:rPr>
        <w:t>A-C</w:t>
      </w:r>
      <w:r w:rsidRPr="002837A2">
        <w:t>)</w:t>
      </w:r>
      <w:r>
        <w:t xml:space="preserve"> </w:t>
      </w:r>
      <w:r w:rsidRPr="002837A2">
        <w:t>The relationship between m6A RNA methylation regulators expression level and GBM subtypes (Classical, Mesenchymal, Neural, Proneural) (</w:t>
      </w:r>
      <w:r w:rsidRPr="00DB61DB">
        <w:rPr>
          <w:b/>
        </w:rPr>
        <w:t>A</w:t>
      </w:r>
      <w:r w:rsidRPr="002837A2">
        <w:t>), IDH status(</w:t>
      </w:r>
      <w:r w:rsidRPr="00DB61DB">
        <w:rPr>
          <w:b/>
        </w:rPr>
        <w:t>B</w:t>
      </w:r>
      <w:r w:rsidRPr="002837A2">
        <w:t>), G-CIMP status (</w:t>
      </w:r>
      <w:r w:rsidRPr="00DB61DB">
        <w:rPr>
          <w:b/>
        </w:rPr>
        <w:t>C</w:t>
      </w:r>
      <w:r w:rsidRPr="002837A2">
        <w:t>).</w:t>
      </w:r>
    </w:p>
    <w:p w14:paraId="2D7B5485" w14:textId="77777777" w:rsidR="003251A7" w:rsidRDefault="003251A7">
      <w:r>
        <w:rPr>
          <w:noProof/>
        </w:rPr>
        <w:lastRenderedPageBreak/>
        <w:drawing>
          <wp:inline distT="0" distB="0" distL="0" distR="0" wp14:anchorId="15A46743" wp14:editId="4B3A7671">
            <wp:extent cx="5274310" cy="2771775"/>
            <wp:effectExtent l="0" t="0" r="254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-S2.ti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13C62" w14:textId="6AFBB295" w:rsidR="003251A7" w:rsidRDefault="003251A7" w:rsidP="009D3A0F">
      <w:pPr>
        <w:pStyle w:val="a"/>
        <w:spacing w:line="240" w:lineRule="auto"/>
        <w:rPr>
          <w:color w:val="000000" w:themeColor="text1"/>
        </w:rPr>
      </w:pPr>
      <w:r w:rsidRPr="002837A2">
        <w:rPr>
          <w:b/>
        </w:rPr>
        <w:t xml:space="preserve">Figure </w:t>
      </w:r>
      <w:r w:rsidRPr="002837A2">
        <w:rPr>
          <w:b/>
          <w:color w:val="000000" w:themeColor="text1"/>
        </w:rPr>
        <w:t>S2. Identification of consensus clusters by m6A RNA methylation regulators.</w:t>
      </w:r>
      <w:r w:rsidRPr="002837A2">
        <w:rPr>
          <w:color w:val="000000" w:themeColor="text1"/>
        </w:rPr>
        <w:t xml:space="preserve"> (</w:t>
      </w:r>
      <w:r w:rsidRPr="00DB61DB">
        <w:rPr>
          <w:b/>
          <w:color w:val="000000" w:themeColor="text1"/>
        </w:rPr>
        <w:t>A</w:t>
      </w:r>
      <w:r w:rsidRPr="002837A2">
        <w:rPr>
          <w:color w:val="000000" w:themeColor="text1"/>
        </w:rPr>
        <w:t>) Consensus clustering matrix for k = 3, (</w:t>
      </w:r>
      <w:r w:rsidRPr="00DB61DB">
        <w:rPr>
          <w:b/>
          <w:color w:val="000000" w:themeColor="text1"/>
        </w:rPr>
        <w:t>B</w:t>
      </w:r>
      <w:r w:rsidRPr="002837A2">
        <w:rPr>
          <w:color w:val="000000" w:themeColor="text1"/>
        </w:rPr>
        <w:t xml:space="preserve">) </w:t>
      </w:r>
      <w:r>
        <w:rPr>
          <w:color w:val="000000" w:themeColor="text1"/>
        </w:rPr>
        <w:t>T</w:t>
      </w:r>
      <w:r w:rsidRPr="002837A2">
        <w:rPr>
          <w:color w:val="000000" w:themeColor="text1"/>
        </w:rPr>
        <w:t xml:space="preserve">he tracking plot for k=2 to k=10. </w:t>
      </w:r>
    </w:p>
    <w:p w14:paraId="54FEF411" w14:textId="77777777" w:rsidR="003251A7" w:rsidRDefault="003251A7" w:rsidP="009D3A0F">
      <w:pPr>
        <w:widowControl/>
        <w:spacing w:line="240" w:lineRule="auto"/>
        <w:jc w:val="left"/>
        <w:rPr>
          <w:rFonts w:ascii="Times New Roman" w:eastAsia="SimSun" w:hAnsi="Times New Roman"/>
          <w:color w:val="000000" w:themeColor="text1"/>
          <w:kern w:val="2"/>
          <w:sz w:val="24"/>
          <w:szCs w:val="24"/>
        </w:rPr>
      </w:pPr>
      <w:r>
        <w:rPr>
          <w:color w:val="000000" w:themeColor="text1"/>
        </w:rPr>
        <w:br w:type="page"/>
      </w:r>
    </w:p>
    <w:p w14:paraId="67B18E76" w14:textId="53E6066B" w:rsidR="003251A7" w:rsidRDefault="003251A7">
      <w:r>
        <w:rPr>
          <w:noProof/>
        </w:rPr>
        <w:lastRenderedPageBreak/>
        <w:drawing>
          <wp:inline distT="0" distB="0" distL="0" distR="0" wp14:anchorId="50AF3770" wp14:editId="229BC2B0">
            <wp:extent cx="5274310" cy="3383280"/>
            <wp:effectExtent l="0" t="0" r="2540" b="762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-S3.tif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8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1A9E6" w14:textId="7DB628F0" w:rsidR="003251A7" w:rsidRDefault="003251A7" w:rsidP="005B6862">
      <w:pPr>
        <w:pStyle w:val="a"/>
        <w:spacing w:line="240" w:lineRule="auto"/>
      </w:pPr>
      <w:r w:rsidRPr="002837A2">
        <w:rPr>
          <w:b/>
          <w:color w:val="000000" w:themeColor="text1"/>
        </w:rPr>
        <w:t xml:space="preserve">Figure S3. Validation of correlation of DEGs extracted from </w:t>
      </w:r>
      <w:r>
        <w:rPr>
          <w:b/>
          <w:color w:val="000000" w:themeColor="text1"/>
        </w:rPr>
        <w:t xml:space="preserve">the </w:t>
      </w:r>
      <w:r w:rsidRPr="002837A2">
        <w:rPr>
          <w:b/>
          <w:color w:val="000000" w:themeColor="text1"/>
        </w:rPr>
        <w:t xml:space="preserve">TCGA database with overall survival in </w:t>
      </w:r>
      <w:r>
        <w:rPr>
          <w:b/>
          <w:color w:val="000000" w:themeColor="text1"/>
        </w:rPr>
        <w:t xml:space="preserve">the </w:t>
      </w:r>
      <w:r w:rsidRPr="002837A2">
        <w:rPr>
          <w:b/>
          <w:color w:val="000000" w:themeColor="text1"/>
        </w:rPr>
        <w:t>CGGA cohort.</w:t>
      </w:r>
      <w:r w:rsidRPr="002837A2">
        <w:rPr>
          <w:color w:val="000000" w:themeColor="text1"/>
        </w:rPr>
        <w:t xml:space="preserve"> Kaplan</w:t>
      </w:r>
      <w:r w:rsidRPr="002837A2">
        <w:rPr>
          <w:rFonts w:hint="eastAsia"/>
          <w:color w:val="000000" w:themeColor="text1"/>
        </w:rPr>
        <w:t>-</w:t>
      </w:r>
      <w:r w:rsidRPr="002837A2">
        <w:rPr>
          <w:color w:val="000000" w:themeColor="text1"/>
        </w:rPr>
        <w:t>Meier survival curves were generated for selected DEGs extracted from the comparison of groups of high (red line) and low (blue line) gene expression.</w:t>
      </w:r>
      <w:r>
        <w:br w:type="page"/>
      </w:r>
    </w:p>
    <w:p w14:paraId="068AF618" w14:textId="20E18691" w:rsidR="00534F9B" w:rsidRDefault="003251A7">
      <w:r>
        <w:rPr>
          <w:noProof/>
        </w:rPr>
        <w:lastRenderedPageBreak/>
        <w:drawing>
          <wp:inline distT="0" distB="0" distL="0" distR="0" wp14:anchorId="49A2293F" wp14:editId="2E160823">
            <wp:extent cx="5274310" cy="3192780"/>
            <wp:effectExtent l="0" t="0" r="2540" b="762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-S4.tif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97FDD" w14:textId="2263DBFA" w:rsidR="00290203" w:rsidRDefault="003251A7" w:rsidP="005B6862">
      <w:pPr>
        <w:pStyle w:val="a"/>
        <w:spacing w:line="240" w:lineRule="auto"/>
      </w:pPr>
      <w:r w:rsidRPr="002837A2">
        <w:rPr>
          <w:b/>
          <w:color w:val="000000" w:themeColor="text1"/>
        </w:rPr>
        <w:t>Figure S4. Kaplan–Meier survival curves for h</w:t>
      </w:r>
      <w:r w:rsidRPr="002837A2">
        <w:rPr>
          <w:b/>
        </w:rPr>
        <w:t>igh- and</w:t>
      </w:r>
      <w:r w:rsidRPr="00F56A80">
        <w:rPr>
          <w:b/>
        </w:rPr>
        <w:t xml:space="preserve"> low-risk groups of different clinical therapies</w:t>
      </w:r>
      <w:r w:rsidRPr="00F56A80">
        <w:t>. (A-C) Kaplan–Meier survival curves for high-risk group GBM patients with temozolomide chemotherapy (A)</w:t>
      </w:r>
      <w:r w:rsidRPr="00F56A80">
        <w:rPr>
          <w:rFonts w:hint="eastAsia"/>
        </w:rPr>
        <w:t>,</w:t>
      </w:r>
      <w:r w:rsidRPr="00F56A80">
        <w:t xml:space="preserve"> radiation therapy (B), and chemoradiation (C). (D-F) Kaplan–Meier survival curves for high-risk group GBM patients with temozolomide chemotherapy (D)</w:t>
      </w:r>
      <w:r w:rsidRPr="00F56A80">
        <w:rPr>
          <w:rFonts w:hint="eastAsia"/>
        </w:rPr>
        <w:t>,</w:t>
      </w:r>
      <w:r w:rsidRPr="00F56A80">
        <w:t xml:space="preserve"> radiation therapy (E), and chemoradiation (F).</w:t>
      </w:r>
      <w:r w:rsidR="00290203">
        <w:br w:type="page"/>
      </w:r>
    </w:p>
    <w:p w14:paraId="272A4EED" w14:textId="77777777" w:rsidR="00290203" w:rsidRPr="003C684F" w:rsidRDefault="00290203" w:rsidP="009D3A0F">
      <w:pPr>
        <w:pStyle w:val="a"/>
        <w:spacing w:line="240" w:lineRule="auto"/>
      </w:pPr>
      <w:r w:rsidRPr="003C684F">
        <w:rPr>
          <w:noProof/>
        </w:rPr>
        <w:lastRenderedPageBreak/>
        <w:drawing>
          <wp:inline distT="0" distB="0" distL="0" distR="0" wp14:anchorId="79C34BE2" wp14:editId="69E40159">
            <wp:extent cx="5274310" cy="5656580"/>
            <wp:effectExtent l="0" t="0" r="2540" b="12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ure-S5.tif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5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42BE4" w14:textId="1DCEA738" w:rsidR="003251A7" w:rsidRPr="003C684F" w:rsidRDefault="00290203" w:rsidP="00290203">
      <w:pPr>
        <w:pStyle w:val="a"/>
      </w:pPr>
      <w:r w:rsidRPr="003C684F">
        <w:rPr>
          <w:b/>
        </w:rPr>
        <w:t>Figure S5. Expression of METTL14 in normal and GBM tissues</w:t>
      </w:r>
      <w:r w:rsidRPr="003C684F">
        <w:t>. (</w:t>
      </w:r>
      <w:r w:rsidRPr="003C684F">
        <w:rPr>
          <w:b/>
        </w:rPr>
        <w:t>A</w:t>
      </w:r>
      <w:r w:rsidRPr="003C684F">
        <w:t>) The expression values of METTL14 of the different tissues in the organism. (</w:t>
      </w:r>
      <w:r w:rsidRPr="003C684F">
        <w:rPr>
          <w:b/>
        </w:rPr>
        <w:t>B</w:t>
      </w:r>
      <w:r w:rsidRPr="003C684F">
        <w:t>) The expression values of METTL14 in diff</w:t>
      </w:r>
      <w:bookmarkStart w:id="0" w:name="_GoBack"/>
      <w:bookmarkEnd w:id="0"/>
      <w:r w:rsidRPr="003C684F">
        <w:t>erent tumors and corresponding normal tissues.</w:t>
      </w:r>
      <w:r w:rsidR="003251A7" w:rsidRPr="003C684F">
        <w:fldChar w:fldCharType="begin"/>
      </w:r>
      <w:r w:rsidR="003251A7" w:rsidRPr="003C684F">
        <w:instrText xml:space="preserve"> ADDIN </w:instrText>
      </w:r>
      <w:r w:rsidR="003251A7" w:rsidRPr="003C684F">
        <w:fldChar w:fldCharType="end"/>
      </w:r>
    </w:p>
    <w:sectPr w:rsidR="003251A7" w:rsidRPr="003C684F" w:rsidSect="003C684F">
      <w:footerReference w:type="default" r:id="rId12"/>
      <w:pgSz w:w="11906" w:h="16838"/>
      <w:pgMar w:top="1440" w:right="1800" w:bottom="1440" w:left="180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07FA703" w14:textId="77777777" w:rsidR="00890ADB" w:rsidRDefault="00890ADB" w:rsidP="003251A7">
      <w:pPr>
        <w:spacing w:after="0" w:line="240" w:lineRule="auto"/>
      </w:pPr>
      <w:r>
        <w:separator/>
      </w:r>
    </w:p>
  </w:endnote>
  <w:endnote w:type="continuationSeparator" w:id="0">
    <w:p w14:paraId="5268076D" w14:textId="77777777" w:rsidR="00890ADB" w:rsidRDefault="00890ADB" w:rsidP="003251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845629250"/>
      <w:docPartObj>
        <w:docPartGallery w:val="Page Numbers (Bottom of Page)"/>
        <w:docPartUnique/>
      </w:docPartObj>
    </w:sdtPr>
    <w:sdtEndPr/>
    <w:sdtContent>
      <w:p w14:paraId="2D6BAEE1" w14:textId="5C92ED18" w:rsidR="00CB49F1" w:rsidRDefault="00CB49F1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0987013E" w14:textId="77777777" w:rsidR="00CB49F1" w:rsidRDefault="00CB49F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9CB192B" w14:textId="77777777" w:rsidR="00890ADB" w:rsidRDefault="00890ADB" w:rsidP="003251A7">
      <w:pPr>
        <w:spacing w:after="0" w:line="240" w:lineRule="auto"/>
      </w:pPr>
      <w:r>
        <w:separator/>
      </w:r>
    </w:p>
  </w:footnote>
  <w:footnote w:type="continuationSeparator" w:id="0">
    <w:p w14:paraId="36CCA4F0" w14:textId="77777777" w:rsidR="00890ADB" w:rsidRDefault="00890ADB" w:rsidP="003251A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EC0601A"/>
    <w:multiLevelType w:val="multilevel"/>
    <w:tmpl w:val="2D740DBE"/>
    <w:styleLink w:val="Headings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1" w15:restartNumberingAfterBreak="0">
    <w:nsid w:val="400D702F"/>
    <w:multiLevelType w:val="multilevel"/>
    <w:tmpl w:val="DF5C4A78"/>
    <w:lvl w:ilvl="0">
      <w:start w:val="1"/>
      <w:numFmt w:val="decimal"/>
      <w:pStyle w:val="Heading1"/>
      <w:lvlText w:val="第%1章"/>
      <w:lvlJc w:val="left"/>
      <w:pPr>
        <w:ind w:left="432" w:hanging="432"/>
      </w:pPr>
      <w:rPr>
        <w:rFonts w:hint="eastAsia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eastAsia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eastAsia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MjA2NzE3NjUzNzAF0ko6SsGpxcWZ+XkgBUa1AE++qcAsAAAA"/>
  </w:docVars>
  <w:rsids>
    <w:rsidRoot w:val="000F1FE9"/>
    <w:rsid w:val="000F1FE9"/>
    <w:rsid w:val="001C6B82"/>
    <w:rsid w:val="00290203"/>
    <w:rsid w:val="00306FE3"/>
    <w:rsid w:val="003251A7"/>
    <w:rsid w:val="003703F0"/>
    <w:rsid w:val="00381A96"/>
    <w:rsid w:val="003A724C"/>
    <w:rsid w:val="003C684F"/>
    <w:rsid w:val="00534F9B"/>
    <w:rsid w:val="005B6862"/>
    <w:rsid w:val="007C1A83"/>
    <w:rsid w:val="008222F6"/>
    <w:rsid w:val="008336FF"/>
    <w:rsid w:val="00890ADB"/>
    <w:rsid w:val="009D3A0F"/>
    <w:rsid w:val="00B065F4"/>
    <w:rsid w:val="00B67C26"/>
    <w:rsid w:val="00BF49F9"/>
    <w:rsid w:val="00C22F94"/>
    <w:rsid w:val="00CB49F1"/>
    <w:rsid w:val="00CC1F71"/>
    <w:rsid w:val="00DB61DB"/>
    <w:rsid w:val="00FA56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E42F8D7"/>
  <w14:defaultImageDpi w14:val="32767"/>
  <w15:chartTrackingRefBased/>
  <w15:docId w15:val="{3E169B34-F3CB-4733-8494-139A514A52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paragraph" w:styleId="Heading1">
    <w:name w:val="heading 1"/>
    <w:aliases w:val="毕业论文 带编号"/>
    <w:basedOn w:val="Normal"/>
    <w:next w:val="Normal"/>
    <w:link w:val="Heading1Char"/>
    <w:uiPriority w:val="2"/>
    <w:qFormat/>
    <w:rsid w:val="00306FE3"/>
    <w:pPr>
      <w:keepNext/>
      <w:keepLines/>
      <w:numPr>
        <w:numId w:val="1"/>
      </w:numPr>
      <w:spacing w:before="240" w:after="180" w:line="360" w:lineRule="auto"/>
      <w:jc w:val="center"/>
      <w:outlineLvl w:val="0"/>
    </w:pPr>
    <w:rPr>
      <w:rFonts w:ascii="Times New Roman" w:eastAsia="SimSun" w:hAnsi="Times New Roman"/>
      <w:b/>
      <w:bCs/>
      <w:kern w:val="44"/>
      <w:sz w:val="44"/>
      <w:szCs w:val="44"/>
    </w:rPr>
  </w:style>
  <w:style w:type="paragraph" w:styleId="Heading2">
    <w:name w:val="heading 2"/>
    <w:basedOn w:val="Heading1"/>
    <w:next w:val="Normal"/>
    <w:link w:val="Heading2Char"/>
    <w:uiPriority w:val="2"/>
    <w:qFormat/>
    <w:rsid w:val="009D3A0F"/>
    <w:pPr>
      <w:keepNext w:val="0"/>
      <w:keepLines w:val="0"/>
      <w:widowControl/>
      <w:numPr>
        <w:numId w:val="0"/>
      </w:numPr>
      <w:tabs>
        <w:tab w:val="num" w:pos="567"/>
      </w:tabs>
      <w:spacing w:after="200" w:line="240" w:lineRule="auto"/>
      <w:ind w:left="567" w:hanging="567"/>
      <w:jc w:val="left"/>
      <w:outlineLvl w:val="1"/>
    </w:pPr>
    <w:rPr>
      <w:rFonts w:eastAsia="Cambria" w:cs="Times New Roman"/>
      <w:bCs w:val="0"/>
      <w:kern w:val="0"/>
      <w:sz w:val="24"/>
      <w:szCs w:val="24"/>
      <w:lang w:eastAsia="en-US"/>
    </w:rPr>
  </w:style>
  <w:style w:type="paragraph" w:styleId="Heading3">
    <w:name w:val="heading 3"/>
    <w:basedOn w:val="Normal"/>
    <w:next w:val="Normal"/>
    <w:link w:val="Heading3Char"/>
    <w:uiPriority w:val="2"/>
    <w:qFormat/>
    <w:rsid w:val="009D3A0F"/>
    <w:pPr>
      <w:keepNext/>
      <w:keepLines/>
      <w:widowControl/>
      <w:tabs>
        <w:tab w:val="num" w:pos="567"/>
      </w:tabs>
      <w:spacing w:before="40" w:after="120" w:line="240" w:lineRule="auto"/>
      <w:ind w:left="567" w:hanging="567"/>
      <w:jc w:val="left"/>
      <w:outlineLvl w:val="2"/>
    </w:pPr>
    <w:rPr>
      <w:rFonts w:ascii="Times New Roman" w:eastAsiaTheme="majorEastAsia" w:hAnsi="Times New Roman" w:cstheme="majorBidi"/>
      <w:b/>
      <w:sz w:val="24"/>
      <w:szCs w:val="24"/>
      <w:lang w:eastAsia="en-US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9D3A0F"/>
    <w:p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9D3A0F"/>
    <w:p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306FE3"/>
    <w:pPr>
      <w:widowControl w:val="0"/>
      <w:jc w:val="both"/>
    </w:pPr>
  </w:style>
  <w:style w:type="character" w:customStyle="1" w:styleId="Heading1Char">
    <w:name w:val="Heading 1 Char"/>
    <w:aliases w:val="毕业论文 带编号 Char"/>
    <w:basedOn w:val="DefaultParagraphFont"/>
    <w:link w:val="Heading1"/>
    <w:uiPriority w:val="9"/>
    <w:rsid w:val="00306FE3"/>
    <w:rPr>
      <w:rFonts w:ascii="Times New Roman" w:eastAsia="SimSun" w:hAnsi="Times New Roman"/>
      <w:b/>
      <w:bCs/>
      <w:kern w:val="44"/>
      <w:sz w:val="44"/>
      <w:szCs w:val="44"/>
    </w:rPr>
  </w:style>
  <w:style w:type="paragraph" w:styleId="Header">
    <w:name w:val="header"/>
    <w:basedOn w:val="Normal"/>
    <w:link w:val="HeaderChar"/>
    <w:uiPriority w:val="99"/>
    <w:unhideWhenUsed/>
    <w:rsid w:val="003251A7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251A7"/>
  </w:style>
  <w:style w:type="paragraph" w:styleId="Footer">
    <w:name w:val="footer"/>
    <w:basedOn w:val="Normal"/>
    <w:link w:val="FooterChar"/>
    <w:uiPriority w:val="99"/>
    <w:unhideWhenUsed/>
    <w:rsid w:val="003251A7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251A7"/>
  </w:style>
  <w:style w:type="paragraph" w:customStyle="1" w:styleId="SupplementaryMaterial">
    <w:name w:val="Supplementary Material"/>
    <w:basedOn w:val="Title"/>
    <w:next w:val="Title"/>
    <w:qFormat/>
    <w:rsid w:val="003251A7"/>
    <w:pPr>
      <w:widowControl/>
      <w:suppressLineNumbers/>
      <w:spacing w:before="240" w:after="120"/>
      <w:contextualSpacing w:val="0"/>
      <w:jc w:val="center"/>
    </w:pPr>
    <w:rPr>
      <w:rFonts w:ascii="Times New Roman" w:eastAsiaTheme="minorHAnsi" w:hAnsi="Times New Roman" w:cs="Times New Roman"/>
      <w:b/>
      <w:i/>
      <w:spacing w:val="0"/>
      <w:kern w:val="0"/>
      <w:sz w:val="32"/>
      <w:szCs w:val="32"/>
      <w:lang w:eastAsia="en-US"/>
    </w:rPr>
  </w:style>
  <w:style w:type="paragraph" w:styleId="Title">
    <w:name w:val="Title"/>
    <w:basedOn w:val="Normal"/>
    <w:next w:val="Normal"/>
    <w:link w:val="TitleChar"/>
    <w:uiPriority w:val="10"/>
    <w:qFormat/>
    <w:rsid w:val="003251A7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251A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251A7"/>
    <w:pPr>
      <w:spacing w:after="0" w:line="240" w:lineRule="auto"/>
    </w:pPr>
    <w:rPr>
      <w:rFonts w:ascii="Microsoft YaHei UI" w:eastAsia="Microsoft YaHei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51A7"/>
    <w:rPr>
      <w:rFonts w:ascii="Microsoft YaHei UI" w:eastAsia="Microsoft YaHei UI"/>
      <w:sz w:val="18"/>
      <w:szCs w:val="18"/>
    </w:rPr>
  </w:style>
  <w:style w:type="paragraph" w:customStyle="1" w:styleId="a">
    <w:name w:val="论文正文"/>
    <w:basedOn w:val="Normal"/>
    <w:link w:val="Char"/>
    <w:qFormat/>
    <w:rsid w:val="003251A7"/>
    <w:pPr>
      <w:spacing w:after="0" w:line="360" w:lineRule="auto"/>
    </w:pPr>
    <w:rPr>
      <w:rFonts w:ascii="Times New Roman" w:eastAsia="SimSun" w:hAnsi="Times New Roman"/>
      <w:kern w:val="2"/>
      <w:sz w:val="24"/>
      <w:szCs w:val="24"/>
    </w:rPr>
  </w:style>
  <w:style w:type="character" w:customStyle="1" w:styleId="Char">
    <w:name w:val="论文正文 Char"/>
    <w:basedOn w:val="DefaultParagraphFont"/>
    <w:link w:val="a"/>
    <w:rsid w:val="003251A7"/>
    <w:rPr>
      <w:rFonts w:ascii="Times New Roman" w:eastAsia="SimSun" w:hAnsi="Times New Roman"/>
      <w:kern w:val="2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9D3A0F"/>
    <w:rPr>
      <w:rFonts w:ascii="Times New Roman" w:eastAsia="Cambria" w:hAnsi="Times New Roman" w:cs="Times New Roman"/>
      <w:b/>
      <w:sz w:val="24"/>
      <w:szCs w:val="24"/>
      <w:lang w:eastAsia="en-US"/>
    </w:rPr>
  </w:style>
  <w:style w:type="character" w:customStyle="1" w:styleId="Heading3Char">
    <w:name w:val="Heading 3 Char"/>
    <w:basedOn w:val="DefaultParagraphFont"/>
    <w:link w:val="Heading3"/>
    <w:uiPriority w:val="2"/>
    <w:rsid w:val="009D3A0F"/>
    <w:rPr>
      <w:rFonts w:ascii="Times New Roman" w:eastAsiaTheme="majorEastAsia" w:hAnsi="Times New Roman" w:cstheme="majorBidi"/>
      <w:b/>
      <w:sz w:val="24"/>
      <w:szCs w:val="24"/>
      <w:lang w:eastAsia="en-US"/>
    </w:rPr>
  </w:style>
  <w:style w:type="character" w:customStyle="1" w:styleId="Heading4Char">
    <w:name w:val="Heading 4 Char"/>
    <w:basedOn w:val="DefaultParagraphFont"/>
    <w:link w:val="Heading4"/>
    <w:uiPriority w:val="2"/>
    <w:rsid w:val="009D3A0F"/>
    <w:rPr>
      <w:rFonts w:ascii="Times New Roman" w:eastAsiaTheme="majorEastAsia" w:hAnsi="Times New Roman" w:cstheme="majorBidi"/>
      <w:b/>
      <w:iCs/>
      <w:sz w:val="24"/>
      <w:szCs w:val="24"/>
      <w:lang w:eastAsia="en-US"/>
    </w:rPr>
  </w:style>
  <w:style w:type="character" w:customStyle="1" w:styleId="Heading5Char">
    <w:name w:val="Heading 5 Char"/>
    <w:basedOn w:val="DefaultParagraphFont"/>
    <w:link w:val="Heading5"/>
    <w:uiPriority w:val="2"/>
    <w:rsid w:val="009D3A0F"/>
    <w:rPr>
      <w:rFonts w:ascii="Times New Roman" w:eastAsiaTheme="majorEastAsia" w:hAnsi="Times New Roman" w:cstheme="majorBidi"/>
      <w:b/>
      <w:iCs/>
      <w:sz w:val="24"/>
      <w:szCs w:val="24"/>
      <w:lang w:eastAsia="en-US"/>
    </w:rPr>
  </w:style>
  <w:style w:type="numbering" w:customStyle="1" w:styleId="Headings">
    <w:name w:val="Headings"/>
    <w:uiPriority w:val="99"/>
    <w:rsid w:val="009D3A0F"/>
    <w:pPr>
      <w:numPr>
        <w:numId w:val="2"/>
      </w:numPr>
    </w:pPr>
  </w:style>
  <w:style w:type="character" w:styleId="LineNumber">
    <w:name w:val="line number"/>
    <w:basedOn w:val="DefaultParagraphFont"/>
    <w:uiPriority w:val="99"/>
    <w:semiHidden/>
    <w:unhideWhenUsed/>
    <w:rsid w:val="00CB49F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"/><Relationship Id="rId5" Type="http://schemas.openxmlformats.org/officeDocument/2006/relationships/footnotes" Target="footnotes.xml"/><Relationship Id="rId10" Type="http://schemas.openxmlformats.org/officeDocument/2006/relationships/image" Target="media/image4.tif"/><Relationship Id="rId4" Type="http://schemas.openxmlformats.org/officeDocument/2006/relationships/webSettings" Target="webSettings.xml"/><Relationship Id="rId9" Type="http://schemas.openxmlformats.org/officeDocument/2006/relationships/image" Target="media/image3.ti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212</Words>
  <Characters>1213</Characters>
  <Application>Microsoft Office Word</Application>
  <DocSecurity>0</DocSecurity>
  <Lines>10</Lines>
  <Paragraphs>2</Paragraphs>
  <ScaleCrop>false</ScaleCrop>
  <Company/>
  <LinksUpToDate>false</LinksUpToDate>
  <CharactersWithSpaces>1423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 Jianyang</dc:creator>
  <cp:keywords/>
  <dc:description/>
  <cp:lastModifiedBy>Marlena Radomska</cp:lastModifiedBy>
  <cp:revision>3</cp:revision>
  <dcterms:created xsi:type="dcterms:W3CDTF">2020-02-21T16:29:00Z</dcterms:created>
  <dcterms:modified xsi:type="dcterms:W3CDTF">2020-03-06T11:52:00Z</dcterms:modified>
</cp:coreProperties>
</file>