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D98B9" w14:textId="17793F06" w:rsidR="00544F37" w:rsidRPr="000F1A58" w:rsidRDefault="00654E8F" w:rsidP="00544F37">
      <w:pPr>
        <w:pStyle w:val="SupplementaryMaterial"/>
      </w:pPr>
      <w:r w:rsidRPr="000F1A58">
        <w:t>Supplementary Material</w:t>
      </w:r>
    </w:p>
    <w:p w14:paraId="4AC81905" w14:textId="18F4F2A1" w:rsidR="0099077D" w:rsidRPr="000F1A58" w:rsidRDefault="00544F37" w:rsidP="00544F37">
      <w:pPr>
        <w:spacing w:before="240"/>
        <w:outlineLvl w:val="0"/>
        <w:rPr>
          <w:rFonts w:eastAsia="Cambria" w:cs="Times New Roman"/>
          <w:szCs w:val="24"/>
        </w:rPr>
      </w:pPr>
      <w:r w:rsidRPr="000F1A58">
        <w:rPr>
          <w:rFonts w:eastAsia="Cambria" w:cs="Times New Roman"/>
          <w:szCs w:val="24"/>
        </w:rPr>
        <w:t xml:space="preserve">This document provides supplementary material </w:t>
      </w:r>
      <w:r w:rsidR="00E456E9" w:rsidRPr="000F1A58">
        <w:rPr>
          <w:rFonts w:eastAsia="Cambria" w:cs="Times New Roman"/>
          <w:szCs w:val="24"/>
        </w:rPr>
        <w:t xml:space="preserve">pertaining </w:t>
      </w:r>
      <w:r w:rsidRPr="000F1A58">
        <w:rPr>
          <w:rFonts w:eastAsia="Cambria" w:cs="Times New Roman"/>
          <w:szCs w:val="24"/>
        </w:rPr>
        <w:t>to the manuscript “</w:t>
      </w:r>
      <w:r w:rsidR="00204F47" w:rsidRPr="000F1A58">
        <w:rPr>
          <w:rFonts w:eastAsia="Cambria" w:cs="Times New Roman"/>
          <w:szCs w:val="24"/>
        </w:rPr>
        <w:t>The potential of functional near-infrared spectroscopy-based neurofeedback – a systematic review and re</w:t>
      </w:r>
      <w:r w:rsidR="00C416B3">
        <w:rPr>
          <w:rFonts w:eastAsia="Cambria" w:cs="Times New Roman"/>
          <w:szCs w:val="24"/>
        </w:rPr>
        <w:t>commendations for best practice”.</w:t>
      </w:r>
      <w:r w:rsidRPr="000F1A58">
        <w:rPr>
          <w:rFonts w:eastAsia="Cambria" w:cs="Times New Roman"/>
          <w:szCs w:val="24"/>
        </w:rPr>
        <w:t xml:space="preserve"> </w:t>
      </w:r>
    </w:p>
    <w:p w14:paraId="4FCA086E" w14:textId="77777777" w:rsidR="00225D02" w:rsidRPr="000F1A58" w:rsidRDefault="00225D02" w:rsidP="00225D02">
      <w:pPr>
        <w:pStyle w:val="Heading1"/>
      </w:pPr>
      <w:r w:rsidRPr="000F1A58">
        <w:t>Data extraction</w:t>
      </w:r>
    </w:p>
    <w:p w14:paraId="46079342" w14:textId="2C50B5AD" w:rsidR="00225D02" w:rsidRPr="00287874" w:rsidRDefault="00225D02" w:rsidP="008123B5">
      <w:pPr>
        <w:pStyle w:val="Heading1"/>
        <w:numPr>
          <w:ilvl w:val="0"/>
          <w:numId w:val="0"/>
        </w:numPr>
        <w:rPr>
          <w:lang w:eastAsia="en-GB"/>
        </w:rPr>
      </w:pPr>
      <w:r w:rsidRPr="00287874">
        <w:rPr>
          <w:rFonts w:eastAsiaTheme="minorHAnsi" w:cstheme="minorBidi"/>
          <w:b w:val="0"/>
          <w:szCs w:val="22"/>
          <w:lang w:eastAsia="en-GB"/>
        </w:rPr>
        <w:t>See Supplementary_file_1_Data_extraction.xlsx</w:t>
      </w:r>
    </w:p>
    <w:p w14:paraId="6AF31C3C" w14:textId="2002BCBE" w:rsidR="000572AD" w:rsidRPr="000F1A58" w:rsidRDefault="00CD631B" w:rsidP="00CC013A">
      <w:pPr>
        <w:numPr>
          <w:ilvl w:val="0"/>
          <w:numId w:val="19"/>
        </w:numPr>
        <w:spacing w:before="240"/>
        <w:outlineLvl w:val="0"/>
        <w:rPr>
          <w:rFonts w:eastAsia="Cambria" w:cs="Times New Roman"/>
          <w:b/>
          <w:szCs w:val="24"/>
        </w:rPr>
      </w:pPr>
      <w:r w:rsidRPr="000F1A58">
        <w:rPr>
          <w:rFonts w:eastAsia="Cambria" w:cs="Times New Roman"/>
          <w:b/>
          <w:szCs w:val="24"/>
        </w:rPr>
        <w:t>D</w:t>
      </w:r>
      <w:r w:rsidR="00F77BAE" w:rsidRPr="000F1A58">
        <w:rPr>
          <w:rFonts w:eastAsia="Cambria" w:cs="Times New Roman"/>
          <w:b/>
          <w:szCs w:val="24"/>
        </w:rPr>
        <w:t xml:space="preserve">etails </w:t>
      </w:r>
      <w:r w:rsidR="00A212F8" w:rsidRPr="000F1A58">
        <w:rPr>
          <w:rFonts w:eastAsia="Cambria" w:cs="Times New Roman"/>
          <w:b/>
          <w:szCs w:val="24"/>
        </w:rPr>
        <w:t xml:space="preserve">of </w:t>
      </w:r>
      <w:r w:rsidR="00F77BAE" w:rsidRPr="000F1A58">
        <w:rPr>
          <w:rFonts w:eastAsia="Cambria" w:cs="Times New Roman"/>
          <w:b/>
          <w:szCs w:val="24"/>
        </w:rPr>
        <w:t xml:space="preserve">JBI </w:t>
      </w:r>
      <w:r w:rsidR="00E456E9" w:rsidRPr="000F1A58">
        <w:rPr>
          <w:rFonts w:eastAsia="Cambria" w:cs="Times New Roman"/>
          <w:b/>
          <w:szCs w:val="24"/>
        </w:rPr>
        <w:t>r</w:t>
      </w:r>
      <w:r w:rsidR="00F77BAE" w:rsidRPr="000F1A58">
        <w:rPr>
          <w:rFonts w:eastAsia="Cambria" w:cs="Times New Roman"/>
          <w:b/>
          <w:szCs w:val="24"/>
        </w:rPr>
        <w:t>atings</w:t>
      </w:r>
    </w:p>
    <w:p w14:paraId="051A3B49" w14:textId="40C1AA82" w:rsidR="00225D02" w:rsidRPr="000F1A58" w:rsidRDefault="00CC013A" w:rsidP="00CC013A">
      <w:pPr>
        <w:spacing w:before="240"/>
        <w:outlineLvl w:val="0"/>
        <w:rPr>
          <w:rFonts w:eastAsia="Cambria" w:cs="Times New Roman"/>
          <w:szCs w:val="24"/>
        </w:rPr>
      </w:pPr>
      <w:r w:rsidRPr="000F1A58">
        <w:rPr>
          <w:szCs w:val="24"/>
        </w:rPr>
        <w:t xml:space="preserve">To assess the methodological quality of the included studies we used the </w:t>
      </w:r>
      <w:r w:rsidRPr="000F1A58">
        <w:t xml:space="preserve">checklist for quasi-experimental studies of the Joanna Briggs Institute (JBI) critical appraisal tools </w:t>
      </w:r>
      <w:r w:rsidRPr="00C416B3">
        <w:fldChar w:fldCharType="begin" w:fldLock="1"/>
      </w:r>
      <w:r w:rsidRPr="000F1A58">
        <w:instrText>ADDIN CSL_CITATION {"citationItems":[{"id":"ITEM-1","itemData":{"author":[{"dropping-particle":"","family":"Tufanaru","given":"C","non-dropping-particle":"","parse-names":false,"suffix":""},{"dropping-particle":"","family":"Munn","given":"Z","non-dropping-particle":"","parse-names":false,"suffix":""},{"dropping-particle":"","family":"Aromataris","given":"E","non-dropping-particle":"","parse-names":false,"suffix":""},{"dropping-particle":"","family":"Campbell","given":"J","non-dropping-particle":"","parse-names":false,"suffix":""},{"dropping-particle":"","family":"Hopp","given":"L","non-dropping-particle":"","parse-names":false,"suffix":""}],"container-title":"Joanna Briggs Institute Reviewer's Manual.","editor":[{"dropping-particle":"","family":"Aromataris","given":"E","non-dropping-particle":"","parse-names":false,"suffix":""},{"dropping-particle":"","family":"Munn","given":"Z","non-dropping-particle":"","parse-names":false,"suffix":""}],"id":"ITEM-1","issued":{"date-parts":[["2017"]]},"publisher":"The Joanna Briggs Institute","title":"Chapter 3: Systematic reviews of effectiveness.","type":"chapter"},"uris":["http://www.mendeley.com/documents/?uuid=bfc48e6d-1de6-4ee8-87ff-11f7b1ad6b3d"]}],"mendeley":{"formattedCitation":"(Tufanaru et al., 2017)","plainTextFormattedCitation":"(Tufanaru et al., 2017)","previouslyFormattedCitation":"(Tufanaru et al., 2017)"},"properties":{"noteIndex":0},"schema":"https://github.com/citation-style-language/schema/raw/master/csl-citation.json"}</w:instrText>
      </w:r>
      <w:r w:rsidRPr="00C416B3">
        <w:fldChar w:fldCharType="separate"/>
      </w:r>
      <w:r w:rsidRPr="000F1A58">
        <w:rPr>
          <w:noProof/>
        </w:rPr>
        <w:t>(Tufanaru et al., 2017)</w:t>
      </w:r>
      <w:r w:rsidRPr="00C416B3">
        <w:fldChar w:fldCharType="end"/>
      </w:r>
      <w:r w:rsidRPr="000F1A58">
        <w:t xml:space="preserve">. </w:t>
      </w:r>
      <w:r w:rsidR="0099077D" w:rsidRPr="000F1A58">
        <w:rPr>
          <w:rFonts w:eastAsia="Cambria" w:cs="Times New Roman"/>
          <w:szCs w:val="24"/>
        </w:rPr>
        <w:t>Table S1 shows detailed results of the ratings.</w:t>
      </w:r>
      <w:r w:rsidR="0099077D" w:rsidRPr="000F1A58">
        <w:t xml:space="preserve"> </w:t>
      </w:r>
      <w:r w:rsidRPr="000F1A58">
        <w:t xml:space="preserve">Here we further specify the criteria we applied </w:t>
      </w:r>
      <w:r w:rsidR="0099077D" w:rsidRPr="000F1A58">
        <w:t>for</w:t>
      </w:r>
      <w:r w:rsidRPr="000F1A58">
        <w:t xml:space="preserve"> the ratings.</w:t>
      </w:r>
    </w:p>
    <w:p w14:paraId="412D1EC4" w14:textId="690BCA32" w:rsidR="004D537B" w:rsidRPr="000F1A58" w:rsidRDefault="004D537B" w:rsidP="004D537B">
      <w:pPr>
        <w:spacing w:before="240"/>
        <w:ind w:left="567" w:hanging="567"/>
        <w:outlineLvl w:val="0"/>
        <w:rPr>
          <w:rFonts w:cs="Times New Roman"/>
          <w:b/>
          <w:i/>
          <w:szCs w:val="24"/>
        </w:rPr>
      </w:pPr>
      <w:r w:rsidRPr="000F1A58">
        <w:rPr>
          <w:rFonts w:cs="Times New Roman"/>
          <w:b/>
          <w:i/>
          <w:szCs w:val="24"/>
        </w:rPr>
        <w:t>Item 2: Similar participants</w:t>
      </w:r>
      <w:r w:rsidR="00F838F6" w:rsidRPr="000F1A58">
        <w:rPr>
          <w:rFonts w:cs="Times New Roman"/>
          <w:b/>
          <w:i/>
          <w:szCs w:val="24"/>
        </w:rPr>
        <w:t xml:space="preserve"> in compared groups</w:t>
      </w:r>
    </w:p>
    <w:p w14:paraId="02D53C3E" w14:textId="6AD1F614" w:rsidR="002E57C3" w:rsidRPr="000F1A58" w:rsidRDefault="00E456E9" w:rsidP="004D537B">
      <w:pPr>
        <w:spacing w:before="240"/>
        <w:outlineLvl w:val="0"/>
        <w:rPr>
          <w:rFonts w:cs="Times New Roman"/>
          <w:szCs w:val="24"/>
        </w:rPr>
      </w:pPr>
      <w:r w:rsidRPr="000F1A58">
        <w:rPr>
          <w:rFonts w:cs="Times New Roman"/>
          <w:szCs w:val="24"/>
        </w:rPr>
        <w:t>W</w:t>
      </w:r>
      <w:r w:rsidR="001313DB" w:rsidRPr="000F1A58">
        <w:rPr>
          <w:rFonts w:cs="Times New Roman"/>
          <w:szCs w:val="24"/>
        </w:rPr>
        <w:t xml:space="preserve">e </w:t>
      </w:r>
      <w:r w:rsidR="002E57C3" w:rsidRPr="000F1A58">
        <w:rPr>
          <w:rFonts w:cs="Times New Roman"/>
          <w:szCs w:val="24"/>
        </w:rPr>
        <w:t>assumed similar participants in terms of baseline measures or demographics, even if a study did not report a check for similarity. We acknowledge that s</w:t>
      </w:r>
      <w:r w:rsidR="0099077D" w:rsidRPr="000F1A58">
        <w:rPr>
          <w:rFonts w:cs="Times New Roman"/>
          <w:szCs w:val="24"/>
        </w:rPr>
        <w:t xml:space="preserve">tudies </w:t>
      </w:r>
      <w:r w:rsidR="002E57C3" w:rsidRPr="000F1A58">
        <w:rPr>
          <w:rFonts w:cs="Times New Roman"/>
          <w:szCs w:val="24"/>
        </w:rPr>
        <w:t>reporting baseline differences more transparently</w:t>
      </w:r>
      <w:r w:rsidR="00655EF0" w:rsidRPr="000F1A58">
        <w:rPr>
          <w:rFonts w:cs="Times New Roman"/>
          <w:szCs w:val="24"/>
        </w:rPr>
        <w:t xml:space="preserve"> </w:t>
      </w:r>
      <w:r w:rsidR="00655EF0" w:rsidRPr="000F1A58">
        <w:rPr>
          <w:rFonts w:cs="Times New Roman"/>
          <w:szCs w:val="24"/>
        </w:rPr>
        <w:fldChar w:fldCharType="begin" w:fldLock="1"/>
      </w:r>
      <w:r w:rsidR="002E5452" w:rsidRPr="000F1A58">
        <w:rPr>
          <w:rFonts w:cs="Times New Roman"/>
          <w:szCs w:val="24"/>
        </w:rPr>
        <w:instrText>ADDIN CSL_CITATION {"citationItems":[{"id":"ITEM-1","itemData":{"DOI":"10.3389/fnhum.2014.01038","ISBN":"1662-5161","ISSN":"1662-5161","PMID":"25610390","abstract":"In this pilot study near-infrared spectroscopy (NIRS) neurofeedback was investigated as a new method for the treatment of Attention Deficit-/Hyperactivity Disorder (ADHD). Oxygenated hemoglobin in the prefrontal cortex of children with ADHD was measured and fed back. 12 sessions of NIRS-neurofeedback were compared to the intermediate outcome after 12 sessions of EEG-neurofeedback (slow cortical potentials, SCP) and 12 sessions of EMG-feedback (muscular activity of left and right musculus supraspinatus). The task was either to increase or decrease hemodynamic activity in the prefrontal cortex (NIRS), to produce positive or negative shifts of SCP (EEG) or to increase or decrease muscular activity (EMG). In each group nine children with ADHD, aged 7-10 years, took part. Changes in parents' ratings of ADHD symptoms were assessed before and after the 12 sessions and compared within and between groups. For the NIRS-group additional teachers' ratings of ADHD symptoms, parents' and teachers' ratings of associated behavioral symptoms, childrens' self reports on quality of life and a computer based attention task were conducted before, 4 weeks and 6 months after training. As primary outcome, ADHD symptoms decreased significantly 4 weeks and 6 months after the NIRS training, according to parents' ratings. In teachers' ratings of ADHD symptoms there was a significant reduction 4 weeks after the training. The performance in the computer based attention test improved significantly. Within-group comparisons after 12 sessions of NIRS-, EEG- and EMG-training revealed a significant reduction in ADHD symptoms in the NIRS-group and a trend for EEG- and EMG-groups. No significant differences for symptom reduction were found between the groups. Despite the limitations of small groups and the comparison of a completed with two uncompleted interventions, the results of this pilot study are promising. NIRS-neurofeedback could be a time-effective treatment for ADHD and an interesting new option to consider in the treatment of ADHD.","author":[{"dropping-particle":"","family":"Marx","given":"Anna-Maria M","non-dropping-particle":"","parse-names":false,"suffix":""},{"dropping-particle":"","family":"Ehlis","given":"Ann-Christine C","non-dropping-particle":"","parse-names":false,"suffix":""},{"dropping-particle":"","family":"Furdea","given":"Adrian","non-dropping-particle":"","parse-names":false,"suffix":""},{"dropping-particle":"","family":"Holtmann","given":"Martin","non-dropping-particle":"","parse-names":false,"suffix":""},{"dropping-particle":"","family":"Banaschewski","given":"Tobias","non-dropping-particle":"","parse-names":false,"suffix":""},{"dropping-particle":"","family":"Brandeis","given":"Daniel","non-dropping-particle":"","parse-names":false,"suffix":""},{"dropping-particle":"","family":"Rothenberger","given":"Aribert","non-dropping-particle":"","parse-names":false,"suffix":""},{"dropping-particle":"","family":"Gevensleben","given":"Holger","non-dropping-particle":"","parse-names":false,"suffix":""},{"dropping-particle":"","family":"Freitag","given":"Christine M.","non-dropping-particle":"","parse-names":false,"suffix":""},{"dropping-particle":"","family":"Fuchsenberger","given":"Yvonne","non-dropping-particle":"","parse-names":false,"suffix":""},{"dropping-particle":"","family":"Fallgatter","given":"Andreas J.","non-dropping-particle":"","parse-names":false,"suffix":""},{"dropping-particle":"","family":"Strehl","given":"Ute","non-dropping-particle":"","parse-names":false,"suffix":""}],"container-title":"Front Hum Neurosci","edition":"2015/01/23","id":"ITEM-1","issue":"October","issued":{"date-parts":[["2015"]]},"language":"English","note":"From Duplicate 2 (Near-infrared spectroscopy (NIRS) neurofeedback as a treatment for children with attention deficit hyperactivity disorder (ADHD)-a pilot study - Marx, A M; Ehlis, A C; Furdea, A; Holtmann, M; Banaschewski, T; Brandeis, D; Rothenberger, A; Gevensleben, H; Freitag, C M; Fuchsenberger, Y; Fallgatter, A J; Strehl, U)\n\nMarx, Anna-Maria Ehlis, Ann-Christine Furdea, Adrian Holtmann, Martin Banaschewski, Tobias Brandeis, Daniel Rothenberger, Aribert Gevensleben, Holger Freitag, Christine M. Fuchsenberger, Yvonne Fallgatter, Andreas J. Strehl, Ute\n\nFrom Duplicate 4 (Near-infrared spectroscopy (NIRS) neurofeedback as a treatment for children with attention deficit hyperactivity disorder (ADHD)-a pilot study - Marx, A M; Ehlis, A C; Furdea, A; Holtmann, M; Banaschewski, T; Brandeis, D; Rothenberger, A; Gevensleben, H; Freitag, C M; Fuchsenberger, Y; Fallgatter, A J; Strehl, U)\n\nMarx, Anna-Maria\nEhlis, Ann-Christine\nFurdea, Adrian\nHoltmann, Martin\nBanaschewski, Tobias\nBrandeis, Daniel\nRothenberger, Aribert\nGevensleben, Holger\nFreitag, Christine M\nFuchsenberger, Yvonne\nFallgatter, Andreas J\nStrehl, Ute\neng\nSwitzerland\nFront Hum Neurosci. 2015 Jan 7;8:1038. doi: 10.3389/fnhum.2014.01038. eCollection 2014.","page":"1038","title":"Near-infrared spectroscopy (NIRS) neurofeedback as a treatment for children with attention deficit hyperactivity disorder (ADHD)-a pilot study.","type":"article-journal","volume":"8"},"uris":["http://www.mendeley.com/documents/?uuid=fa67fa75-f7fc-4d83-af07-c7e0ea29cd5e"]},{"id":"ITEM-2","itemData":{"DOI":"10.3389/fnhum.2017.00425","ISBN":"1662-5161","ISSN":"1662-5161","abstract":"Based on neurofeedback (NF) training as a neurobiological treatment in attention-deficit/hyperactivity disorder, we designed a randomized, controlled functional near-infrared spectroscopy (fNIRS) NF intervention embedded in a virtual classroom in which participants controlled overhead lighting with their dorsolateral prefrontal brain activation. We tested the efficacy of the intervention on healthy adults displaying high impulsivity as a sub-clinical population sharing common features with ADHD. Twenty participants, ten in experimental and ten in a shoulder muscle-based electromyography control group, underwent eight training sessions across two weeks. Training was bookended by a pre- and posttest including go/no-go, n-back, and Stop-signal tasks. Results indicated a significant reduction in commission errors on the no-go task with a simultaneous increase in prefrontal oxygenated hemoglobin concentration for the experimental group, but not for the control group. Furthermore, the ability of the subjects to gain control over the feedback parameter correlated strongly with this reduction in FA errors for the experimental, but not for the control group, indicating the potential importance of learning feedback control in moderating behavioral outcomes. In addition, participants of the fNIRS group showed a reduction in reaction time variability on the stop-signal task. Results indicate a clear effect of our NF intervention in reducing impulsive behavior possibly via a strengthening of frontal lobe functioning. Virtual reality additions to conventional NF may be one way to improve the ecological validity and symptom-relevance of the training situation.","author":[{"dropping-particle":"","family":"Hudak","given":"Justin","non-dropping-particle":"","parse-names":false,"suffix":""},{"dropping-particle":"","family":"Blume","given":"Friederike","non-dropping-particle":"","parse-names":false,"suffix":""},{"dropping-particle":"","family":"Dresler","given":"Thomas","non-dropping-particle":"","parse-names":false,"suffix":""},{"dropping-particle":"","family":"Haeussinger","given":"Florian B.","non-dropping-particle":"","parse-names":false,"suffix":""},{"dropping-particle":"","family":"Renner","given":"Tobias J.","non-dropping-particle":"","parse-names":false,"suffix":""},{"dropping-particle":"","family":"Fallgatter","given":"Andreas J.","non-dropping-particle":"","parse-names":false,"suffix":""},{"dropping-particle":"","family":"Gawrilow","given":"Caterina","non-dropping-particle":"","parse-names":false,"suffix":""},{"dropping-particle":"","family":"Ehlis","given":"Ann-Christine","non-dropping-particle":"","parse-names":false,"suffix":""}],"container-title":"Frontiers in Human Neuroscience","id":"ITEM-2","issue":"September","issued":{"date-parts":[["2017"]]},"page":"1-13","title":"Near-Infrared Spectroscopy-Based Frontal Lobe Neurofeedback Integrated in Virtual Reality Modulates Brain and Behavior in Highly Impulsive Adults","type":"article-journal","volume":"11"},"uris":["http://www.mendeley.com/documents/?uuid=738fc1b4-67eb-48a5-a2ee-664ebe9eb4e4"]}],"mendeley":{"formattedCitation":"(Hudak et al., 2017; Marx et al., 2015)","manualFormatting":"(e.g., Hudak et al., 2017; Marx et al., 2015)","plainTextFormattedCitation":"(Hudak et al., 2017; Marx et al., 2015)","previouslyFormattedCitation":"(Hudak et al., 2017; Marx et al., 2015)"},"properties":{"noteIndex":0},"schema":"https://github.com/citation-style-language/schema/raw/master/csl-citation.json"}</w:instrText>
      </w:r>
      <w:r w:rsidR="00655EF0" w:rsidRPr="000F1A58">
        <w:rPr>
          <w:rFonts w:cs="Times New Roman"/>
          <w:szCs w:val="24"/>
        </w:rPr>
        <w:fldChar w:fldCharType="separate"/>
      </w:r>
      <w:r w:rsidR="00655EF0" w:rsidRPr="000F1A58">
        <w:rPr>
          <w:rFonts w:cs="Times New Roman"/>
          <w:noProof/>
          <w:szCs w:val="24"/>
        </w:rPr>
        <w:t>(e.g., Hudak et al., 2017; Marx et al., 2015)</w:t>
      </w:r>
      <w:r w:rsidR="00655EF0" w:rsidRPr="000F1A58">
        <w:rPr>
          <w:rFonts w:cs="Times New Roman"/>
          <w:szCs w:val="24"/>
        </w:rPr>
        <w:fldChar w:fldCharType="end"/>
      </w:r>
      <w:r w:rsidR="002E57C3" w:rsidRPr="000F1A58">
        <w:rPr>
          <w:rFonts w:cs="Times New Roman"/>
          <w:szCs w:val="24"/>
        </w:rPr>
        <w:t xml:space="preserve"> may have been rated worse on this item.</w:t>
      </w:r>
    </w:p>
    <w:p w14:paraId="6347F0AF" w14:textId="3B5C1FBC" w:rsidR="00CD631B" w:rsidRPr="000F1A58" w:rsidRDefault="00F838F6" w:rsidP="004D537B">
      <w:pPr>
        <w:spacing w:before="240"/>
        <w:outlineLvl w:val="0"/>
        <w:rPr>
          <w:rFonts w:cs="Times New Roman"/>
          <w:b/>
          <w:i/>
          <w:szCs w:val="24"/>
        </w:rPr>
      </w:pPr>
      <w:r w:rsidRPr="000F1A58">
        <w:rPr>
          <w:rFonts w:cs="Times New Roman"/>
          <w:b/>
          <w:i/>
          <w:szCs w:val="24"/>
        </w:rPr>
        <w:t>Item 3: Similar treatment in compared groups</w:t>
      </w:r>
    </w:p>
    <w:p w14:paraId="59E94DC1" w14:textId="5C7CF07E" w:rsidR="00CD631B" w:rsidRPr="000F1A58" w:rsidRDefault="00A42E0A" w:rsidP="00CD631B">
      <w:pPr>
        <w:spacing w:before="240"/>
        <w:outlineLvl w:val="0"/>
        <w:rPr>
          <w:rFonts w:cs="Times New Roman"/>
          <w:szCs w:val="24"/>
        </w:rPr>
      </w:pPr>
      <w:r w:rsidRPr="000F1A58">
        <w:rPr>
          <w:rFonts w:cs="Times New Roman"/>
          <w:szCs w:val="24"/>
        </w:rPr>
        <w:t xml:space="preserve">Only </w:t>
      </w:r>
      <w:r w:rsidR="00E456E9" w:rsidRPr="000F1A58">
        <w:rPr>
          <w:rFonts w:cs="Times New Roman"/>
          <w:szCs w:val="24"/>
        </w:rPr>
        <w:t xml:space="preserve">a </w:t>
      </w:r>
      <w:r w:rsidRPr="000F1A58">
        <w:rPr>
          <w:rFonts w:cs="Times New Roman"/>
          <w:szCs w:val="24"/>
        </w:rPr>
        <w:t xml:space="preserve">few studies explicitly checked this assumption </w:t>
      </w:r>
      <w:r w:rsidRPr="000F1A58">
        <w:rPr>
          <w:rFonts w:cs="Times New Roman"/>
          <w:szCs w:val="24"/>
        </w:rPr>
        <w:fldChar w:fldCharType="begin" w:fldLock="1"/>
      </w:r>
      <w:r w:rsidR="00655EF0" w:rsidRPr="000F1A58">
        <w:rPr>
          <w:rFonts w:cs="Times New Roman"/>
          <w:szCs w:val="24"/>
        </w:rPr>
        <w:instrText>ADDIN CSL_CITATION {"citationItems":[{"id":"ITEM-1","itemData":{"DOI":"10.3389/fnhum.2014.01038","ISBN":"1662-5161","ISSN":"1662-5161","PMID":"25610390","abstract":"In this pilot study near-infrared spectroscopy (NIRS) neurofeedback was investigated as a new method for the treatment of Attention Deficit-/Hyperactivity Disorder (ADHD). Oxygenated hemoglobin in the prefrontal cortex of children with ADHD was measured and fed back. 12 sessions of NIRS-neurofeedback were compared to the intermediate outcome after 12 sessions of EEG-neurofeedback (slow cortical potentials, SCP) and 12 sessions of EMG-feedback (muscular activity of left and right musculus supraspinatus). The task was either to increase or decrease hemodynamic activity in the prefrontal cortex (NIRS), to produce positive or negative shifts of SCP (EEG) or to increase or decrease muscular activity (EMG). In each group nine children with ADHD, aged 7-10 years, took part. Changes in parents' ratings of ADHD symptoms were assessed before and after the 12 sessions and compared within and between groups. For the NIRS-group additional teachers' ratings of ADHD symptoms, parents' and teachers' ratings of associated behavioral symptoms, childrens' self reports on quality of life and a computer based attention task were conducted before, 4 weeks and 6 months after training. As primary outcome, ADHD symptoms decreased significantly 4 weeks and 6 months after the NIRS training, according to parents' ratings. In teachers' ratings of ADHD symptoms there was a significant reduction 4 weeks after the training. The performance in the computer based attention test improved significantly. Within-group comparisons after 12 sessions of NIRS-, EEG- and EMG-training revealed a significant reduction in ADHD symptoms in the NIRS-group and a trend for EEG- and EMG-groups. No significant differences for symptom reduction were found between the groups. Despite the limitations of small groups and the comparison of a completed with two uncompleted interventions, the results of this pilot study are promising. NIRS-neurofeedback could be a time-effective treatment for ADHD and an interesting new option to consider in the treatment of ADHD.","author":[{"dropping-particle":"","family":"Marx","given":"Anna-Maria M","non-dropping-particle":"","parse-names":false,"suffix":""},{"dropping-particle":"","family":"Ehlis","given":"Ann-Christine C","non-dropping-particle":"","parse-names":false,"suffix":""},{"dropping-particle":"","family":"Furdea","given":"Adrian","non-dropping-particle":"","parse-names":false,"suffix":""},{"dropping-particle":"","family":"Holtmann","given":"Martin","non-dropping-particle":"","parse-names":false,"suffix":""},{"dropping-particle":"","family":"Banaschewski","given":"Tobias","non-dropping-particle":"","parse-names":false,"suffix":""},{"dropping-particle":"","family":"Brandeis","given":"Daniel","non-dropping-particle":"","parse-names":false,"suffix":""},{"dropping-particle":"","family":"Rothenberger","given":"Aribert","non-dropping-particle":"","parse-names":false,"suffix":""},{"dropping-particle":"","family":"Gevensleben","given":"Holger","non-dropping-particle":"","parse-names":false,"suffix":""},{"dropping-particle":"","family":"Freitag","given":"Christine M.","non-dropping-particle":"","parse-names":false,"suffix":""},{"dropping-particle":"","family":"Fuchsenberger","given":"Yvonne","non-dropping-particle":"","parse-names":false,"suffix":""},{"dropping-particle":"","family":"Fallgatter","given":"Andreas J.","non-dropping-particle":"","parse-names":false,"suffix":""},{"dropping-particle":"","family":"Strehl","given":"Ute","non-dropping-particle":"","parse-names":false,"suffix":""}],"container-title":"Front Hum Neurosci","edition":"2015/01/23","id":"ITEM-1","issue":"October","issued":{"date-parts":[["2015"]]},"language":"English","note":"From Duplicate 2 (Near-infrared spectroscopy (NIRS) neurofeedback as a treatment for children with attention deficit hyperactivity disorder (ADHD)-a pilot study - Marx, A M; Ehlis, A C; Furdea, A; Holtmann, M; Banaschewski, T; Brandeis, D; Rothenberger, A; Gevensleben, H; Freitag, C M; Fuchsenberger, Y; Fallgatter, A J; Strehl, U)\n\nMarx, Anna-Maria Ehlis, Ann-Christine Furdea, Adrian Holtmann, Martin Banaschewski, Tobias Brandeis, Daniel Rothenberger, Aribert Gevensleben, Holger Freitag, Christine M. Fuchsenberger, Yvonne Fallgatter, Andreas J. Strehl, Ute\n\nFrom Duplicate 4 (Near-infrared spectroscopy (NIRS) neurofeedback as a treatment for children with attention deficit hyperactivity disorder (ADHD)-a pilot study - Marx, A M; Ehlis, A C; Furdea, A; Holtmann, M; Banaschewski, T; Brandeis, D; Rothenberger, A; Gevensleben, H; Freitag, C M; Fuchsenberger, Y; Fallgatter, A J; Strehl, U)\n\nMarx, Anna-Maria\nEhlis, Ann-Christine\nFurdea, Adrian\nHoltmann, Martin\nBanaschewski, Tobias\nBrandeis, Daniel\nRothenberger, Aribert\nGevensleben, Holger\nFreitag, Christine M\nFuchsenberger, Yvonne\nFallgatter, Andreas J\nStrehl, Ute\neng\nSwitzerland\nFront Hum Neurosci. 2015 Jan 7;8:1038. doi: 10.3389/fnhum.2014.01038. eCollection 2014.","page":"1038","title":"Near-infrared spectroscopy (NIRS) neurofeedback as a treatment for children with attention deficit hyperactivity disorder (ADHD)-a pilot study.","type":"article-journal","volume":"8"},"uris":["http://www.mendeley.com/documents/?uuid=fa67fa75-f7fc-4d83-af07-c7e0ea29cd5e"]}],"mendeley":{"formattedCitation":"(Marx et al., 2015)","manualFormatting":"(e.g., Marx et al., 2015)","plainTextFormattedCitation":"(Marx et al., 2015)","previouslyFormattedCitation":"(Marx et al., 2015)"},"properties":{"noteIndex":0},"schema":"https://github.com/citation-style-language/schema/raw/master/csl-citation.json"}</w:instrText>
      </w:r>
      <w:r w:rsidRPr="000F1A58">
        <w:rPr>
          <w:rFonts w:cs="Times New Roman"/>
          <w:szCs w:val="24"/>
        </w:rPr>
        <w:fldChar w:fldCharType="separate"/>
      </w:r>
      <w:r w:rsidRPr="000F1A58">
        <w:rPr>
          <w:rFonts w:cs="Times New Roman"/>
          <w:noProof/>
          <w:szCs w:val="24"/>
        </w:rPr>
        <w:t>(e.g., Marx et al., 2015)</w:t>
      </w:r>
      <w:r w:rsidRPr="000F1A58">
        <w:rPr>
          <w:rFonts w:cs="Times New Roman"/>
          <w:szCs w:val="24"/>
        </w:rPr>
        <w:fldChar w:fldCharType="end"/>
      </w:r>
      <w:r w:rsidRPr="000F1A58">
        <w:rPr>
          <w:rFonts w:cs="Times New Roman"/>
          <w:szCs w:val="24"/>
        </w:rPr>
        <w:t xml:space="preserve">. </w:t>
      </w:r>
      <w:r w:rsidR="00CD631B" w:rsidRPr="000F1A58">
        <w:rPr>
          <w:rFonts w:cs="Times New Roman"/>
          <w:szCs w:val="24"/>
        </w:rPr>
        <w:t>If a study did not report any other interventi</w:t>
      </w:r>
      <w:r w:rsidR="001126C5" w:rsidRPr="000F1A58">
        <w:rPr>
          <w:rFonts w:cs="Times New Roman"/>
          <w:szCs w:val="24"/>
        </w:rPr>
        <w:t>o</w:t>
      </w:r>
      <w:r w:rsidR="00CD631B" w:rsidRPr="000F1A58">
        <w:rPr>
          <w:rFonts w:cs="Times New Roman"/>
          <w:szCs w:val="24"/>
        </w:rPr>
        <w:t xml:space="preserve">n/exposures we assumed </w:t>
      </w:r>
      <w:r w:rsidR="001126C5" w:rsidRPr="000F1A58">
        <w:rPr>
          <w:rFonts w:cs="Times New Roman"/>
          <w:szCs w:val="24"/>
        </w:rPr>
        <w:t xml:space="preserve">that </w:t>
      </w:r>
      <w:r w:rsidR="00CD631B" w:rsidRPr="000F1A58">
        <w:rPr>
          <w:rFonts w:cs="Times New Roman"/>
          <w:szCs w:val="24"/>
        </w:rPr>
        <w:t xml:space="preserve">no additional treatment </w:t>
      </w:r>
      <w:r w:rsidR="001126C5" w:rsidRPr="000F1A58">
        <w:rPr>
          <w:rFonts w:cs="Times New Roman"/>
          <w:szCs w:val="24"/>
        </w:rPr>
        <w:t>was provided</w:t>
      </w:r>
      <w:r w:rsidR="00E456E9" w:rsidRPr="000F1A58">
        <w:rPr>
          <w:rFonts w:cs="Times New Roman"/>
          <w:szCs w:val="24"/>
        </w:rPr>
        <w:t xml:space="preserve"> and</w:t>
      </w:r>
      <w:r w:rsidR="001126C5" w:rsidRPr="000F1A58">
        <w:rPr>
          <w:rFonts w:cs="Times New Roman"/>
          <w:szCs w:val="24"/>
        </w:rPr>
        <w:t xml:space="preserve"> that participants in both groups had similar</w:t>
      </w:r>
      <w:r w:rsidR="00CD631B" w:rsidRPr="000F1A58">
        <w:rPr>
          <w:rFonts w:cs="Times New Roman"/>
          <w:szCs w:val="24"/>
        </w:rPr>
        <w:t xml:space="preserve"> exposure </w:t>
      </w:r>
      <w:r w:rsidR="001126C5" w:rsidRPr="000F1A58">
        <w:rPr>
          <w:rFonts w:cs="Times New Roman"/>
          <w:szCs w:val="24"/>
        </w:rPr>
        <w:t xml:space="preserve">to </w:t>
      </w:r>
      <w:r w:rsidR="00CD631B" w:rsidRPr="000F1A58">
        <w:rPr>
          <w:rFonts w:cs="Times New Roman"/>
          <w:szCs w:val="24"/>
        </w:rPr>
        <w:t>other variables and</w:t>
      </w:r>
      <w:r w:rsidR="001126C5" w:rsidRPr="000F1A58">
        <w:rPr>
          <w:rFonts w:cs="Times New Roman"/>
          <w:szCs w:val="24"/>
        </w:rPr>
        <w:t xml:space="preserve"> thus</w:t>
      </w:r>
      <w:r w:rsidR="00CD631B" w:rsidRPr="000F1A58">
        <w:rPr>
          <w:rFonts w:cs="Times New Roman"/>
          <w:szCs w:val="24"/>
        </w:rPr>
        <w:t xml:space="preserve"> rated “yes” for this item.</w:t>
      </w:r>
    </w:p>
    <w:p w14:paraId="6658B955" w14:textId="1CBD80EF" w:rsidR="00CD631B" w:rsidRPr="000F1A58" w:rsidRDefault="00F838F6" w:rsidP="00CD631B">
      <w:pPr>
        <w:spacing w:before="240"/>
        <w:outlineLvl w:val="0"/>
        <w:rPr>
          <w:rFonts w:cs="Times New Roman"/>
          <w:b/>
          <w:i/>
          <w:szCs w:val="24"/>
        </w:rPr>
      </w:pPr>
      <w:r w:rsidRPr="000F1A58">
        <w:rPr>
          <w:rFonts w:cs="Times New Roman"/>
          <w:b/>
          <w:i/>
          <w:szCs w:val="24"/>
        </w:rPr>
        <w:t>Item 4: Existence of c</w:t>
      </w:r>
      <w:r w:rsidR="00CD631B" w:rsidRPr="000F1A58">
        <w:rPr>
          <w:rFonts w:cs="Times New Roman"/>
          <w:b/>
          <w:i/>
          <w:szCs w:val="24"/>
        </w:rPr>
        <w:t>ontrol group</w:t>
      </w:r>
      <w:r w:rsidRPr="000F1A58">
        <w:rPr>
          <w:rFonts w:cs="Times New Roman"/>
          <w:b/>
          <w:i/>
          <w:szCs w:val="24"/>
        </w:rPr>
        <w:t>/condition</w:t>
      </w:r>
    </w:p>
    <w:p w14:paraId="74CAD202" w14:textId="6479EF5B" w:rsidR="00CD631B" w:rsidRPr="000F1A58" w:rsidRDefault="00CD631B" w:rsidP="00CD631B">
      <w:r w:rsidRPr="000F1A58">
        <w:t xml:space="preserve">All control conditions </w:t>
      </w:r>
      <w:r w:rsidR="00934345" w:rsidRPr="000F1A58">
        <w:t>were rated “yes”</w:t>
      </w:r>
      <w:r w:rsidR="00EB748B" w:rsidRPr="000F1A58">
        <w:t>.</w:t>
      </w:r>
      <w:r w:rsidRPr="000F1A58">
        <w:t xml:space="preserve"> </w:t>
      </w:r>
      <w:r w:rsidR="00EB748B" w:rsidRPr="000F1A58">
        <w:t>W</w:t>
      </w:r>
      <w:r w:rsidRPr="000F1A58">
        <w:t>ithin-subject control conditions</w:t>
      </w:r>
      <w:r w:rsidR="00EB748B" w:rsidRPr="000F1A58">
        <w:t xml:space="preserve"> had to be randomized</w:t>
      </w:r>
      <w:r w:rsidRPr="000F1A58">
        <w:t>.</w:t>
      </w:r>
    </w:p>
    <w:p w14:paraId="23E798A7" w14:textId="6664537C" w:rsidR="00CD631B" w:rsidRPr="000F1A58" w:rsidRDefault="00F838F6" w:rsidP="00CD631B">
      <w:pPr>
        <w:spacing w:before="240"/>
        <w:outlineLvl w:val="0"/>
        <w:rPr>
          <w:rFonts w:cs="Times New Roman"/>
          <w:b/>
          <w:i/>
          <w:szCs w:val="24"/>
        </w:rPr>
      </w:pPr>
      <w:r w:rsidRPr="000F1A58">
        <w:rPr>
          <w:rFonts w:cs="Times New Roman"/>
          <w:b/>
          <w:i/>
          <w:szCs w:val="24"/>
        </w:rPr>
        <w:t>Item 5: Multiple measurement points</w:t>
      </w:r>
      <w:r w:rsidR="00CD631B" w:rsidRPr="000F1A58">
        <w:rPr>
          <w:rFonts w:cs="Times New Roman"/>
          <w:b/>
          <w:i/>
          <w:szCs w:val="24"/>
        </w:rPr>
        <w:t xml:space="preserve"> of the outcome</w:t>
      </w:r>
    </w:p>
    <w:p w14:paraId="06D81750" w14:textId="7EAF4C8E" w:rsidR="00CD631B" w:rsidRPr="000F1A58" w:rsidRDefault="00E456E9" w:rsidP="00CD631B">
      <w:pPr>
        <w:spacing w:before="240"/>
        <w:outlineLvl w:val="0"/>
        <w:rPr>
          <w:rFonts w:cs="Times New Roman"/>
          <w:szCs w:val="24"/>
        </w:rPr>
      </w:pPr>
      <w:r w:rsidRPr="000F1A58">
        <w:rPr>
          <w:rFonts w:cs="Times New Roman"/>
          <w:szCs w:val="24"/>
        </w:rPr>
        <w:t xml:space="preserve">In this respect, </w:t>
      </w:r>
      <w:r w:rsidR="00CD631B" w:rsidRPr="000F1A58">
        <w:rPr>
          <w:rFonts w:cs="Times New Roman"/>
          <w:szCs w:val="24"/>
        </w:rPr>
        <w:t xml:space="preserve">we deviated from the JBI manual, </w:t>
      </w:r>
      <w:r w:rsidR="001126C5" w:rsidRPr="000F1A58">
        <w:rPr>
          <w:rFonts w:cs="Times New Roman"/>
          <w:szCs w:val="24"/>
        </w:rPr>
        <w:t xml:space="preserve">which </w:t>
      </w:r>
      <w:r w:rsidR="00CD631B" w:rsidRPr="000F1A58">
        <w:rPr>
          <w:rFonts w:cs="Times New Roman"/>
          <w:szCs w:val="24"/>
        </w:rPr>
        <w:t>requir</w:t>
      </w:r>
      <w:r w:rsidR="001126C5" w:rsidRPr="000F1A58">
        <w:rPr>
          <w:rFonts w:cs="Times New Roman"/>
          <w:szCs w:val="24"/>
        </w:rPr>
        <w:t>ed</w:t>
      </w:r>
      <w:r w:rsidR="00CD631B" w:rsidRPr="000F1A58">
        <w:rPr>
          <w:rFonts w:cs="Times New Roman"/>
          <w:szCs w:val="24"/>
        </w:rPr>
        <w:t xml:space="preserve"> multiple </w:t>
      </w:r>
      <w:r w:rsidR="0099077D" w:rsidRPr="000F1A58">
        <w:rPr>
          <w:rFonts w:cs="Times New Roman"/>
          <w:szCs w:val="24"/>
        </w:rPr>
        <w:t>measurement time points</w:t>
      </w:r>
      <w:r w:rsidR="00CD631B" w:rsidRPr="000F1A58">
        <w:rPr>
          <w:rFonts w:cs="Times New Roman"/>
          <w:szCs w:val="24"/>
        </w:rPr>
        <w:t xml:space="preserve"> of the outcome both </w:t>
      </w:r>
      <w:r w:rsidR="0099077D" w:rsidRPr="000F1A58">
        <w:rPr>
          <w:rFonts w:cs="Times New Roman"/>
          <w:szCs w:val="24"/>
        </w:rPr>
        <w:t>before and after</w:t>
      </w:r>
      <w:r w:rsidR="00CD631B" w:rsidRPr="000F1A58">
        <w:rPr>
          <w:rFonts w:cs="Times New Roman"/>
          <w:szCs w:val="24"/>
        </w:rPr>
        <w:t xml:space="preserve"> the intervention, i.e.</w:t>
      </w:r>
      <w:r w:rsidR="005D6324" w:rsidRPr="000F1A58">
        <w:rPr>
          <w:rFonts w:cs="Times New Roman"/>
          <w:szCs w:val="24"/>
        </w:rPr>
        <w:t>,</w:t>
      </w:r>
      <w:r w:rsidR="00CD631B" w:rsidRPr="000F1A58">
        <w:rPr>
          <w:rFonts w:cs="Times New Roman"/>
          <w:szCs w:val="24"/>
        </w:rPr>
        <w:t xml:space="preserve"> at least four measurement points. Due to the novelty of the field</w:t>
      </w:r>
      <w:r w:rsidR="001126C5" w:rsidRPr="000F1A58">
        <w:rPr>
          <w:rFonts w:cs="Times New Roman"/>
          <w:szCs w:val="24"/>
        </w:rPr>
        <w:t xml:space="preserve"> and given the relatively large proportion of pilot studies</w:t>
      </w:r>
      <w:r w:rsidR="00CD631B" w:rsidRPr="000F1A58">
        <w:rPr>
          <w:rFonts w:cs="Times New Roman"/>
          <w:szCs w:val="24"/>
        </w:rPr>
        <w:t>,</w:t>
      </w:r>
      <w:r w:rsidR="00023A37" w:rsidRPr="000F1A58">
        <w:rPr>
          <w:rFonts w:cs="Times New Roman"/>
          <w:szCs w:val="24"/>
        </w:rPr>
        <w:t xml:space="preserve"> requiring</w:t>
      </w:r>
      <w:r w:rsidR="00CD631B" w:rsidRPr="000F1A58">
        <w:rPr>
          <w:rFonts w:cs="Times New Roman"/>
          <w:szCs w:val="24"/>
        </w:rPr>
        <w:t xml:space="preserve"> four </w:t>
      </w:r>
      <w:r w:rsidR="00023A37" w:rsidRPr="000F1A58">
        <w:rPr>
          <w:rFonts w:cs="Times New Roman"/>
          <w:szCs w:val="24"/>
        </w:rPr>
        <w:t xml:space="preserve">measurement points </w:t>
      </w:r>
      <w:r w:rsidR="001126C5" w:rsidRPr="000F1A58">
        <w:rPr>
          <w:rFonts w:cs="Times New Roman"/>
          <w:szCs w:val="24"/>
        </w:rPr>
        <w:t>seemed</w:t>
      </w:r>
      <w:r w:rsidR="00CD631B" w:rsidRPr="000F1A58">
        <w:rPr>
          <w:rFonts w:cs="Times New Roman"/>
          <w:szCs w:val="24"/>
        </w:rPr>
        <w:t xml:space="preserve"> too rigorous</w:t>
      </w:r>
      <w:r w:rsidR="001126C5" w:rsidRPr="000F1A58">
        <w:rPr>
          <w:rFonts w:cs="Times New Roman"/>
          <w:szCs w:val="24"/>
        </w:rPr>
        <w:t xml:space="preserve"> and</w:t>
      </w:r>
      <w:r w:rsidR="00023A37" w:rsidRPr="000F1A58">
        <w:rPr>
          <w:rFonts w:cs="Times New Roman"/>
          <w:szCs w:val="24"/>
        </w:rPr>
        <w:t xml:space="preserve"> </w:t>
      </w:r>
      <w:r w:rsidR="001126C5" w:rsidRPr="000F1A58">
        <w:rPr>
          <w:rFonts w:cs="Times New Roman"/>
          <w:szCs w:val="24"/>
        </w:rPr>
        <w:t xml:space="preserve">hence </w:t>
      </w:r>
      <w:r w:rsidR="00A013E9" w:rsidRPr="000F1A58">
        <w:rPr>
          <w:rFonts w:cs="Times New Roman"/>
          <w:szCs w:val="24"/>
        </w:rPr>
        <w:t xml:space="preserve">we considered </w:t>
      </w:r>
      <w:r w:rsidR="00CD631B" w:rsidRPr="000F1A58">
        <w:rPr>
          <w:rFonts w:cs="Times New Roman"/>
          <w:szCs w:val="24"/>
        </w:rPr>
        <w:t xml:space="preserve">two measurement points </w:t>
      </w:r>
      <w:r w:rsidR="00A212F8" w:rsidRPr="000F1A58">
        <w:rPr>
          <w:rFonts w:cs="Times New Roman"/>
          <w:szCs w:val="24"/>
        </w:rPr>
        <w:t xml:space="preserve">to be </w:t>
      </w:r>
      <w:r w:rsidR="00CD631B" w:rsidRPr="000F1A58">
        <w:rPr>
          <w:rFonts w:cs="Times New Roman"/>
          <w:szCs w:val="24"/>
        </w:rPr>
        <w:t>sufficient</w:t>
      </w:r>
      <w:r w:rsidR="001126C5" w:rsidRPr="000F1A58">
        <w:rPr>
          <w:rFonts w:cs="Times New Roman"/>
          <w:szCs w:val="24"/>
        </w:rPr>
        <w:t xml:space="preserve"> (</w:t>
      </w:r>
      <w:r w:rsidR="00CD631B" w:rsidRPr="000F1A58">
        <w:rPr>
          <w:rFonts w:cs="Times New Roman"/>
          <w:szCs w:val="24"/>
        </w:rPr>
        <w:t>i.e.</w:t>
      </w:r>
      <w:r w:rsidR="005D6324" w:rsidRPr="000F1A58">
        <w:rPr>
          <w:rFonts w:cs="Times New Roman"/>
          <w:szCs w:val="24"/>
        </w:rPr>
        <w:t>,</w:t>
      </w:r>
      <w:r w:rsidR="00CD631B" w:rsidRPr="000F1A58">
        <w:rPr>
          <w:rFonts w:cs="Times New Roman"/>
          <w:szCs w:val="24"/>
        </w:rPr>
        <w:t xml:space="preserve"> </w:t>
      </w:r>
      <w:r w:rsidR="001126C5" w:rsidRPr="000F1A58">
        <w:rPr>
          <w:rFonts w:cs="Times New Roman"/>
          <w:szCs w:val="24"/>
        </w:rPr>
        <w:t xml:space="preserve">a </w:t>
      </w:r>
      <w:r w:rsidR="00CD631B" w:rsidRPr="000F1A58">
        <w:rPr>
          <w:rFonts w:cs="Times New Roman"/>
          <w:szCs w:val="24"/>
        </w:rPr>
        <w:t>classical pre-post design</w:t>
      </w:r>
      <w:r w:rsidR="001126C5" w:rsidRPr="000F1A58">
        <w:rPr>
          <w:rFonts w:cs="Times New Roman"/>
          <w:szCs w:val="24"/>
        </w:rPr>
        <w:t>)</w:t>
      </w:r>
      <w:r w:rsidR="00CD631B" w:rsidRPr="000F1A58">
        <w:rPr>
          <w:rFonts w:cs="Times New Roman"/>
          <w:szCs w:val="24"/>
        </w:rPr>
        <w:t xml:space="preserve">. Some studies were mainly interested in regulation performance and </w:t>
      </w:r>
      <w:r w:rsidR="00934345" w:rsidRPr="000F1A58">
        <w:rPr>
          <w:rFonts w:cs="Times New Roman"/>
          <w:szCs w:val="24"/>
        </w:rPr>
        <w:t>did not</w:t>
      </w:r>
      <w:r w:rsidR="00CD631B" w:rsidRPr="000F1A58">
        <w:rPr>
          <w:rFonts w:cs="Times New Roman"/>
          <w:szCs w:val="24"/>
        </w:rPr>
        <w:t xml:space="preserve"> have a separate pre- and post-intervention measurement</w:t>
      </w:r>
      <w:r w:rsidR="001126C5" w:rsidRPr="000F1A58">
        <w:rPr>
          <w:rFonts w:cs="Times New Roman"/>
          <w:szCs w:val="24"/>
        </w:rPr>
        <w:t xml:space="preserve"> to</w:t>
      </w:r>
      <w:r w:rsidR="00CD631B" w:rsidRPr="000F1A58">
        <w:rPr>
          <w:rFonts w:cs="Times New Roman"/>
          <w:szCs w:val="24"/>
        </w:rPr>
        <w:t xml:space="preserve"> assess behavioral changes in a pre-post design. </w:t>
      </w:r>
      <w:r w:rsidR="00934345" w:rsidRPr="000F1A58">
        <w:rPr>
          <w:rFonts w:cs="Times New Roman"/>
          <w:szCs w:val="24"/>
        </w:rPr>
        <w:t>We rated “yes” for t</w:t>
      </w:r>
      <w:r w:rsidR="00CD631B" w:rsidRPr="000F1A58">
        <w:rPr>
          <w:rFonts w:cs="Times New Roman"/>
          <w:szCs w:val="24"/>
        </w:rPr>
        <w:t xml:space="preserve">hose studies </w:t>
      </w:r>
      <w:r w:rsidR="00934345" w:rsidRPr="000F1A58">
        <w:rPr>
          <w:rFonts w:cs="Times New Roman"/>
          <w:szCs w:val="24"/>
        </w:rPr>
        <w:t>if the design comprised</w:t>
      </w:r>
      <w:r w:rsidR="00CD631B" w:rsidRPr="000F1A58">
        <w:rPr>
          <w:rFonts w:cs="Times New Roman"/>
          <w:szCs w:val="24"/>
        </w:rPr>
        <w:t xml:space="preserve"> at least two sessions on two separate days.</w:t>
      </w:r>
    </w:p>
    <w:p w14:paraId="2B0306F8" w14:textId="4BFBDFEF" w:rsidR="00CD631B" w:rsidRPr="000F1A58" w:rsidRDefault="00CD631B" w:rsidP="00CD631B">
      <w:pPr>
        <w:spacing w:before="240"/>
        <w:outlineLvl w:val="0"/>
        <w:rPr>
          <w:rFonts w:cs="Times New Roman"/>
          <w:b/>
          <w:i/>
          <w:szCs w:val="24"/>
        </w:rPr>
      </w:pPr>
      <w:r w:rsidRPr="000F1A58">
        <w:rPr>
          <w:rFonts w:cs="Times New Roman"/>
          <w:b/>
          <w:i/>
          <w:szCs w:val="24"/>
        </w:rPr>
        <w:t xml:space="preserve">Item 6: </w:t>
      </w:r>
      <w:r w:rsidR="00F838F6" w:rsidRPr="000F1A58">
        <w:rPr>
          <w:rFonts w:cs="Times New Roman"/>
          <w:b/>
          <w:i/>
          <w:szCs w:val="24"/>
        </w:rPr>
        <w:t>Completion of follow-up</w:t>
      </w:r>
    </w:p>
    <w:p w14:paraId="2E2F26B2" w14:textId="477E1DA2" w:rsidR="00CD631B" w:rsidRPr="000F1A58" w:rsidRDefault="00CD631B" w:rsidP="00CD631B">
      <w:pPr>
        <w:spacing w:before="240"/>
        <w:outlineLvl w:val="0"/>
        <w:rPr>
          <w:rFonts w:cs="Times New Roman"/>
          <w:szCs w:val="24"/>
        </w:rPr>
      </w:pPr>
      <w:r w:rsidRPr="000F1A58">
        <w:rPr>
          <w:rFonts w:cs="Times New Roman"/>
          <w:szCs w:val="24"/>
        </w:rPr>
        <w:lastRenderedPageBreak/>
        <w:t xml:space="preserve">We assessed whether the primary endpoint was completed. </w:t>
      </w:r>
      <w:r w:rsidR="001126C5" w:rsidRPr="000F1A58">
        <w:rPr>
          <w:rFonts w:cs="Times New Roman"/>
          <w:szCs w:val="24"/>
        </w:rPr>
        <w:t>Studies did not have to include separate follow-up measurement</w:t>
      </w:r>
      <w:r w:rsidR="00E456E9" w:rsidRPr="000F1A58">
        <w:rPr>
          <w:rFonts w:cs="Times New Roman"/>
          <w:szCs w:val="24"/>
        </w:rPr>
        <w:t>s</w:t>
      </w:r>
      <w:r w:rsidR="001126C5" w:rsidRPr="000F1A58">
        <w:rPr>
          <w:rFonts w:cs="Times New Roman"/>
          <w:szCs w:val="24"/>
        </w:rPr>
        <w:t xml:space="preserve"> after training to </w:t>
      </w:r>
      <w:r w:rsidR="00BD1674" w:rsidRPr="000F1A58">
        <w:rPr>
          <w:rFonts w:cs="Times New Roman"/>
          <w:szCs w:val="24"/>
        </w:rPr>
        <w:t>fulfill</w:t>
      </w:r>
      <w:r w:rsidR="001126C5" w:rsidRPr="000F1A58">
        <w:rPr>
          <w:rFonts w:cs="Times New Roman"/>
          <w:szCs w:val="24"/>
        </w:rPr>
        <w:t xml:space="preserve"> this item. </w:t>
      </w:r>
      <w:r w:rsidRPr="000F1A58">
        <w:rPr>
          <w:rFonts w:cs="Times New Roman"/>
          <w:szCs w:val="24"/>
        </w:rPr>
        <w:t xml:space="preserve">For within-subject designs, we assessed whether there were </w:t>
      </w:r>
      <w:r w:rsidR="00A212F8" w:rsidRPr="000F1A58">
        <w:rPr>
          <w:rFonts w:cs="Times New Roman"/>
          <w:szCs w:val="24"/>
        </w:rPr>
        <w:t xml:space="preserve">any </w:t>
      </w:r>
      <w:r w:rsidRPr="000F1A58">
        <w:rPr>
          <w:rFonts w:cs="Times New Roman"/>
          <w:szCs w:val="24"/>
        </w:rPr>
        <w:t xml:space="preserve">participants that took part in only one condition. If a study was mainly interested in regulation performance and </w:t>
      </w:r>
      <w:r w:rsidR="00023A37" w:rsidRPr="000F1A58">
        <w:rPr>
          <w:rFonts w:cs="Times New Roman"/>
          <w:szCs w:val="24"/>
        </w:rPr>
        <w:t>did not</w:t>
      </w:r>
      <w:r w:rsidRPr="000F1A58">
        <w:rPr>
          <w:rFonts w:cs="Times New Roman"/>
          <w:szCs w:val="24"/>
        </w:rPr>
        <w:t xml:space="preserve"> have at least two separate training sessions on two different days, we rated this item as “not applicable”. </w:t>
      </w:r>
    </w:p>
    <w:p w14:paraId="61EC42E5" w14:textId="77777777" w:rsidR="00CD631B" w:rsidRPr="000F1A58" w:rsidRDefault="00CD631B" w:rsidP="00CD631B">
      <w:pPr>
        <w:spacing w:before="240"/>
        <w:outlineLvl w:val="0"/>
        <w:rPr>
          <w:rFonts w:cs="Times New Roman"/>
          <w:b/>
          <w:i/>
          <w:szCs w:val="24"/>
        </w:rPr>
      </w:pPr>
      <w:r w:rsidRPr="000F1A58">
        <w:rPr>
          <w:rFonts w:cs="Times New Roman"/>
          <w:b/>
          <w:i/>
          <w:szCs w:val="24"/>
        </w:rPr>
        <w:t>Item 9: Appropriate statistical methods</w:t>
      </w:r>
    </w:p>
    <w:p w14:paraId="3224919A" w14:textId="28B0A1A6" w:rsidR="004B3394" w:rsidRPr="00CA2F76" w:rsidRDefault="00CD631B" w:rsidP="00693067">
      <w:pPr>
        <w:spacing w:before="240"/>
        <w:outlineLvl w:val="0"/>
        <w:rPr>
          <w:rFonts w:cs="Times New Roman"/>
          <w:szCs w:val="24"/>
        </w:rPr>
        <w:sectPr w:rsidR="004B3394" w:rsidRPr="00CA2F76" w:rsidSect="00334CFE">
          <w:headerReference w:type="even" r:id="rId11"/>
          <w:headerReference w:type="default" r:id="rId12"/>
          <w:footerReference w:type="even" r:id="rId13"/>
          <w:footerReference w:type="default" r:id="rId14"/>
          <w:footerReference w:type="first" r:id="rId15"/>
          <w:type w:val="continuous"/>
          <w:pgSz w:w="12240" w:h="15840"/>
          <w:pgMar w:top="1138" w:right="1181" w:bottom="1138" w:left="1282" w:header="283" w:footer="510" w:gutter="0"/>
          <w:cols w:space="720"/>
          <w:titlePg/>
          <w:docGrid w:linePitch="360"/>
        </w:sectPr>
      </w:pPr>
      <w:r w:rsidRPr="000F1A58">
        <w:rPr>
          <w:rFonts w:cs="Times New Roman"/>
          <w:szCs w:val="24"/>
        </w:rPr>
        <w:t xml:space="preserve">We rated this item “No”, if no power analysis was conducted and the study </w:t>
      </w:r>
      <w:r w:rsidR="001126C5" w:rsidRPr="000F1A58">
        <w:rPr>
          <w:rFonts w:cs="Times New Roman"/>
          <w:szCs w:val="24"/>
        </w:rPr>
        <w:t>was</w:t>
      </w:r>
      <w:r w:rsidRPr="000F1A58">
        <w:rPr>
          <w:rFonts w:cs="Times New Roman"/>
          <w:szCs w:val="24"/>
        </w:rPr>
        <w:t xml:space="preserve"> not labeled </w:t>
      </w:r>
      <w:r w:rsidRPr="000F1A58">
        <w:rPr>
          <w:rFonts w:cs="Times New Roman"/>
          <w:i/>
          <w:szCs w:val="24"/>
        </w:rPr>
        <w:t>pilot, proof-of concept/proof-of-</w:t>
      </w:r>
      <w:r w:rsidR="00FD137A" w:rsidRPr="000F1A58">
        <w:rPr>
          <w:rFonts w:cs="Times New Roman"/>
          <w:i/>
          <w:szCs w:val="24"/>
        </w:rPr>
        <w:t>principle, or feasibility study</w:t>
      </w:r>
      <w:r w:rsidR="00CA2F76">
        <w:rPr>
          <w:rFonts w:cs="Times New Roman"/>
          <w:szCs w:val="24"/>
        </w:rPr>
        <w:t>.</w:t>
      </w:r>
    </w:p>
    <w:p w14:paraId="4DC5F6EF" w14:textId="6AF76740" w:rsidR="004B3394" w:rsidRPr="000F1A58" w:rsidRDefault="004B3394" w:rsidP="004B3394">
      <w:pPr>
        <w:pStyle w:val="Caption"/>
      </w:pPr>
      <w:r w:rsidRPr="000F1A58">
        <w:lastRenderedPageBreak/>
        <w:t>Table S1</w:t>
      </w:r>
      <w:r w:rsidR="005D6324" w:rsidRPr="000F1A58">
        <w:t>.</w:t>
      </w:r>
      <w:r w:rsidRPr="000F1A58">
        <w:t xml:space="preserve"> </w:t>
      </w:r>
      <w:r w:rsidRPr="000F1A58">
        <w:rPr>
          <w:b w:val="0"/>
        </w:rPr>
        <w:t>Quality assessments of the included studies according to the checklist for quasi-experimental studies of the Joanna Briggs Institute (JBI) critical appraisal tools</w:t>
      </w:r>
      <w:r w:rsidR="005D6324" w:rsidRPr="000F1A58">
        <w:rPr>
          <w:b w:val="0"/>
        </w:rPr>
        <w:t>.</w:t>
      </w:r>
    </w:p>
    <w:tbl>
      <w:tblPr>
        <w:tblW w:w="13577" w:type="dxa"/>
        <w:tblLayout w:type="fixed"/>
        <w:tblCellMar>
          <w:left w:w="70" w:type="dxa"/>
          <w:right w:w="70" w:type="dxa"/>
        </w:tblCellMar>
        <w:tblLook w:val="04A0" w:firstRow="1" w:lastRow="0" w:firstColumn="1" w:lastColumn="0" w:noHBand="0" w:noVBand="1"/>
      </w:tblPr>
      <w:tblGrid>
        <w:gridCol w:w="1960"/>
        <w:gridCol w:w="262"/>
        <w:gridCol w:w="913"/>
        <w:gridCol w:w="1150"/>
        <w:gridCol w:w="1161"/>
        <w:gridCol w:w="1162"/>
        <w:gridCol w:w="1161"/>
        <w:gridCol w:w="1162"/>
        <w:gridCol w:w="1161"/>
        <w:gridCol w:w="1162"/>
        <w:gridCol w:w="1161"/>
        <w:gridCol w:w="1162"/>
      </w:tblGrid>
      <w:tr w:rsidR="004B3394" w:rsidRPr="000F1A58" w14:paraId="7AF207D3" w14:textId="77777777" w:rsidTr="00FD137A">
        <w:trPr>
          <w:trHeight w:val="688"/>
        </w:trPr>
        <w:tc>
          <w:tcPr>
            <w:tcW w:w="1960" w:type="dxa"/>
            <w:tcBorders>
              <w:top w:val="single" w:sz="4" w:space="0" w:color="auto"/>
              <w:left w:val="nil"/>
              <w:bottom w:val="single" w:sz="4" w:space="0" w:color="auto"/>
              <w:right w:val="nil"/>
            </w:tcBorders>
            <w:shd w:val="clear" w:color="auto" w:fill="auto"/>
            <w:noWrap/>
            <w:hideMark/>
          </w:tcPr>
          <w:p w14:paraId="3E9F0930" w14:textId="77777777" w:rsidR="004B3394" w:rsidRPr="000F1A58" w:rsidRDefault="004B3394" w:rsidP="004B3394">
            <w:pPr>
              <w:spacing w:before="0" w:after="0"/>
              <w:rPr>
                <w:rFonts w:ascii="Calibri" w:eastAsia="Times New Roman" w:hAnsi="Calibri" w:cs="Calibri"/>
                <w:b/>
                <w:bCs/>
                <w:color w:val="000000"/>
                <w:sz w:val="20"/>
                <w:szCs w:val="20"/>
                <w:lang w:eastAsia="de-DE"/>
              </w:rPr>
            </w:pPr>
            <w:r w:rsidRPr="000F1A58">
              <w:rPr>
                <w:rFonts w:ascii="Calibri" w:hAnsi="Calibri" w:cs="Calibri"/>
                <w:b/>
                <w:bCs/>
                <w:color w:val="000000"/>
                <w:sz w:val="20"/>
                <w:szCs w:val="20"/>
              </w:rPr>
              <w:t>Study</w:t>
            </w:r>
          </w:p>
        </w:tc>
        <w:tc>
          <w:tcPr>
            <w:tcW w:w="1175" w:type="dxa"/>
            <w:gridSpan w:val="2"/>
            <w:tcBorders>
              <w:top w:val="single" w:sz="4" w:space="0" w:color="auto"/>
              <w:left w:val="nil"/>
              <w:bottom w:val="single" w:sz="4" w:space="0" w:color="auto"/>
              <w:right w:val="nil"/>
            </w:tcBorders>
            <w:shd w:val="clear" w:color="auto" w:fill="auto"/>
            <w:hideMark/>
          </w:tcPr>
          <w:p w14:paraId="76305285" w14:textId="77777777" w:rsidR="004B3394" w:rsidRPr="000F1A58" w:rsidRDefault="004B3394" w:rsidP="004B3394">
            <w:pPr>
              <w:spacing w:before="0" w:after="0"/>
              <w:rPr>
                <w:rFonts w:ascii="Calibri" w:eastAsia="Times New Roman" w:hAnsi="Calibri" w:cs="Calibri"/>
                <w:b/>
                <w:bCs/>
                <w:color w:val="000000"/>
                <w:sz w:val="20"/>
                <w:szCs w:val="20"/>
                <w:lang w:eastAsia="de-DE"/>
              </w:rPr>
            </w:pPr>
            <w:r w:rsidRPr="000F1A58">
              <w:rPr>
                <w:rFonts w:ascii="Calibri" w:hAnsi="Calibri" w:cs="Calibri"/>
                <w:b/>
                <w:bCs/>
                <w:color w:val="000000"/>
                <w:sz w:val="20"/>
                <w:szCs w:val="20"/>
              </w:rPr>
              <w:t>1. Cause and effect</w:t>
            </w:r>
          </w:p>
        </w:tc>
        <w:tc>
          <w:tcPr>
            <w:tcW w:w="1150" w:type="dxa"/>
            <w:tcBorders>
              <w:top w:val="single" w:sz="4" w:space="0" w:color="auto"/>
              <w:left w:val="nil"/>
              <w:bottom w:val="single" w:sz="4" w:space="0" w:color="auto"/>
              <w:right w:val="nil"/>
            </w:tcBorders>
            <w:shd w:val="clear" w:color="auto" w:fill="auto"/>
            <w:hideMark/>
          </w:tcPr>
          <w:p w14:paraId="36DAC196" w14:textId="77777777" w:rsidR="004B3394" w:rsidRPr="000F1A58" w:rsidRDefault="004B3394" w:rsidP="004B3394">
            <w:pPr>
              <w:spacing w:before="0" w:after="0"/>
              <w:rPr>
                <w:rFonts w:ascii="Calibri" w:eastAsia="Times New Roman" w:hAnsi="Calibri" w:cs="Calibri"/>
                <w:b/>
                <w:bCs/>
                <w:color w:val="000000"/>
                <w:sz w:val="20"/>
                <w:szCs w:val="20"/>
                <w:lang w:eastAsia="de-DE"/>
              </w:rPr>
            </w:pPr>
            <w:r w:rsidRPr="000F1A58">
              <w:rPr>
                <w:rFonts w:ascii="Calibri" w:hAnsi="Calibri" w:cs="Calibri"/>
                <w:b/>
                <w:bCs/>
                <w:color w:val="000000"/>
                <w:sz w:val="20"/>
                <w:szCs w:val="20"/>
              </w:rPr>
              <w:t>2. Similar participants</w:t>
            </w:r>
          </w:p>
        </w:tc>
        <w:tc>
          <w:tcPr>
            <w:tcW w:w="1161" w:type="dxa"/>
            <w:tcBorders>
              <w:top w:val="single" w:sz="4" w:space="0" w:color="auto"/>
              <w:left w:val="nil"/>
              <w:bottom w:val="single" w:sz="4" w:space="0" w:color="auto"/>
              <w:right w:val="nil"/>
            </w:tcBorders>
            <w:shd w:val="clear" w:color="auto" w:fill="auto"/>
            <w:hideMark/>
          </w:tcPr>
          <w:p w14:paraId="01416858" w14:textId="77777777" w:rsidR="004B3394" w:rsidRPr="000F1A58" w:rsidRDefault="004B3394" w:rsidP="004B3394">
            <w:pPr>
              <w:spacing w:before="0" w:after="0"/>
              <w:rPr>
                <w:rFonts w:ascii="Calibri" w:eastAsia="Times New Roman" w:hAnsi="Calibri" w:cs="Calibri"/>
                <w:b/>
                <w:bCs/>
                <w:color w:val="000000"/>
                <w:sz w:val="20"/>
                <w:szCs w:val="20"/>
                <w:lang w:eastAsia="de-DE"/>
              </w:rPr>
            </w:pPr>
            <w:r w:rsidRPr="000F1A58">
              <w:rPr>
                <w:rFonts w:ascii="Calibri" w:hAnsi="Calibri" w:cs="Calibri"/>
                <w:b/>
                <w:bCs/>
                <w:color w:val="000000"/>
                <w:sz w:val="20"/>
                <w:szCs w:val="20"/>
              </w:rPr>
              <w:t>3. Similar treatment</w:t>
            </w:r>
          </w:p>
        </w:tc>
        <w:tc>
          <w:tcPr>
            <w:tcW w:w="1162" w:type="dxa"/>
            <w:tcBorders>
              <w:top w:val="single" w:sz="4" w:space="0" w:color="auto"/>
              <w:left w:val="nil"/>
              <w:bottom w:val="single" w:sz="4" w:space="0" w:color="auto"/>
              <w:right w:val="nil"/>
            </w:tcBorders>
            <w:shd w:val="clear" w:color="auto" w:fill="auto"/>
            <w:hideMark/>
          </w:tcPr>
          <w:p w14:paraId="454CAB12" w14:textId="77777777" w:rsidR="004B3394" w:rsidRPr="000F1A58" w:rsidRDefault="004B3394" w:rsidP="004B3394">
            <w:pPr>
              <w:spacing w:before="0" w:after="0"/>
              <w:rPr>
                <w:rFonts w:ascii="Calibri" w:eastAsia="Times New Roman" w:hAnsi="Calibri" w:cs="Calibri"/>
                <w:b/>
                <w:bCs/>
                <w:color w:val="000000"/>
                <w:sz w:val="20"/>
                <w:szCs w:val="20"/>
                <w:lang w:eastAsia="de-DE"/>
              </w:rPr>
            </w:pPr>
            <w:r w:rsidRPr="000F1A58">
              <w:rPr>
                <w:rFonts w:ascii="Calibri" w:hAnsi="Calibri" w:cs="Calibri"/>
                <w:b/>
                <w:bCs/>
                <w:color w:val="000000"/>
                <w:sz w:val="20"/>
                <w:szCs w:val="20"/>
              </w:rPr>
              <w:t>4. Control condition</w:t>
            </w:r>
          </w:p>
        </w:tc>
        <w:tc>
          <w:tcPr>
            <w:tcW w:w="1161" w:type="dxa"/>
            <w:tcBorders>
              <w:top w:val="single" w:sz="4" w:space="0" w:color="auto"/>
              <w:left w:val="nil"/>
              <w:bottom w:val="single" w:sz="4" w:space="0" w:color="auto"/>
              <w:right w:val="nil"/>
            </w:tcBorders>
            <w:shd w:val="clear" w:color="auto" w:fill="auto"/>
            <w:hideMark/>
          </w:tcPr>
          <w:p w14:paraId="294BA6BC" w14:textId="77777777" w:rsidR="004B3394" w:rsidRPr="000F1A58" w:rsidRDefault="004B3394" w:rsidP="004B3394">
            <w:pPr>
              <w:spacing w:before="0" w:after="0"/>
              <w:rPr>
                <w:rFonts w:ascii="Calibri" w:eastAsia="Times New Roman" w:hAnsi="Calibri" w:cs="Calibri"/>
                <w:b/>
                <w:bCs/>
                <w:color w:val="000000"/>
                <w:sz w:val="20"/>
                <w:szCs w:val="20"/>
                <w:lang w:eastAsia="de-DE"/>
              </w:rPr>
            </w:pPr>
            <w:r w:rsidRPr="000F1A58">
              <w:rPr>
                <w:rFonts w:ascii="Calibri" w:hAnsi="Calibri" w:cs="Calibri"/>
                <w:b/>
                <w:bCs/>
                <w:color w:val="000000"/>
                <w:sz w:val="20"/>
                <w:szCs w:val="20"/>
              </w:rPr>
              <w:t>5. Multiple measures</w:t>
            </w:r>
          </w:p>
        </w:tc>
        <w:tc>
          <w:tcPr>
            <w:tcW w:w="1162" w:type="dxa"/>
            <w:tcBorders>
              <w:top w:val="single" w:sz="4" w:space="0" w:color="auto"/>
              <w:left w:val="nil"/>
              <w:bottom w:val="single" w:sz="4" w:space="0" w:color="auto"/>
              <w:right w:val="nil"/>
            </w:tcBorders>
            <w:shd w:val="clear" w:color="auto" w:fill="auto"/>
            <w:hideMark/>
          </w:tcPr>
          <w:p w14:paraId="56484D64" w14:textId="77777777" w:rsidR="004B3394" w:rsidRPr="000F1A58" w:rsidRDefault="004B3394" w:rsidP="004B3394">
            <w:pPr>
              <w:spacing w:before="0" w:after="0"/>
              <w:rPr>
                <w:rFonts w:ascii="Calibri" w:eastAsia="Times New Roman" w:hAnsi="Calibri" w:cs="Calibri"/>
                <w:b/>
                <w:bCs/>
                <w:color w:val="000000"/>
                <w:sz w:val="20"/>
                <w:szCs w:val="20"/>
                <w:lang w:eastAsia="de-DE"/>
              </w:rPr>
            </w:pPr>
            <w:r w:rsidRPr="000F1A58">
              <w:rPr>
                <w:rFonts w:ascii="Calibri" w:hAnsi="Calibri" w:cs="Calibri"/>
                <w:b/>
                <w:bCs/>
                <w:color w:val="000000"/>
                <w:sz w:val="20"/>
                <w:szCs w:val="20"/>
              </w:rPr>
              <w:t>6. Follow up complete</w:t>
            </w:r>
          </w:p>
        </w:tc>
        <w:tc>
          <w:tcPr>
            <w:tcW w:w="1161" w:type="dxa"/>
            <w:tcBorders>
              <w:top w:val="single" w:sz="4" w:space="0" w:color="auto"/>
              <w:left w:val="nil"/>
              <w:bottom w:val="single" w:sz="4" w:space="0" w:color="auto"/>
              <w:right w:val="nil"/>
            </w:tcBorders>
            <w:shd w:val="clear" w:color="auto" w:fill="auto"/>
            <w:hideMark/>
          </w:tcPr>
          <w:p w14:paraId="2ECDE007" w14:textId="5E8D2507" w:rsidR="004B3394" w:rsidRPr="000F1A58" w:rsidRDefault="004B3394" w:rsidP="004B3394">
            <w:pPr>
              <w:spacing w:before="0" w:after="0"/>
              <w:rPr>
                <w:rFonts w:ascii="Calibri" w:eastAsia="Times New Roman" w:hAnsi="Calibri" w:cs="Calibri"/>
                <w:b/>
                <w:bCs/>
                <w:color w:val="000000"/>
                <w:sz w:val="20"/>
                <w:szCs w:val="20"/>
                <w:lang w:eastAsia="de-DE"/>
              </w:rPr>
            </w:pPr>
            <w:r w:rsidRPr="000F1A58">
              <w:rPr>
                <w:rFonts w:ascii="Calibri" w:hAnsi="Calibri" w:cs="Calibri"/>
                <w:b/>
                <w:bCs/>
                <w:color w:val="000000"/>
                <w:sz w:val="20"/>
                <w:szCs w:val="20"/>
              </w:rPr>
              <w:t xml:space="preserve">7. Same </w:t>
            </w:r>
            <w:r w:rsidR="00E456E9" w:rsidRPr="000F1A58">
              <w:rPr>
                <w:rFonts w:ascii="Calibri" w:hAnsi="Calibri" w:cs="Calibri"/>
                <w:b/>
                <w:bCs/>
                <w:color w:val="000000"/>
                <w:sz w:val="20"/>
                <w:szCs w:val="20"/>
              </w:rPr>
              <w:t>o</w:t>
            </w:r>
            <w:r w:rsidRPr="000F1A58">
              <w:rPr>
                <w:rFonts w:ascii="Calibri" w:hAnsi="Calibri" w:cs="Calibri"/>
                <w:b/>
                <w:bCs/>
                <w:color w:val="000000"/>
                <w:sz w:val="20"/>
                <w:szCs w:val="20"/>
              </w:rPr>
              <w:t>utcome measures</w:t>
            </w:r>
          </w:p>
        </w:tc>
        <w:tc>
          <w:tcPr>
            <w:tcW w:w="1162" w:type="dxa"/>
            <w:tcBorders>
              <w:top w:val="single" w:sz="4" w:space="0" w:color="auto"/>
              <w:left w:val="nil"/>
              <w:bottom w:val="single" w:sz="4" w:space="0" w:color="auto"/>
              <w:right w:val="nil"/>
            </w:tcBorders>
            <w:shd w:val="clear" w:color="auto" w:fill="auto"/>
            <w:hideMark/>
          </w:tcPr>
          <w:p w14:paraId="2B183932" w14:textId="77777777" w:rsidR="004B3394" w:rsidRPr="000F1A58" w:rsidRDefault="004B3394" w:rsidP="004B3394">
            <w:pPr>
              <w:spacing w:before="0" w:after="0"/>
              <w:rPr>
                <w:rFonts w:ascii="Calibri" w:eastAsia="Times New Roman" w:hAnsi="Calibri" w:cs="Calibri"/>
                <w:b/>
                <w:bCs/>
                <w:color w:val="000000"/>
                <w:sz w:val="20"/>
                <w:szCs w:val="20"/>
                <w:lang w:eastAsia="de-DE"/>
              </w:rPr>
            </w:pPr>
            <w:r w:rsidRPr="000F1A58">
              <w:rPr>
                <w:rFonts w:ascii="Calibri" w:hAnsi="Calibri" w:cs="Calibri"/>
                <w:b/>
                <w:bCs/>
                <w:color w:val="000000"/>
                <w:sz w:val="20"/>
                <w:szCs w:val="20"/>
              </w:rPr>
              <w:t>8. Outcome reliability</w:t>
            </w:r>
          </w:p>
        </w:tc>
        <w:tc>
          <w:tcPr>
            <w:tcW w:w="1161" w:type="dxa"/>
            <w:tcBorders>
              <w:top w:val="single" w:sz="4" w:space="0" w:color="auto"/>
              <w:left w:val="nil"/>
              <w:bottom w:val="single" w:sz="4" w:space="0" w:color="auto"/>
              <w:right w:val="nil"/>
            </w:tcBorders>
            <w:shd w:val="clear" w:color="auto" w:fill="auto"/>
            <w:hideMark/>
          </w:tcPr>
          <w:p w14:paraId="5B570609" w14:textId="77777777" w:rsidR="004B3394" w:rsidRPr="000F1A58" w:rsidRDefault="004B3394" w:rsidP="004B3394">
            <w:pPr>
              <w:spacing w:before="0" w:after="0"/>
              <w:rPr>
                <w:rFonts w:ascii="Calibri" w:eastAsia="Times New Roman" w:hAnsi="Calibri" w:cs="Calibri"/>
                <w:b/>
                <w:bCs/>
                <w:color w:val="000000"/>
                <w:sz w:val="20"/>
                <w:szCs w:val="20"/>
                <w:lang w:eastAsia="de-DE"/>
              </w:rPr>
            </w:pPr>
            <w:r w:rsidRPr="000F1A58">
              <w:rPr>
                <w:rFonts w:ascii="Calibri" w:hAnsi="Calibri" w:cs="Calibri"/>
                <w:b/>
                <w:bCs/>
                <w:color w:val="000000"/>
                <w:sz w:val="20"/>
                <w:szCs w:val="20"/>
              </w:rPr>
              <w:t>9. Statistical methods</w:t>
            </w:r>
          </w:p>
        </w:tc>
        <w:tc>
          <w:tcPr>
            <w:tcW w:w="1162" w:type="dxa"/>
            <w:tcBorders>
              <w:top w:val="single" w:sz="4" w:space="0" w:color="auto"/>
              <w:left w:val="nil"/>
              <w:bottom w:val="single" w:sz="4" w:space="0" w:color="auto"/>
              <w:right w:val="nil"/>
            </w:tcBorders>
            <w:shd w:val="clear" w:color="auto" w:fill="auto"/>
            <w:hideMark/>
          </w:tcPr>
          <w:p w14:paraId="348F5D10" w14:textId="77777777" w:rsidR="004B3394" w:rsidRPr="000F1A58" w:rsidRDefault="004B3394" w:rsidP="004B3394">
            <w:pPr>
              <w:spacing w:before="0" w:after="0"/>
              <w:rPr>
                <w:rFonts w:ascii="Calibri" w:eastAsia="Times New Roman" w:hAnsi="Calibri" w:cs="Calibri"/>
                <w:b/>
                <w:bCs/>
                <w:color w:val="000000"/>
                <w:sz w:val="20"/>
                <w:szCs w:val="20"/>
                <w:lang w:eastAsia="de-DE"/>
              </w:rPr>
            </w:pPr>
            <w:r w:rsidRPr="000F1A58">
              <w:rPr>
                <w:rFonts w:ascii="Calibri" w:hAnsi="Calibri" w:cs="Calibri"/>
                <w:b/>
                <w:bCs/>
                <w:color w:val="000000"/>
                <w:sz w:val="20"/>
                <w:szCs w:val="20"/>
              </w:rPr>
              <w:t>Total score</w:t>
            </w:r>
          </w:p>
        </w:tc>
      </w:tr>
      <w:tr w:rsidR="004B3394" w:rsidRPr="000F1A58" w14:paraId="7E0D7BE4" w14:textId="77777777" w:rsidTr="00FD137A">
        <w:trPr>
          <w:trHeight w:val="292"/>
        </w:trPr>
        <w:tc>
          <w:tcPr>
            <w:tcW w:w="2222" w:type="dxa"/>
            <w:gridSpan w:val="2"/>
            <w:tcBorders>
              <w:top w:val="nil"/>
              <w:left w:val="nil"/>
              <w:bottom w:val="nil"/>
            </w:tcBorders>
            <w:shd w:val="clear" w:color="auto" w:fill="auto"/>
            <w:noWrap/>
            <w:vAlign w:val="bottom"/>
            <w:hideMark/>
          </w:tcPr>
          <w:p w14:paraId="322321C3" w14:textId="77777777" w:rsidR="004B3394" w:rsidRPr="000F1A58" w:rsidRDefault="004B3394" w:rsidP="004B3394">
            <w:pPr>
              <w:spacing w:before="0" w:after="0"/>
              <w:rPr>
                <w:rFonts w:ascii="Calibri" w:eastAsia="Times New Roman" w:hAnsi="Calibri" w:cs="Calibri"/>
                <w:color w:val="000000"/>
                <w:sz w:val="20"/>
                <w:szCs w:val="20"/>
                <w:lang w:eastAsia="de-DE"/>
              </w:rPr>
            </w:pPr>
            <w:proofErr w:type="spellStart"/>
            <w:r w:rsidRPr="000F1A58">
              <w:rPr>
                <w:rFonts w:ascii="Calibri" w:eastAsia="Times New Roman" w:hAnsi="Calibri" w:cs="Calibri"/>
                <w:color w:val="000000"/>
                <w:sz w:val="20"/>
                <w:szCs w:val="20"/>
                <w:lang w:eastAsia="de-DE"/>
              </w:rPr>
              <w:t>Aranyi</w:t>
            </w:r>
            <w:proofErr w:type="spellEnd"/>
            <w:r w:rsidRPr="000F1A58">
              <w:rPr>
                <w:rFonts w:ascii="Calibri" w:eastAsia="Times New Roman" w:hAnsi="Calibri" w:cs="Calibri"/>
                <w:color w:val="000000"/>
                <w:sz w:val="20"/>
                <w:szCs w:val="20"/>
                <w:lang w:eastAsia="de-DE"/>
              </w:rPr>
              <w:t xml:space="preserve"> et al. (2016)</w:t>
            </w:r>
          </w:p>
        </w:tc>
        <w:tc>
          <w:tcPr>
            <w:tcW w:w="913" w:type="dxa"/>
            <w:tcBorders>
              <w:top w:val="single" w:sz="4" w:space="0" w:color="auto"/>
            </w:tcBorders>
            <w:shd w:val="clear" w:color="auto" w:fill="auto"/>
            <w:vAlign w:val="center"/>
            <w:hideMark/>
          </w:tcPr>
          <w:p w14:paraId="08D31647"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50" w:type="dxa"/>
            <w:tcBorders>
              <w:top w:val="single" w:sz="4" w:space="0" w:color="auto"/>
            </w:tcBorders>
            <w:shd w:val="clear" w:color="auto" w:fill="auto"/>
            <w:vAlign w:val="center"/>
            <w:hideMark/>
          </w:tcPr>
          <w:p w14:paraId="250A4C81"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1" w:type="dxa"/>
            <w:tcBorders>
              <w:top w:val="single" w:sz="4" w:space="0" w:color="auto"/>
            </w:tcBorders>
            <w:shd w:val="clear" w:color="auto" w:fill="auto"/>
            <w:vAlign w:val="center"/>
            <w:hideMark/>
          </w:tcPr>
          <w:p w14:paraId="1725B8DF"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2" w:type="dxa"/>
            <w:tcBorders>
              <w:top w:val="single" w:sz="4" w:space="0" w:color="auto"/>
            </w:tcBorders>
            <w:shd w:val="clear" w:color="auto" w:fill="auto"/>
            <w:vAlign w:val="center"/>
            <w:hideMark/>
          </w:tcPr>
          <w:p w14:paraId="1D320BD8"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1" w:type="dxa"/>
            <w:tcBorders>
              <w:top w:val="single" w:sz="4" w:space="0" w:color="auto"/>
            </w:tcBorders>
            <w:shd w:val="clear" w:color="auto" w:fill="auto"/>
            <w:vAlign w:val="center"/>
            <w:hideMark/>
          </w:tcPr>
          <w:p w14:paraId="23FD263A"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2" w:type="dxa"/>
            <w:tcBorders>
              <w:top w:val="single" w:sz="4" w:space="0" w:color="auto"/>
            </w:tcBorders>
            <w:shd w:val="clear" w:color="auto" w:fill="auto"/>
            <w:vAlign w:val="center"/>
            <w:hideMark/>
          </w:tcPr>
          <w:p w14:paraId="41B040DC"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1" w:type="dxa"/>
            <w:tcBorders>
              <w:top w:val="single" w:sz="4" w:space="0" w:color="auto"/>
            </w:tcBorders>
            <w:shd w:val="clear" w:color="auto" w:fill="auto"/>
            <w:vAlign w:val="center"/>
            <w:hideMark/>
          </w:tcPr>
          <w:p w14:paraId="21B4FDD5"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2" w:type="dxa"/>
            <w:tcBorders>
              <w:top w:val="single" w:sz="4" w:space="0" w:color="auto"/>
            </w:tcBorders>
            <w:shd w:val="clear" w:color="auto" w:fill="auto"/>
            <w:vAlign w:val="center"/>
            <w:hideMark/>
          </w:tcPr>
          <w:p w14:paraId="377A99EA"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tcBorders>
              <w:top w:val="single" w:sz="4" w:space="0" w:color="auto"/>
            </w:tcBorders>
            <w:shd w:val="clear" w:color="auto" w:fill="auto"/>
            <w:vAlign w:val="center"/>
            <w:hideMark/>
          </w:tcPr>
          <w:p w14:paraId="756F6F0F"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2" w:type="dxa"/>
            <w:tcBorders>
              <w:top w:val="single" w:sz="4" w:space="0" w:color="auto"/>
            </w:tcBorders>
            <w:shd w:val="clear" w:color="auto" w:fill="auto"/>
            <w:noWrap/>
            <w:vAlign w:val="center"/>
            <w:hideMark/>
          </w:tcPr>
          <w:p w14:paraId="4F049679"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2</w:t>
            </w:r>
          </w:p>
        </w:tc>
      </w:tr>
      <w:tr w:rsidR="004B3394" w:rsidRPr="000F1A58" w14:paraId="1AB17DE1" w14:textId="77777777" w:rsidTr="00FD137A">
        <w:trPr>
          <w:trHeight w:val="292"/>
        </w:trPr>
        <w:tc>
          <w:tcPr>
            <w:tcW w:w="2222" w:type="dxa"/>
            <w:gridSpan w:val="2"/>
            <w:tcBorders>
              <w:top w:val="nil"/>
              <w:left w:val="nil"/>
              <w:bottom w:val="nil"/>
            </w:tcBorders>
            <w:shd w:val="clear" w:color="auto" w:fill="auto"/>
            <w:noWrap/>
            <w:vAlign w:val="bottom"/>
            <w:hideMark/>
          </w:tcPr>
          <w:p w14:paraId="6656D528" w14:textId="77777777" w:rsidR="004B3394" w:rsidRPr="000F1A58" w:rsidRDefault="004B3394" w:rsidP="004B3394">
            <w:pPr>
              <w:spacing w:before="0" w:after="0"/>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Barth et al. (2016)</w:t>
            </w:r>
          </w:p>
        </w:tc>
        <w:tc>
          <w:tcPr>
            <w:tcW w:w="913" w:type="dxa"/>
            <w:shd w:val="clear" w:color="auto" w:fill="auto"/>
            <w:vAlign w:val="center"/>
            <w:hideMark/>
          </w:tcPr>
          <w:p w14:paraId="2C3C5F23"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50" w:type="dxa"/>
            <w:shd w:val="clear" w:color="auto" w:fill="auto"/>
            <w:vAlign w:val="center"/>
            <w:hideMark/>
          </w:tcPr>
          <w:p w14:paraId="231A8201"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1" w:type="dxa"/>
            <w:shd w:val="clear" w:color="auto" w:fill="auto"/>
            <w:vAlign w:val="center"/>
            <w:hideMark/>
          </w:tcPr>
          <w:p w14:paraId="4AFA345C"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2" w:type="dxa"/>
            <w:shd w:val="clear" w:color="auto" w:fill="auto"/>
            <w:vAlign w:val="center"/>
            <w:hideMark/>
          </w:tcPr>
          <w:p w14:paraId="7BB778A6"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1" w:type="dxa"/>
            <w:shd w:val="clear" w:color="auto" w:fill="auto"/>
            <w:vAlign w:val="center"/>
            <w:hideMark/>
          </w:tcPr>
          <w:p w14:paraId="489C603B"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32248EE0"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1" w:type="dxa"/>
            <w:shd w:val="clear" w:color="auto" w:fill="auto"/>
            <w:vAlign w:val="center"/>
            <w:hideMark/>
          </w:tcPr>
          <w:p w14:paraId="3F8A003E"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2" w:type="dxa"/>
            <w:shd w:val="clear" w:color="auto" w:fill="auto"/>
            <w:vAlign w:val="center"/>
            <w:hideMark/>
          </w:tcPr>
          <w:p w14:paraId="2C380E56"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7D8ABB7A"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2" w:type="dxa"/>
            <w:shd w:val="clear" w:color="auto" w:fill="auto"/>
            <w:noWrap/>
            <w:vAlign w:val="center"/>
            <w:hideMark/>
          </w:tcPr>
          <w:p w14:paraId="4E47270A"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3</w:t>
            </w:r>
          </w:p>
        </w:tc>
      </w:tr>
      <w:tr w:rsidR="004B3394" w:rsidRPr="000F1A58" w14:paraId="39DA71B3" w14:textId="77777777" w:rsidTr="00FD137A">
        <w:trPr>
          <w:trHeight w:val="292"/>
        </w:trPr>
        <w:tc>
          <w:tcPr>
            <w:tcW w:w="2222" w:type="dxa"/>
            <w:gridSpan w:val="2"/>
            <w:tcBorders>
              <w:top w:val="nil"/>
              <w:left w:val="nil"/>
              <w:bottom w:val="nil"/>
            </w:tcBorders>
            <w:shd w:val="clear" w:color="auto" w:fill="auto"/>
            <w:noWrap/>
            <w:vAlign w:val="bottom"/>
            <w:hideMark/>
          </w:tcPr>
          <w:p w14:paraId="2636F303" w14:textId="77777777" w:rsidR="004B3394" w:rsidRPr="000F1A58" w:rsidRDefault="004B3394" w:rsidP="004B3394">
            <w:pPr>
              <w:spacing w:before="0" w:after="0"/>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Fujimoto et al. (2017)</w:t>
            </w:r>
          </w:p>
        </w:tc>
        <w:tc>
          <w:tcPr>
            <w:tcW w:w="913" w:type="dxa"/>
            <w:shd w:val="clear" w:color="auto" w:fill="auto"/>
            <w:vAlign w:val="center"/>
            <w:hideMark/>
          </w:tcPr>
          <w:p w14:paraId="25157E80"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50" w:type="dxa"/>
            <w:shd w:val="clear" w:color="auto" w:fill="auto"/>
            <w:vAlign w:val="center"/>
            <w:hideMark/>
          </w:tcPr>
          <w:p w14:paraId="44A2C81F"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33E41C03"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51137542"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72863A78"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227DF11A"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54972E50"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46D891EC"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7D62E2EC"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2" w:type="dxa"/>
            <w:shd w:val="clear" w:color="auto" w:fill="auto"/>
            <w:noWrap/>
            <w:vAlign w:val="center"/>
            <w:hideMark/>
          </w:tcPr>
          <w:p w14:paraId="55A86FEB"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8</w:t>
            </w:r>
          </w:p>
        </w:tc>
      </w:tr>
      <w:tr w:rsidR="004B3394" w:rsidRPr="000F1A58" w14:paraId="2F2BDD5D" w14:textId="77777777" w:rsidTr="00FD137A">
        <w:trPr>
          <w:trHeight w:val="292"/>
        </w:trPr>
        <w:tc>
          <w:tcPr>
            <w:tcW w:w="2222" w:type="dxa"/>
            <w:gridSpan w:val="2"/>
            <w:tcBorders>
              <w:top w:val="nil"/>
              <w:left w:val="nil"/>
              <w:bottom w:val="nil"/>
            </w:tcBorders>
            <w:shd w:val="clear" w:color="auto" w:fill="auto"/>
            <w:noWrap/>
            <w:vAlign w:val="bottom"/>
            <w:hideMark/>
          </w:tcPr>
          <w:p w14:paraId="0C48A604" w14:textId="77777777" w:rsidR="004B3394" w:rsidRPr="000F1A58" w:rsidRDefault="004B3394" w:rsidP="004B3394">
            <w:pPr>
              <w:spacing w:before="0" w:after="0"/>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Hosseini et al. (2016)</w:t>
            </w:r>
          </w:p>
        </w:tc>
        <w:tc>
          <w:tcPr>
            <w:tcW w:w="913" w:type="dxa"/>
            <w:shd w:val="clear" w:color="auto" w:fill="auto"/>
            <w:vAlign w:val="center"/>
            <w:hideMark/>
          </w:tcPr>
          <w:p w14:paraId="5A158D97"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50" w:type="dxa"/>
            <w:shd w:val="clear" w:color="auto" w:fill="auto"/>
            <w:vAlign w:val="center"/>
            <w:hideMark/>
          </w:tcPr>
          <w:p w14:paraId="07E5C528" w14:textId="26BC49AD" w:rsidR="004B3394" w:rsidRPr="000F1A58" w:rsidRDefault="00A97095"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14C94735"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08BD6E29"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6637CD52"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05CCA5FF"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1708EDFF"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4C9F189E"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0E803C18"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2" w:type="dxa"/>
            <w:shd w:val="clear" w:color="auto" w:fill="auto"/>
            <w:noWrap/>
            <w:vAlign w:val="center"/>
            <w:hideMark/>
          </w:tcPr>
          <w:p w14:paraId="688E1E43"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7</w:t>
            </w:r>
          </w:p>
        </w:tc>
      </w:tr>
      <w:tr w:rsidR="004B3394" w:rsidRPr="000F1A58" w14:paraId="324533AD" w14:textId="77777777" w:rsidTr="00FD137A">
        <w:trPr>
          <w:trHeight w:val="292"/>
        </w:trPr>
        <w:tc>
          <w:tcPr>
            <w:tcW w:w="2222" w:type="dxa"/>
            <w:gridSpan w:val="2"/>
            <w:tcBorders>
              <w:top w:val="nil"/>
              <w:left w:val="nil"/>
              <w:bottom w:val="nil"/>
            </w:tcBorders>
            <w:shd w:val="clear" w:color="auto" w:fill="auto"/>
            <w:noWrap/>
            <w:vAlign w:val="bottom"/>
            <w:hideMark/>
          </w:tcPr>
          <w:p w14:paraId="40D7F747" w14:textId="77777777" w:rsidR="004B3394" w:rsidRPr="000F1A58" w:rsidRDefault="004B3394" w:rsidP="004B3394">
            <w:pPr>
              <w:spacing w:before="0" w:after="0"/>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Hudak et al. (2017)</w:t>
            </w:r>
          </w:p>
        </w:tc>
        <w:tc>
          <w:tcPr>
            <w:tcW w:w="913" w:type="dxa"/>
            <w:shd w:val="clear" w:color="auto" w:fill="auto"/>
            <w:vAlign w:val="center"/>
            <w:hideMark/>
          </w:tcPr>
          <w:p w14:paraId="38362500"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50" w:type="dxa"/>
            <w:shd w:val="clear" w:color="auto" w:fill="auto"/>
            <w:vAlign w:val="center"/>
            <w:hideMark/>
          </w:tcPr>
          <w:p w14:paraId="10365269"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1" w:type="dxa"/>
            <w:shd w:val="clear" w:color="auto" w:fill="auto"/>
            <w:vAlign w:val="center"/>
            <w:hideMark/>
          </w:tcPr>
          <w:p w14:paraId="0F043EB8"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30E6D1A4"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22054E48"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4098E17E"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440F8799"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22D1D6D8"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672BE346"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noWrap/>
            <w:vAlign w:val="center"/>
            <w:hideMark/>
          </w:tcPr>
          <w:p w14:paraId="19BAE739"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8</w:t>
            </w:r>
          </w:p>
        </w:tc>
      </w:tr>
      <w:tr w:rsidR="004B3394" w:rsidRPr="000F1A58" w14:paraId="73D6CDC3" w14:textId="77777777" w:rsidTr="00FD137A">
        <w:trPr>
          <w:trHeight w:val="292"/>
        </w:trPr>
        <w:tc>
          <w:tcPr>
            <w:tcW w:w="2222" w:type="dxa"/>
            <w:gridSpan w:val="2"/>
            <w:tcBorders>
              <w:top w:val="nil"/>
              <w:left w:val="nil"/>
              <w:bottom w:val="nil"/>
            </w:tcBorders>
            <w:shd w:val="clear" w:color="auto" w:fill="auto"/>
            <w:noWrap/>
            <w:vAlign w:val="bottom"/>
            <w:hideMark/>
          </w:tcPr>
          <w:p w14:paraId="23DC2FA4" w14:textId="77777777" w:rsidR="004B3394" w:rsidRPr="000F1A58" w:rsidRDefault="004B3394" w:rsidP="004B3394">
            <w:pPr>
              <w:spacing w:before="0" w:after="0"/>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Hudak et al. (2018)</w:t>
            </w:r>
          </w:p>
        </w:tc>
        <w:tc>
          <w:tcPr>
            <w:tcW w:w="913" w:type="dxa"/>
            <w:shd w:val="clear" w:color="auto" w:fill="auto"/>
            <w:vAlign w:val="center"/>
            <w:hideMark/>
          </w:tcPr>
          <w:p w14:paraId="511C7E78"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50" w:type="dxa"/>
            <w:shd w:val="clear" w:color="auto" w:fill="auto"/>
            <w:vAlign w:val="center"/>
            <w:hideMark/>
          </w:tcPr>
          <w:p w14:paraId="4D2C9DE8"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1" w:type="dxa"/>
            <w:shd w:val="clear" w:color="auto" w:fill="auto"/>
            <w:vAlign w:val="center"/>
            <w:hideMark/>
          </w:tcPr>
          <w:p w14:paraId="43B29EBA"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2" w:type="dxa"/>
            <w:shd w:val="clear" w:color="auto" w:fill="auto"/>
            <w:vAlign w:val="center"/>
            <w:hideMark/>
          </w:tcPr>
          <w:p w14:paraId="3680306B"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1" w:type="dxa"/>
            <w:shd w:val="clear" w:color="auto" w:fill="auto"/>
            <w:vAlign w:val="center"/>
            <w:hideMark/>
          </w:tcPr>
          <w:p w14:paraId="6ECE5375"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7C64A07E"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1" w:type="dxa"/>
            <w:shd w:val="clear" w:color="auto" w:fill="auto"/>
            <w:vAlign w:val="center"/>
            <w:hideMark/>
          </w:tcPr>
          <w:p w14:paraId="3B6DFEAE"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2" w:type="dxa"/>
            <w:shd w:val="clear" w:color="auto" w:fill="auto"/>
            <w:vAlign w:val="center"/>
            <w:hideMark/>
          </w:tcPr>
          <w:p w14:paraId="05D02B43"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1E1858D9"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2" w:type="dxa"/>
            <w:shd w:val="clear" w:color="auto" w:fill="auto"/>
            <w:noWrap/>
            <w:vAlign w:val="center"/>
            <w:hideMark/>
          </w:tcPr>
          <w:p w14:paraId="27153674"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3</w:t>
            </w:r>
          </w:p>
        </w:tc>
      </w:tr>
      <w:tr w:rsidR="004B3394" w:rsidRPr="000F1A58" w14:paraId="548607E0" w14:textId="77777777" w:rsidTr="00FD137A">
        <w:trPr>
          <w:trHeight w:val="292"/>
        </w:trPr>
        <w:tc>
          <w:tcPr>
            <w:tcW w:w="2222" w:type="dxa"/>
            <w:gridSpan w:val="2"/>
            <w:tcBorders>
              <w:top w:val="nil"/>
              <w:left w:val="nil"/>
              <w:bottom w:val="nil"/>
            </w:tcBorders>
            <w:shd w:val="clear" w:color="auto" w:fill="auto"/>
            <w:noWrap/>
            <w:vAlign w:val="bottom"/>
            <w:hideMark/>
          </w:tcPr>
          <w:p w14:paraId="12A0B8F0" w14:textId="77777777" w:rsidR="004B3394" w:rsidRPr="000F1A58" w:rsidRDefault="004B3394" w:rsidP="004B3394">
            <w:pPr>
              <w:spacing w:before="0" w:after="0"/>
              <w:rPr>
                <w:rFonts w:ascii="Calibri" w:eastAsia="Times New Roman" w:hAnsi="Calibri" w:cs="Calibri"/>
                <w:color w:val="000000"/>
                <w:sz w:val="20"/>
                <w:szCs w:val="20"/>
                <w:lang w:eastAsia="de-DE"/>
              </w:rPr>
            </w:pPr>
            <w:proofErr w:type="spellStart"/>
            <w:r w:rsidRPr="000F1A58">
              <w:rPr>
                <w:rFonts w:ascii="Calibri" w:eastAsia="Times New Roman" w:hAnsi="Calibri" w:cs="Calibri"/>
                <w:color w:val="000000"/>
                <w:sz w:val="20"/>
                <w:szCs w:val="20"/>
                <w:lang w:eastAsia="de-DE"/>
              </w:rPr>
              <w:t>Kanoh</w:t>
            </w:r>
            <w:proofErr w:type="spellEnd"/>
            <w:r w:rsidRPr="000F1A58">
              <w:rPr>
                <w:rFonts w:ascii="Calibri" w:eastAsia="Times New Roman" w:hAnsi="Calibri" w:cs="Calibri"/>
                <w:color w:val="000000"/>
                <w:sz w:val="20"/>
                <w:szCs w:val="20"/>
                <w:lang w:eastAsia="de-DE"/>
              </w:rPr>
              <w:t xml:space="preserve"> et al. (2011)</w:t>
            </w:r>
          </w:p>
        </w:tc>
        <w:tc>
          <w:tcPr>
            <w:tcW w:w="913" w:type="dxa"/>
            <w:shd w:val="clear" w:color="auto" w:fill="auto"/>
            <w:vAlign w:val="center"/>
            <w:hideMark/>
          </w:tcPr>
          <w:p w14:paraId="3AE395D8"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50" w:type="dxa"/>
            <w:shd w:val="clear" w:color="auto" w:fill="auto"/>
            <w:vAlign w:val="center"/>
            <w:hideMark/>
          </w:tcPr>
          <w:p w14:paraId="47F86452"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1" w:type="dxa"/>
            <w:shd w:val="clear" w:color="auto" w:fill="auto"/>
            <w:vAlign w:val="center"/>
            <w:hideMark/>
          </w:tcPr>
          <w:p w14:paraId="1F2D8A5D"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2" w:type="dxa"/>
            <w:shd w:val="clear" w:color="auto" w:fill="auto"/>
            <w:vAlign w:val="center"/>
            <w:hideMark/>
          </w:tcPr>
          <w:p w14:paraId="3121CCD4"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1" w:type="dxa"/>
            <w:shd w:val="clear" w:color="auto" w:fill="auto"/>
            <w:vAlign w:val="center"/>
            <w:hideMark/>
          </w:tcPr>
          <w:p w14:paraId="78BBBFF2"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55BFAC6F"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3547128A"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2" w:type="dxa"/>
            <w:shd w:val="clear" w:color="auto" w:fill="auto"/>
            <w:vAlign w:val="center"/>
            <w:hideMark/>
          </w:tcPr>
          <w:p w14:paraId="029F0769"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29EC015E"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2" w:type="dxa"/>
            <w:shd w:val="clear" w:color="auto" w:fill="auto"/>
            <w:noWrap/>
            <w:vAlign w:val="center"/>
            <w:hideMark/>
          </w:tcPr>
          <w:p w14:paraId="5DFD2BCC"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4</w:t>
            </w:r>
          </w:p>
        </w:tc>
      </w:tr>
      <w:tr w:rsidR="004B3394" w:rsidRPr="000F1A58" w14:paraId="2180AAE0" w14:textId="77777777" w:rsidTr="00FD137A">
        <w:trPr>
          <w:trHeight w:val="292"/>
        </w:trPr>
        <w:tc>
          <w:tcPr>
            <w:tcW w:w="2222" w:type="dxa"/>
            <w:gridSpan w:val="2"/>
            <w:tcBorders>
              <w:top w:val="nil"/>
              <w:left w:val="nil"/>
              <w:bottom w:val="nil"/>
            </w:tcBorders>
            <w:shd w:val="clear" w:color="auto" w:fill="auto"/>
            <w:noWrap/>
            <w:vAlign w:val="bottom"/>
            <w:hideMark/>
          </w:tcPr>
          <w:p w14:paraId="34E90341" w14:textId="77777777" w:rsidR="004B3394" w:rsidRPr="000F1A58" w:rsidRDefault="004B3394" w:rsidP="004B3394">
            <w:pPr>
              <w:spacing w:before="0" w:after="0"/>
              <w:rPr>
                <w:rFonts w:ascii="Calibri" w:eastAsia="Times New Roman" w:hAnsi="Calibri" w:cs="Calibri"/>
                <w:color w:val="000000"/>
                <w:sz w:val="20"/>
                <w:szCs w:val="20"/>
                <w:lang w:eastAsia="de-DE"/>
              </w:rPr>
            </w:pPr>
            <w:proofErr w:type="spellStart"/>
            <w:r w:rsidRPr="000F1A58">
              <w:rPr>
                <w:rFonts w:ascii="Calibri" w:eastAsia="Times New Roman" w:hAnsi="Calibri" w:cs="Calibri"/>
                <w:color w:val="000000"/>
                <w:sz w:val="20"/>
                <w:szCs w:val="20"/>
                <w:lang w:eastAsia="de-DE"/>
              </w:rPr>
              <w:t>Kimmig</w:t>
            </w:r>
            <w:proofErr w:type="spellEnd"/>
            <w:r w:rsidRPr="000F1A58">
              <w:rPr>
                <w:rFonts w:ascii="Calibri" w:eastAsia="Times New Roman" w:hAnsi="Calibri" w:cs="Calibri"/>
                <w:color w:val="000000"/>
                <w:sz w:val="20"/>
                <w:szCs w:val="20"/>
                <w:lang w:eastAsia="de-DE"/>
              </w:rPr>
              <w:t xml:space="preserve"> et al. (2018)</w:t>
            </w:r>
          </w:p>
        </w:tc>
        <w:tc>
          <w:tcPr>
            <w:tcW w:w="913" w:type="dxa"/>
            <w:shd w:val="clear" w:color="auto" w:fill="auto"/>
            <w:vAlign w:val="center"/>
            <w:hideMark/>
          </w:tcPr>
          <w:p w14:paraId="6A2E9726"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50" w:type="dxa"/>
            <w:shd w:val="clear" w:color="auto" w:fill="auto"/>
            <w:vAlign w:val="center"/>
            <w:hideMark/>
          </w:tcPr>
          <w:p w14:paraId="18697209"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1" w:type="dxa"/>
            <w:shd w:val="clear" w:color="auto" w:fill="auto"/>
            <w:vAlign w:val="center"/>
            <w:hideMark/>
          </w:tcPr>
          <w:p w14:paraId="204885F5"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2" w:type="dxa"/>
            <w:shd w:val="clear" w:color="auto" w:fill="auto"/>
            <w:vAlign w:val="center"/>
            <w:hideMark/>
          </w:tcPr>
          <w:p w14:paraId="1947D4CF"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1" w:type="dxa"/>
            <w:shd w:val="clear" w:color="auto" w:fill="auto"/>
            <w:vAlign w:val="center"/>
            <w:hideMark/>
          </w:tcPr>
          <w:p w14:paraId="73BBC3A4"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054D5E7F"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042EE19E"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2" w:type="dxa"/>
            <w:shd w:val="clear" w:color="auto" w:fill="auto"/>
            <w:vAlign w:val="center"/>
            <w:hideMark/>
          </w:tcPr>
          <w:p w14:paraId="159215B6"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20579A25"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noWrap/>
            <w:vAlign w:val="center"/>
            <w:hideMark/>
          </w:tcPr>
          <w:p w14:paraId="5BC14BAA"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5</w:t>
            </w:r>
          </w:p>
        </w:tc>
      </w:tr>
      <w:tr w:rsidR="004B3394" w:rsidRPr="000F1A58" w14:paraId="64575783" w14:textId="77777777" w:rsidTr="00FD137A">
        <w:trPr>
          <w:trHeight w:val="292"/>
        </w:trPr>
        <w:tc>
          <w:tcPr>
            <w:tcW w:w="2222" w:type="dxa"/>
            <w:gridSpan w:val="2"/>
            <w:tcBorders>
              <w:top w:val="nil"/>
              <w:left w:val="nil"/>
              <w:bottom w:val="nil"/>
            </w:tcBorders>
            <w:shd w:val="clear" w:color="auto" w:fill="auto"/>
            <w:noWrap/>
            <w:vAlign w:val="bottom"/>
            <w:hideMark/>
          </w:tcPr>
          <w:p w14:paraId="60281F5A" w14:textId="77777777" w:rsidR="004B3394" w:rsidRPr="000F1A58" w:rsidRDefault="004B3394" w:rsidP="004B3394">
            <w:pPr>
              <w:spacing w:before="0" w:after="0"/>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Kinoshita et al. (2016)</w:t>
            </w:r>
          </w:p>
        </w:tc>
        <w:tc>
          <w:tcPr>
            <w:tcW w:w="913" w:type="dxa"/>
            <w:shd w:val="clear" w:color="auto" w:fill="auto"/>
            <w:vAlign w:val="center"/>
            <w:hideMark/>
          </w:tcPr>
          <w:p w14:paraId="7E47A093"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50" w:type="dxa"/>
            <w:shd w:val="clear" w:color="auto" w:fill="auto"/>
            <w:vAlign w:val="center"/>
            <w:hideMark/>
          </w:tcPr>
          <w:p w14:paraId="1CE8224A"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1078202A"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6B76B655"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443DDB3B"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2" w:type="dxa"/>
            <w:shd w:val="clear" w:color="auto" w:fill="auto"/>
            <w:vAlign w:val="center"/>
            <w:hideMark/>
          </w:tcPr>
          <w:p w14:paraId="1410461F"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1" w:type="dxa"/>
            <w:shd w:val="clear" w:color="auto" w:fill="auto"/>
            <w:vAlign w:val="center"/>
            <w:hideMark/>
          </w:tcPr>
          <w:p w14:paraId="4F5EC503"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01B8F550"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2FA79CC9"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2" w:type="dxa"/>
            <w:shd w:val="clear" w:color="auto" w:fill="auto"/>
            <w:noWrap/>
            <w:vAlign w:val="center"/>
            <w:hideMark/>
          </w:tcPr>
          <w:p w14:paraId="4C3690A1"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6</w:t>
            </w:r>
          </w:p>
        </w:tc>
      </w:tr>
      <w:tr w:rsidR="004B3394" w:rsidRPr="000F1A58" w14:paraId="3DCBA5A9" w14:textId="77777777" w:rsidTr="00FD137A">
        <w:trPr>
          <w:trHeight w:val="292"/>
        </w:trPr>
        <w:tc>
          <w:tcPr>
            <w:tcW w:w="2222" w:type="dxa"/>
            <w:gridSpan w:val="2"/>
            <w:tcBorders>
              <w:top w:val="nil"/>
              <w:left w:val="nil"/>
              <w:bottom w:val="nil"/>
            </w:tcBorders>
            <w:shd w:val="clear" w:color="auto" w:fill="auto"/>
            <w:noWrap/>
            <w:vAlign w:val="bottom"/>
            <w:hideMark/>
          </w:tcPr>
          <w:p w14:paraId="05C5336E" w14:textId="77777777" w:rsidR="004B3394" w:rsidRPr="000F1A58" w:rsidRDefault="004B3394" w:rsidP="004B3394">
            <w:pPr>
              <w:spacing w:before="0" w:after="0"/>
              <w:rPr>
                <w:rFonts w:ascii="Calibri" w:eastAsia="Times New Roman" w:hAnsi="Calibri" w:cs="Calibri"/>
                <w:color w:val="000000"/>
                <w:sz w:val="20"/>
                <w:szCs w:val="20"/>
                <w:lang w:eastAsia="de-DE"/>
              </w:rPr>
            </w:pPr>
            <w:proofErr w:type="spellStart"/>
            <w:r w:rsidRPr="000F1A58">
              <w:rPr>
                <w:rFonts w:ascii="Calibri" w:eastAsia="Times New Roman" w:hAnsi="Calibri" w:cs="Calibri"/>
                <w:color w:val="000000"/>
                <w:sz w:val="20"/>
                <w:szCs w:val="20"/>
                <w:lang w:eastAsia="de-DE"/>
              </w:rPr>
              <w:t>Kober</w:t>
            </w:r>
            <w:proofErr w:type="spellEnd"/>
            <w:r w:rsidRPr="000F1A58">
              <w:rPr>
                <w:rFonts w:ascii="Calibri" w:eastAsia="Times New Roman" w:hAnsi="Calibri" w:cs="Calibri"/>
                <w:color w:val="000000"/>
                <w:sz w:val="20"/>
                <w:szCs w:val="20"/>
                <w:lang w:eastAsia="de-DE"/>
              </w:rPr>
              <w:t xml:space="preserve"> et al. (2014)</w:t>
            </w:r>
          </w:p>
        </w:tc>
        <w:tc>
          <w:tcPr>
            <w:tcW w:w="913" w:type="dxa"/>
            <w:shd w:val="clear" w:color="auto" w:fill="auto"/>
            <w:vAlign w:val="center"/>
            <w:hideMark/>
          </w:tcPr>
          <w:p w14:paraId="7952B995"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50" w:type="dxa"/>
            <w:shd w:val="clear" w:color="auto" w:fill="auto"/>
            <w:vAlign w:val="center"/>
            <w:hideMark/>
          </w:tcPr>
          <w:p w14:paraId="75A672ED" w14:textId="42BAF081" w:rsidR="004B3394" w:rsidRPr="000F1A58" w:rsidRDefault="00A97095"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0D93DA39"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7C277460"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10A88582"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2C167ECE"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760B6F9D"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2FC5BE84"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502A97C2"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2" w:type="dxa"/>
            <w:shd w:val="clear" w:color="auto" w:fill="auto"/>
            <w:noWrap/>
            <w:vAlign w:val="center"/>
            <w:hideMark/>
          </w:tcPr>
          <w:p w14:paraId="0D0CC419"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7</w:t>
            </w:r>
          </w:p>
        </w:tc>
      </w:tr>
      <w:tr w:rsidR="004B3394" w:rsidRPr="000F1A58" w14:paraId="2AA57A2D" w14:textId="77777777" w:rsidTr="00FD137A">
        <w:trPr>
          <w:trHeight w:val="292"/>
        </w:trPr>
        <w:tc>
          <w:tcPr>
            <w:tcW w:w="2222" w:type="dxa"/>
            <w:gridSpan w:val="2"/>
            <w:tcBorders>
              <w:top w:val="nil"/>
              <w:left w:val="nil"/>
              <w:bottom w:val="nil"/>
            </w:tcBorders>
            <w:shd w:val="clear" w:color="auto" w:fill="auto"/>
            <w:noWrap/>
            <w:vAlign w:val="bottom"/>
            <w:hideMark/>
          </w:tcPr>
          <w:p w14:paraId="489F0F2C" w14:textId="77777777" w:rsidR="004B3394" w:rsidRPr="000F1A58" w:rsidRDefault="004B3394" w:rsidP="004B3394">
            <w:pPr>
              <w:spacing w:before="0" w:after="0"/>
              <w:rPr>
                <w:rFonts w:ascii="Calibri" w:eastAsia="Times New Roman" w:hAnsi="Calibri" w:cs="Calibri"/>
                <w:color w:val="000000"/>
                <w:sz w:val="20"/>
                <w:szCs w:val="20"/>
                <w:lang w:eastAsia="de-DE"/>
              </w:rPr>
            </w:pPr>
            <w:proofErr w:type="spellStart"/>
            <w:r w:rsidRPr="000F1A58">
              <w:rPr>
                <w:rFonts w:ascii="Calibri" w:eastAsia="Times New Roman" w:hAnsi="Calibri" w:cs="Calibri"/>
                <w:color w:val="000000"/>
                <w:sz w:val="20"/>
                <w:szCs w:val="20"/>
                <w:lang w:eastAsia="de-DE"/>
              </w:rPr>
              <w:t>Kober</w:t>
            </w:r>
            <w:proofErr w:type="spellEnd"/>
            <w:r w:rsidRPr="000F1A58">
              <w:rPr>
                <w:rFonts w:ascii="Calibri" w:eastAsia="Times New Roman" w:hAnsi="Calibri" w:cs="Calibri"/>
                <w:color w:val="000000"/>
                <w:sz w:val="20"/>
                <w:szCs w:val="20"/>
                <w:lang w:eastAsia="de-DE"/>
              </w:rPr>
              <w:t xml:space="preserve"> et al. (2015)</w:t>
            </w:r>
          </w:p>
        </w:tc>
        <w:tc>
          <w:tcPr>
            <w:tcW w:w="913" w:type="dxa"/>
            <w:shd w:val="clear" w:color="auto" w:fill="auto"/>
            <w:vAlign w:val="center"/>
            <w:hideMark/>
          </w:tcPr>
          <w:p w14:paraId="1915EF77"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50" w:type="dxa"/>
            <w:shd w:val="clear" w:color="auto" w:fill="auto"/>
            <w:vAlign w:val="center"/>
            <w:hideMark/>
          </w:tcPr>
          <w:p w14:paraId="799071F5"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3570BA04"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409D0897"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635F5A3A"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5C1546F3"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374FB6FD"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082BD22B"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142A6F53"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2" w:type="dxa"/>
            <w:shd w:val="clear" w:color="auto" w:fill="auto"/>
            <w:noWrap/>
            <w:vAlign w:val="center"/>
            <w:hideMark/>
          </w:tcPr>
          <w:p w14:paraId="3AFD835E"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8</w:t>
            </w:r>
          </w:p>
        </w:tc>
      </w:tr>
      <w:tr w:rsidR="004B3394" w:rsidRPr="000F1A58" w14:paraId="0A8BC3E0" w14:textId="77777777" w:rsidTr="00FD137A">
        <w:trPr>
          <w:trHeight w:val="292"/>
        </w:trPr>
        <w:tc>
          <w:tcPr>
            <w:tcW w:w="2222" w:type="dxa"/>
            <w:gridSpan w:val="2"/>
            <w:tcBorders>
              <w:top w:val="nil"/>
              <w:left w:val="nil"/>
              <w:bottom w:val="nil"/>
            </w:tcBorders>
            <w:shd w:val="clear" w:color="auto" w:fill="auto"/>
            <w:noWrap/>
            <w:vAlign w:val="bottom"/>
            <w:hideMark/>
          </w:tcPr>
          <w:p w14:paraId="294CDFB3" w14:textId="77777777" w:rsidR="004B3394" w:rsidRPr="000F1A58" w:rsidRDefault="004B3394" w:rsidP="004B3394">
            <w:pPr>
              <w:spacing w:before="0" w:after="0"/>
              <w:rPr>
                <w:rFonts w:ascii="Calibri" w:eastAsia="Times New Roman" w:hAnsi="Calibri" w:cs="Calibri"/>
                <w:color w:val="000000"/>
                <w:sz w:val="20"/>
                <w:szCs w:val="20"/>
                <w:lang w:eastAsia="de-DE"/>
              </w:rPr>
            </w:pPr>
            <w:proofErr w:type="spellStart"/>
            <w:r w:rsidRPr="000F1A58">
              <w:rPr>
                <w:rFonts w:ascii="Calibri" w:eastAsia="Times New Roman" w:hAnsi="Calibri" w:cs="Calibri"/>
                <w:color w:val="000000"/>
                <w:sz w:val="20"/>
                <w:szCs w:val="20"/>
                <w:lang w:eastAsia="de-DE"/>
              </w:rPr>
              <w:t>Kober</w:t>
            </w:r>
            <w:proofErr w:type="spellEnd"/>
            <w:r w:rsidRPr="000F1A58">
              <w:rPr>
                <w:rFonts w:ascii="Calibri" w:eastAsia="Times New Roman" w:hAnsi="Calibri" w:cs="Calibri"/>
                <w:color w:val="000000"/>
                <w:sz w:val="20"/>
                <w:szCs w:val="20"/>
                <w:lang w:eastAsia="de-DE"/>
              </w:rPr>
              <w:t xml:space="preserve"> et al. (2018)</w:t>
            </w:r>
          </w:p>
        </w:tc>
        <w:tc>
          <w:tcPr>
            <w:tcW w:w="913" w:type="dxa"/>
            <w:shd w:val="clear" w:color="auto" w:fill="auto"/>
            <w:vAlign w:val="center"/>
            <w:hideMark/>
          </w:tcPr>
          <w:p w14:paraId="052E9738"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50" w:type="dxa"/>
            <w:shd w:val="clear" w:color="auto" w:fill="auto"/>
            <w:vAlign w:val="center"/>
            <w:hideMark/>
          </w:tcPr>
          <w:p w14:paraId="676BF3DE"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1" w:type="dxa"/>
            <w:shd w:val="clear" w:color="auto" w:fill="auto"/>
            <w:vAlign w:val="center"/>
            <w:hideMark/>
          </w:tcPr>
          <w:p w14:paraId="33777227"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0863083B"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5A3F6C8A"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2" w:type="dxa"/>
            <w:shd w:val="clear" w:color="auto" w:fill="auto"/>
            <w:vAlign w:val="center"/>
            <w:hideMark/>
          </w:tcPr>
          <w:p w14:paraId="4E33D14F"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1" w:type="dxa"/>
            <w:shd w:val="clear" w:color="auto" w:fill="auto"/>
            <w:vAlign w:val="center"/>
            <w:hideMark/>
          </w:tcPr>
          <w:p w14:paraId="34F1A21C"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34E4E0EB"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4B955B8E"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2" w:type="dxa"/>
            <w:shd w:val="clear" w:color="auto" w:fill="auto"/>
            <w:noWrap/>
            <w:vAlign w:val="center"/>
            <w:hideMark/>
          </w:tcPr>
          <w:p w14:paraId="3BE63BAA"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5</w:t>
            </w:r>
          </w:p>
        </w:tc>
      </w:tr>
      <w:tr w:rsidR="004B3394" w:rsidRPr="000F1A58" w14:paraId="152282F9" w14:textId="77777777" w:rsidTr="00FD137A">
        <w:trPr>
          <w:trHeight w:val="292"/>
        </w:trPr>
        <w:tc>
          <w:tcPr>
            <w:tcW w:w="2222" w:type="dxa"/>
            <w:gridSpan w:val="2"/>
            <w:tcBorders>
              <w:top w:val="nil"/>
              <w:left w:val="nil"/>
              <w:bottom w:val="nil"/>
            </w:tcBorders>
            <w:shd w:val="clear" w:color="auto" w:fill="auto"/>
            <w:noWrap/>
            <w:vAlign w:val="bottom"/>
            <w:hideMark/>
          </w:tcPr>
          <w:p w14:paraId="2EE6170F" w14:textId="77777777" w:rsidR="004B3394" w:rsidRPr="000F1A58" w:rsidRDefault="004B3394" w:rsidP="004B3394">
            <w:pPr>
              <w:spacing w:before="0" w:after="0"/>
              <w:rPr>
                <w:rFonts w:ascii="Calibri" w:eastAsia="Times New Roman" w:hAnsi="Calibri" w:cs="Calibri"/>
                <w:color w:val="000000"/>
                <w:sz w:val="20"/>
                <w:szCs w:val="20"/>
                <w:lang w:eastAsia="de-DE"/>
              </w:rPr>
            </w:pPr>
            <w:proofErr w:type="spellStart"/>
            <w:r w:rsidRPr="000F1A58">
              <w:rPr>
                <w:rFonts w:ascii="Calibri" w:eastAsia="Times New Roman" w:hAnsi="Calibri" w:cs="Calibri"/>
                <w:color w:val="000000"/>
                <w:sz w:val="20"/>
                <w:szCs w:val="20"/>
                <w:lang w:eastAsia="de-DE"/>
              </w:rPr>
              <w:t>Lapborisuth</w:t>
            </w:r>
            <w:proofErr w:type="spellEnd"/>
            <w:r w:rsidRPr="000F1A58">
              <w:rPr>
                <w:rFonts w:ascii="Calibri" w:eastAsia="Times New Roman" w:hAnsi="Calibri" w:cs="Calibri"/>
                <w:color w:val="000000"/>
                <w:sz w:val="20"/>
                <w:szCs w:val="20"/>
                <w:lang w:eastAsia="de-DE"/>
              </w:rPr>
              <w:t xml:space="preserve"> et al. (2017)</w:t>
            </w:r>
          </w:p>
        </w:tc>
        <w:tc>
          <w:tcPr>
            <w:tcW w:w="913" w:type="dxa"/>
            <w:shd w:val="clear" w:color="auto" w:fill="auto"/>
            <w:vAlign w:val="center"/>
            <w:hideMark/>
          </w:tcPr>
          <w:p w14:paraId="4C0F5425"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50" w:type="dxa"/>
            <w:shd w:val="clear" w:color="auto" w:fill="auto"/>
            <w:vAlign w:val="center"/>
            <w:hideMark/>
          </w:tcPr>
          <w:p w14:paraId="031BE40A"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1" w:type="dxa"/>
            <w:shd w:val="clear" w:color="auto" w:fill="auto"/>
            <w:vAlign w:val="center"/>
            <w:hideMark/>
          </w:tcPr>
          <w:p w14:paraId="600809E1"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2" w:type="dxa"/>
            <w:shd w:val="clear" w:color="auto" w:fill="auto"/>
            <w:vAlign w:val="center"/>
            <w:hideMark/>
          </w:tcPr>
          <w:p w14:paraId="2F6FEA10"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1" w:type="dxa"/>
            <w:shd w:val="clear" w:color="auto" w:fill="auto"/>
            <w:vAlign w:val="center"/>
            <w:hideMark/>
          </w:tcPr>
          <w:p w14:paraId="737332D0"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2" w:type="dxa"/>
            <w:shd w:val="clear" w:color="auto" w:fill="auto"/>
            <w:vAlign w:val="center"/>
            <w:hideMark/>
          </w:tcPr>
          <w:p w14:paraId="25714EF3"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1" w:type="dxa"/>
            <w:shd w:val="clear" w:color="auto" w:fill="auto"/>
            <w:vAlign w:val="center"/>
            <w:hideMark/>
          </w:tcPr>
          <w:p w14:paraId="06EE7DA6"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2" w:type="dxa"/>
            <w:shd w:val="clear" w:color="auto" w:fill="auto"/>
            <w:vAlign w:val="center"/>
            <w:hideMark/>
          </w:tcPr>
          <w:p w14:paraId="0656F3B8"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50D085FA"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2" w:type="dxa"/>
            <w:shd w:val="clear" w:color="auto" w:fill="auto"/>
            <w:noWrap/>
            <w:vAlign w:val="center"/>
            <w:hideMark/>
          </w:tcPr>
          <w:p w14:paraId="6AB0A122"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2</w:t>
            </w:r>
          </w:p>
        </w:tc>
      </w:tr>
      <w:tr w:rsidR="004B3394" w:rsidRPr="000F1A58" w14:paraId="3B2AC7D2" w14:textId="77777777" w:rsidTr="00FD137A">
        <w:trPr>
          <w:trHeight w:val="292"/>
        </w:trPr>
        <w:tc>
          <w:tcPr>
            <w:tcW w:w="2222" w:type="dxa"/>
            <w:gridSpan w:val="2"/>
            <w:tcBorders>
              <w:top w:val="nil"/>
              <w:left w:val="nil"/>
              <w:bottom w:val="nil"/>
            </w:tcBorders>
            <w:shd w:val="clear" w:color="auto" w:fill="auto"/>
            <w:noWrap/>
            <w:vAlign w:val="bottom"/>
            <w:hideMark/>
          </w:tcPr>
          <w:p w14:paraId="68075A54" w14:textId="77777777" w:rsidR="004B3394" w:rsidRPr="000F1A58" w:rsidRDefault="004B3394" w:rsidP="004B3394">
            <w:pPr>
              <w:spacing w:before="0" w:after="0"/>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Lee et al. (2015)</w:t>
            </w:r>
          </w:p>
        </w:tc>
        <w:tc>
          <w:tcPr>
            <w:tcW w:w="913" w:type="dxa"/>
            <w:shd w:val="clear" w:color="auto" w:fill="auto"/>
            <w:vAlign w:val="center"/>
            <w:hideMark/>
          </w:tcPr>
          <w:p w14:paraId="7D213A7A"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50" w:type="dxa"/>
            <w:shd w:val="clear" w:color="auto" w:fill="auto"/>
            <w:vAlign w:val="center"/>
            <w:hideMark/>
          </w:tcPr>
          <w:p w14:paraId="7ECD6516"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1" w:type="dxa"/>
            <w:shd w:val="clear" w:color="auto" w:fill="auto"/>
            <w:vAlign w:val="center"/>
            <w:hideMark/>
          </w:tcPr>
          <w:p w14:paraId="28ABE61E"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2" w:type="dxa"/>
            <w:shd w:val="clear" w:color="auto" w:fill="auto"/>
            <w:vAlign w:val="center"/>
            <w:hideMark/>
          </w:tcPr>
          <w:p w14:paraId="65A7E0BE"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U*</w:t>
            </w:r>
          </w:p>
        </w:tc>
        <w:tc>
          <w:tcPr>
            <w:tcW w:w="1161" w:type="dxa"/>
            <w:shd w:val="clear" w:color="auto" w:fill="auto"/>
            <w:vAlign w:val="center"/>
            <w:hideMark/>
          </w:tcPr>
          <w:p w14:paraId="7465BCAD"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2" w:type="dxa"/>
            <w:shd w:val="clear" w:color="auto" w:fill="auto"/>
            <w:vAlign w:val="center"/>
            <w:hideMark/>
          </w:tcPr>
          <w:p w14:paraId="7E042903"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1" w:type="dxa"/>
            <w:shd w:val="clear" w:color="auto" w:fill="auto"/>
            <w:vAlign w:val="center"/>
            <w:hideMark/>
          </w:tcPr>
          <w:p w14:paraId="00A65526"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081D4C6E"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6709BF39"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2" w:type="dxa"/>
            <w:shd w:val="clear" w:color="auto" w:fill="auto"/>
            <w:noWrap/>
            <w:vAlign w:val="center"/>
            <w:hideMark/>
          </w:tcPr>
          <w:p w14:paraId="7BF9D9F0"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3</w:t>
            </w:r>
          </w:p>
        </w:tc>
      </w:tr>
      <w:tr w:rsidR="004B3394" w:rsidRPr="000F1A58" w14:paraId="683A821D" w14:textId="77777777" w:rsidTr="00FD137A">
        <w:trPr>
          <w:trHeight w:val="292"/>
        </w:trPr>
        <w:tc>
          <w:tcPr>
            <w:tcW w:w="2222" w:type="dxa"/>
            <w:gridSpan w:val="2"/>
            <w:tcBorders>
              <w:top w:val="nil"/>
              <w:left w:val="nil"/>
              <w:bottom w:val="nil"/>
            </w:tcBorders>
            <w:shd w:val="clear" w:color="auto" w:fill="auto"/>
            <w:noWrap/>
            <w:vAlign w:val="bottom"/>
            <w:hideMark/>
          </w:tcPr>
          <w:p w14:paraId="73409209" w14:textId="77777777" w:rsidR="004B3394" w:rsidRPr="000F1A58" w:rsidRDefault="004B3394" w:rsidP="004B3394">
            <w:pPr>
              <w:spacing w:before="0" w:after="0"/>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Li et al. (2019)</w:t>
            </w:r>
          </w:p>
        </w:tc>
        <w:tc>
          <w:tcPr>
            <w:tcW w:w="913" w:type="dxa"/>
            <w:shd w:val="clear" w:color="auto" w:fill="auto"/>
            <w:vAlign w:val="center"/>
            <w:hideMark/>
          </w:tcPr>
          <w:p w14:paraId="0F2F5FCE"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50" w:type="dxa"/>
            <w:shd w:val="clear" w:color="auto" w:fill="auto"/>
            <w:vAlign w:val="center"/>
            <w:hideMark/>
          </w:tcPr>
          <w:p w14:paraId="277B111E"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374C76FA"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0B7D2ED0"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5C799ACE"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2" w:type="dxa"/>
            <w:shd w:val="clear" w:color="auto" w:fill="auto"/>
            <w:vAlign w:val="center"/>
            <w:hideMark/>
          </w:tcPr>
          <w:p w14:paraId="4034C859"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1" w:type="dxa"/>
            <w:shd w:val="clear" w:color="auto" w:fill="auto"/>
            <w:vAlign w:val="center"/>
            <w:hideMark/>
          </w:tcPr>
          <w:p w14:paraId="43F6CD4E"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6E2F1468"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1F2EC947"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noWrap/>
            <w:vAlign w:val="center"/>
            <w:hideMark/>
          </w:tcPr>
          <w:p w14:paraId="60EC670F"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7</w:t>
            </w:r>
          </w:p>
        </w:tc>
      </w:tr>
      <w:tr w:rsidR="004B3394" w:rsidRPr="000F1A58" w14:paraId="34373C07" w14:textId="77777777" w:rsidTr="00FD137A">
        <w:trPr>
          <w:trHeight w:val="292"/>
        </w:trPr>
        <w:tc>
          <w:tcPr>
            <w:tcW w:w="2222" w:type="dxa"/>
            <w:gridSpan w:val="2"/>
            <w:tcBorders>
              <w:top w:val="nil"/>
              <w:left w:val="nil"/>
              <w:bottom w:val="nil"/>
            </w:tcBorders>
            <w:shd w:val="clear" w:color="auto" w:fill="auto"/>
            <w:noWrap/>
            <w:vAlign w:val="bottom"/>
            <w:hideMark/>
          </w:tcPr>
          <w:p w14:paraId="279E804F" w14:textId="77777777" w:rsidR="004B3394" w:rsidRPr="000F1A58" w:rsidRDefault="004B3394" w:rsidP="004B3394">
            <w:pPr>
              <w:spacing w:before="0" w:after="0"/>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Liu et al. (2016)</w:t>
            </w:r>
          </w:p>
        </w:tc>
        <w:tc>
          <w:tcPr>
            <w:tcW w:w="913" w:type="dxa"/>
            <w:shd w:val="clear" w:color="auto" w:fill="auto"/>
            <w:vAlign w:val="center"/>
            <w:hideMark/>
          </w:tcPr>
          <w:p w14:paraId="06AD0E26"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50" w:type="dxa"/>
            <w:shd w:val="clear" w:color="auto" w:fill="auto"/>
            <w:vAlign w:val="center"/>
            <w:hideMark/>
          </w:tcPr>
          <w:p w14:paraId="38048B2B"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U</w:t>
            </w:r>
          </w:p>
        </w:tc>
        <w:tc>
          <w:tcPr>
            <w:tcW w:w="1161" w:type="dxa"/>
            <w:shd w:val="clear" w:color="auto" w:fill="auto"/>
            <w:vAlign w:val="center"/>
            <w:hideMark/>
          </w:tcPr>
          <w:p w14:paraId="215BAF6A"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U</w:t>
            </w:r>
          </w:p>
        </w:tc>
        <w:tc>
          <w:tcPr>
            <w:tcW w:w="1162" w:type="dxa"/>
            <w:shd w:val="clear" w:color="auto" w:fill="auto"/>
            <w:vAlign w:val="center"/>
            <w:hideMark/>
          </w:tcPr>
          <w:p w14:paraId="5565313A"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261E4EFF"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73C946B4"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0BAA5ED4"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2204B32C"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295A75C1"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2" w:type="dxa"/>
            <w:shd w:val="clear" w:color="auto" w:fill="auto"/>
            <w:noWrap/>
            <w:vAlign w:val="center"/>
            <w:hideMark/>
          </w:tcPr>
          <w:p w14:paraId="0E642DA1"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6</w:t>
            </w:r>
          </w:p>
        </w:tc>
      </w:tr>
      <w:tr w:rsidR="004B3394" w:rsidRPr="000F1A58" w14:paraId="13FCA9FA" w14:textId="77777777" w:rsidTr="00FD137A">
        <w:trPr>
          <w:trHeight w:val="292"/>
        </w:trPr>
        <w:tc>
          <w:tcPr>
            <w:tcW w:w="2222" w:type="dxa"/>
            <w:gridSpan w:val="2"/>
            <w:tcBorders>
              <w:top w:val="nil"/>
              <w:left w:val="nil"/>
              <w:bottom w:val="nil"/>
            </w:tcBorders>
            <w:shd w:val="clear" w:color="auto" w:fill="auto"/>
            <w:noWrap/>
            <w:vAlign w:val="bottom"/>
            <w:hideMark/>
          </w:tcPr>
          <w:p w14:paraId="46069768" w14:textId="77777777" w:rsidR="004B3394" w:rsidRPr="000F1A58" w:rsidRDefault="004B3394" w:rsidP="004B3394">
            <w:pPr>
              <w:spacing w:before="0" w:after="0"/>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Marx et al. (2015)</w:t>
            </w:r>
          </w:p>
        </w:tc>
        <w:tc>
          <w:tcPr>
            <w:tcW w:w="913" w:type="dxa"/>
            <w:shd w:val="clear" w:color="auto" w:fill="auto"/>
            <w:vAlign w:val="center"/>
            <w:hideMark/>
          </w:tcPr>
          <w:p w14:paraId="05EB59D6"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50" w:type="dxa"/>
            <w:shd w:val="clear" w:color="auto" w:fill="auto"/>
            <w:vAlign w:val="center"/>
            <w:hideMark/>
          </w:tcPr>
          <w:p w14:paraId="30E20D2F"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1" w:type="dxa"/>
            <w:shd w:val="clear" w:color="auto" w:fill="auto"/>
            <w:vAlign w:val="center"/>
            <w:hideMark/>
          </w:tcPr>
          <w:p w14:paraId="6B207E84"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58A281DE"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6D5CFB7C"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2328BC16"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6CC44B2A"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41848CC8"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1519BEAF"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noWrap/>
            <w:vAlign w:val="center"/>
            <w:hideMark/>
          </w:tcPr>
          <w:p w14:paraId="17B4F3E1"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8</w:t>
            </w:r>
          </w:p>
        </w:tc>
      </w:tr>
      <w:tr w:rsidR="004B3394" w:rsidRPr="000F1A58" w14:paraId="41E25533" w14:textId="77777777" w:rsidTr="00FD137A">
        <w:trPr>
          <w:trHeight w:val="292"/>
        </w:trPr>
        <w:tc>
          <w:tcPr>
            <w:tcW w:w="2222" w:type="dxa"/>
            <w:gridSpan w:val="2"/>
            <w:tcBorders>
              <w:top w:val="nil"/>
              <w:left w:val="nil"/>
              <w:bottom w:val="nil"/>
            </w:tcBorders>
            <w:shd w:val="clear" w:color="auto" w:fill="auto"/>
            <w:noWrap/>
            <w:vAlign w:val="bottom"/>
            <w:hideMark/>
          </w:tcPr>
          <w:p w14:paraId="5F1187E0" w14:textId="77777777" w:rsidR="004B3394" w:rsidRPr="000F1A58" w:rsidRDefault="004B3394" w:rsidP="004B3394">
            <w:pPr>
              <w:spacing w:before="0" w:after="0"/>
              <w:rPr>
                <w:rFonts w:ascii="Calibri" w:eastAsia="Times New Roman" w:hAnsi="Calibri" w:cs="Calibri"/>
                <w:color w:val="000000"/>
                <w:sz w:val="20"/>
                <w:szCs w:val="20"/>
                <w:lang w:eastAsia="de-DE"/>
              </w:rPr>
            </w:pPr>
            <w:proofErr w:type="spellStart"/>
            <w:r w:rsidRPr="000F1A58">
              <w:rPr>
                <w:rFonts w:ascii="Calibri" w:eastAsia="Times New Roman" w:hAnsi="Calibri" w:cs="Calibri"/>
                <w:color w:val="000000"/>
                <w:sz w:val="20"/>
                <w:szCs w:val="20"/>
                <w:lang w:eastAsia="de-DE"/>
              </w:rPr>
              <w:t>Mihara</w:t>
            </w:r>
            <w:proofErr w:type="spellEnd"/>
            <w:r w:rsidRPr="000F1A58">
              <w:rPr>
                <w:rFonts w:ascii="Calibri" w:eastAsia="Times New Roman" w:hAnsi="Calibri" w:cs="Calibri"/>
                <w:color w:val="000000"/>
                <w:sz w:val="20"/>
                <w:szCs w:val="20"/>
                <w:lang w:eastAsia="de-DE"/>
              </w:rPr>
              <w:t xml:space="preserve"> et al. (2012)</w:t>
            </w:r>
          </w:p>
        </w:tc>
        <w:tc>
          <w:tcPr>
            <w:tcW w:w="913" w:type="dxa"/>
            <w:shd w:val="clear" w:color="auto" w:fill="auto"/>
            <w:vAlign w:val="center"/>
            <w:hideMark/>
          </w:tcPr>
          <w:p w14:paraId="3E969516"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50" w:type="dxa"/>
            <w:shd w:val="clear" w:color="auto" w:fill="auto"/>
            <w:vAlign w:val="center"/>
            <w:hideMark/>
          </w:tcPr>
          <w:p w14:paraId="31E2385F"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4E996403"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6D9E9636"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77F58EA0"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2" w:type="dxa"/>
            <w:shd w:val="clear" w:color="auto" w:fill="auto"/>
            <w:vAlign w:val="center"/>
            <w:hideMark/>
          </w:tcPr>
          <w:p w14:paraId="226D7774"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1" w:type="dxa"/>
            <w:shd w:val="clear" w:color="auto" w:fill="auto"/>
            <w:vAlign w:val="center"/>
            <w:hideMark/>
          </w:tcPr>
          <w:p w14:paraId="5C8C6332"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10C66F00"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279D13D1"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2" w:type="dxa"/>
            <w:shd w:val="clear" w:color="auto" w:fill="auto"/>
            <w:noWrap/>
            <w:vAlign w:val="center"/>
            <w:hideMark/>
          </w:tcPr>
          <w:p w14:paraId="500DF0F9"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6</w:t>
            </w:r>
          </w:p>
        </w:tc>
      </w:tr>
      <w:tr w:rsidR="004B3394" w:rsidRPr="000F1A58" w14:paraId="678E05C7" w14:textId="77777777" w:rsidTr="00FD137A">
        <w:trPr>
          <w:trHeight w:val="292"/>
        </w:trPr>
        <w:tc>
          <w:tcPr>
            <w:tcW w:w="2222" w:type="dxa"/>
            <w:gridSpan w:val="2"/>
            <w:tcBorders>
              <w:top w:val="nil"/>
              <w:left w:val="nil"/>
              <w:bottom w:val="nil"/>
            </w:tcBorders>
            <w:shd w:val="clear" w:color="auto" w:fill="auto"/>
            <w:noWrap/>
            <w:vAlign w:val="bottom"/>
            <w:hideMark/>
          </w:tcPr>
          <w:p w14:paraId="22EB7014" w14:textId="77777777" w:rsidR="004B3394" w:rsidRPr="000F1A58" w:rsidRDefault="004B3394" w:rsidP="004B3394">
            <w:pPr>
              <w:spacing w:before="0" w:after="0"/>
              <w:rPr>
                <w:rFonts w:ascii="Calibri" w:eastAsia="Times New Roman" w:hAnsi="Calibri" w:cs="Calibri"/>
                <w:color w:val="000000"/>
                <w:sz w:val="20"/>
                <w:szCs w:val="20"/>
                <w:lang w:eastAsia="de-DE"/>
              </w:rPr>
            </w:pPr>
            <w:proofErr w:type="spellStart"/>
            <w:r w:rsidRPr="000F1A58">
              <w:rPr>
                <w:rFonts w:ascii="Calibri" w:eastAsia="Times New Roman" w:hAnsi="Calibri" w:cs="Calibri"/>
                <w:color w:val="000000"/>
                <w:sz w:val="20"/>
                <w:szCs w:val="20"/>
                <w:lang w:eastAsia="de-DE"/>
              </w:rPr>
              <w:t>Mihara</w:t>
            </w:r>
            <w:proofErr w:type="spellEnd"/>
            <w:r w:rsidRPr="000F1A58">
              <w:rPr>
                <w:rFonts w:ascii="Calibri" w:eastAsia="Times New Roman" w:hAnsi="Calibri" w:cs="Calibri"/>
                <w:color w:val="000000"/>
                <w:sz w:val="20"/>
                <w:szCs w:val="20"/>
                <w:lang w:eastAsia="de-DE"/>
              </w:rPr>
              <w:t xml:space="preserve"> et al. (2013)</w:t>
            </w:r>
          </w:p>
        </w:tc>
        <w:tc>
          <w:tcPr>
            <w:tcW w:w="913" w:type="dxa"/>
            <w:shd w:val="clear" w:color="auto" w:fill="auto"/>
            <w:vAlign w:val="center"/>
            <w:hideMark/>
          </w:tcPr>
          <w:p w14:paraId="3D376DFB"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50" w:type="dxa"/>
            <w:shd w:val="clear" w:color="auto" w:fill="auto"/>
            <w:vAlign w:val="center"/>
            <w:hideMark/>
          </w:tcPr>
          <w:p w14:paraId="1283114D"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493B65A7"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06B797BB"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4C448F2A"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7D351ADE"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7954A3F7"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3F233B88"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45AFB389"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2" w:type="dxa"/>
            <w:shd w:val="clear" w:color="auto" w:fill="auto"/>
            <w:noWrap/>
            <w:vAlign w:val="center"/>
            <w:hideMark/>
          </w:tcPr>
          <w:p w14:paraId="00877487"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8</w:t>
            </w:r>
          </w:p>
        </w:tc>
      </w:tr>
      <w:tr w:rsidR="004B3394" w:rsidRPr="000F1A58" w14:paraId="034D75BD" w14:textId="77777777" w:rsidTr="00FD137A">
        <w:trPr>
          <w:trHeight w:val="292"/>
        </w:trPr>
        <w:tc>
          <w:tcPr>
            <w:tcW w:w="2222" w:type="dxa"/>
            <w:gridSpan w:val="2"/>
            <w:tcBorders>
              <w:top w:val="nil"/>
              <w:left w:val="nil"/>
              <w:bottom w:val="nil"/>
            </w:tcBorders>
            <w:shd w:val="clear" w:color="auto" w:fill="auto"/>
            <w:noWrap/>
            <w:vAlign w:val="bottom"/>
            <w:hideMark/>
          </w:tcPr>
          <w:p w14:paraId="4E809FF9" w14:textId="6FF1F76A" w:rsidR="004B3394" w:rsidRPr="000F1A58" w:rsidRDefault="00F65BE8" w:rsidP="004B3394">
            <w:pPr>
              <w:spacing w:before="0" w:after="0"/>
              <w:rPr>
                <w:rFonts w:ascii="Calibri" w:eastAsia="Times New Roman" w:hAnsi="Calibri" w:cs="Calibri"/>
                <w:color w:val="000000"/>
                <w:sz w:val="20"/>
                <w:szCs w:val="20"/>
                <w:lang w:eastAsia="de-DE"/>
              </w:rPr>
            </w:pPr>
            <w:r>
              <w:rPr>
                <w:rFonts w:ascii="Calibri" w:eastAsia="Times New Roman" w:hAnsi="Calibri" w:cs="Calibri"/>
                <w:color w:val="000000"/>
                <w:sz w:val="20"/>
                <w:szCs w:val="20"/>
                <w:lang w:eastAsia="de-DE"/>
              </w:rPr>
              <w:t xml:space="preserve">Narita et al. </w:t>
            </w:r>
            <w:r w:rsidR="004B3394" w:rsidRPr="000F1A58">
              <w:rPr>
                <w:rFonts w:ascii="Calibri" w:eastAsia="Times New Roman" w:hAnsi="Calibri" w:cs="Calibri"/>
                <w:color w:val="000000"/>
                <w:sz w:val="20"/>
                <w:szCs w:val="20"/>
                <w:lang w:eastAsia="de-DE"/>
              </w:rPr>
              <w:t>(2015)</w:t>
            </w:r>
          </w:p>
        </w:tc>
        <w:tc>
          <w:tcPr>
            <w:tcW w:w="913" w:type="dxa"/>
            <w:shd w:val="clear" w:color="auto" w:fill="auto"/>
            <w:vAlign w:val="center"/>
            <w:hideMark/>
          </w:tcPr>
          <w:p w14:paraId="3786025A"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50" w:type="dxa"/>
            <w:shd w:val="clear" w:color="auto" w:fill="auto"/>
            <w:vAlign w:val="center"/>
            <w:hideMark/>
          </w:tcPr>
          <w:p w14:paraId="2B1509F1"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1" w:type="dxa"/>
            <w:shd w:val="clear" w:color="auto" w:fill="auto"/>
            <w:vAlign w:val="center"/>
            <w:hideMark/>
          </w:tcPr>
          <w:p w14:paraId="612B34D2"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2" w:type="dxa"/>
            <w:shd w:val="clear" w:color="auto" w:fill="auto"/>
            <w:vAlign w:val="center"/>
            <w:hideMark/>
          </w:tcPr>
          <w:p w14:paraId="51964710"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1" w:type="dxa"/>
            <w:shd w:val="clear" w:color="auto" w:fill="auto"/>
            <w:vAlign w:val="center"/>
            <w:hideMark/>
          </w:tcPr>
          <w:p w14:paraId="0D310470"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2C83E513"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5AF7E012"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2" w:type="dxa"/>
            <w:shd w:val="clear" w:color="auto" w:fill="auto"/>
            <w:vAlign w:val="center"/>
            <w:hideMark/>
          </w:tcPr>
          <w:p w14:paraId="725BE808"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4AE15E69"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2" w:type="dxa"/>
            <w:shd w:val="clear" w:color="auto" w:fill="auto"/>
            <w:noWrap/>
            <w:vAlign w:val="center"/>
            <w:hideMark/>
          </w:tcPr>
          <w:p w14:paraId="42EFC460"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4</w:t>
            </w:r>
          </w:p>
        </w:tc>
      </w:tr>
      <w:tr w:rsidR="004B3394" w:rsidRPr="000F1A58" w14:paraId="33D92C1F" w14:textId="77777777" w:rsidTr="00FD137A">
        <w:trPr>
          <w:trHeight w:val="292"/>
        </w:trPr>
        <w:tc>
          <w:tcPr>
            <w:tcW w:w="2222" w:type="dxa"/>
            <w:gridSpan w:val="2"/>
            <w:tcBorders>
              <w:top w:val="nil"/>
              <w:left w:val="nil"/>
              <w:bottom w:val="nil"/>
            </w:tcBorders>
            <w:shd w:val="clear" w:color="auto" w:fill="auto"/>
            <w:noWrap/>
            <w:vAlign w:val="bottom"/>
            <w:hideMark/>
          </w:tcPr>
          <w:p w14:paraId="4DAA857D" w14:textId="77777777" w:rsidR="004B3394" w:rsidRPr="000F1A58" w:rsidRDefault="004B3394" w:rsidP="004B3394">
            <w:pPr>
              <w:spacing w:before="0" w:after="0"/>
              <w:rPr>
                <w:rFonts w:ascii="Calibri" w:eastAsia="Times New Roman" w:hAnsi="Calibri" w:cs="Calibri"/>
                <w:color w:val="000000"/>
                <w:sz w:val="20"/>
                <w:szCs w:val="20"/>
                <w:lang w:eastAsia="de-DE"/>
              </w:rPr>
            </w:pPr>
            <w:proofErr w:type="spellStart"/>
            <w:r w:rsidRPr="000F1A58">
              <w:rPr>
                <w:rFonts w:ascii="Calibri" w:eastAsia="Times New Roman" w:hAnsi="Calibri" w:cs="Calibri"/>
                <w:color w:val="000000"/>
                <w:sz w:val="20"/>
                <w:szCs w:val="20"/>
                <w:lang w:eastAsia="de-DE"/>
              </w:rPr>
              <w:t>Trambaiolli</w:t>
            </w:r>
            <w:proofErr w:type="spellEnd"/>
            <w:r w:rsidRPr="000F1A58">
              <w:rPr>
                <w:rFonts w:ascii="Calibri" w:eastAsia="Times New Roman" w:hAnsi="Calibri" w:cs="Calibri"/>
                <w:color w:val="000000"/>
                <w:sz w:val="20"/>
                <w:szCs w:val="20"/>
                <w:lang w:eastAsia="de-DE"/>
              </w:rPr>
              <w:t xml:space="preserve"> et al. (2018)</w:t>
            </w:r>
          </w:p>
        </w:tc>
        <w:tc>
          <w:tcPr>
            <w:tcW w:w="913" w:type="dxa"/>
            <w:shd w:val="clear" w:color="auto" w:fill="auto"/>
            <w:vAlign w:val="center"/>
            <w:hideMark/>
          </w:tcPr>
          <w:p w14:paraId="21CFDE3D"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50" w:type="dxa"/>
            <w:shd w:val="clear" w:color="auto" w:fill="auto"/>
            <w:vAlign w:val="center"/>
            <w:hideMark/>
          </w:tcPr>
          <w:p w14:paraId="3E8D7BC3"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54D1CB1E"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0F6A3197"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77FD32B6"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2" w:type="dxa"/>
            <w:shd w:val="clear" w:color="auto" w:fill="auto"/>
            <w:vAlign w:val="center"/>
            <w:hideMark/>
          </w:tcPr>
          <w:p w14:paraId="478F6D8C"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1" w:type="dxa"/>
            <w:shd w:val="clear" w:color="auto" w:fill="auto"/>
            <w:vAlign w:val="center"/>
            <w:hideMark/>
          </w:tcPr>
          <w:p w14:paraId="646A7065"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shd w:val="clear" w:color="auto" w:fill="auto"/>
            <w:vAlign w:val="center"/>
            <w:hideMark/>
          </w:tcPr>
          <w:p w14:paraId="6266B90B"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shd w:val="clear" w:color="auto" w:fill="auto"/>
            <w:vAlign w:val="center"/>
            <w:hideMark/>
          </w:tcPr>
          <w:p w14:paraId="19D5B97C"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2" w:type="dxa"/>
            <w:shd w:val="clear" w:color="auto" w:fill="auto"/>
            <w:noWrap/>
            <w:vAlign w:val="center"/>
            <w:hideMark/>
          </w:tcPr>
          <w:p w14:paraId="37397F66"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6</w:t>
            </w:r>
          </w:p>
        </w:tc>
      </w:tr>
      <w:tr w:rsidR="004B3394" w:rsidRPr="000F1A58" w14:paraId="75BCEF35" w14:textId="77777777" w:rsidTr="00FD137A">
        <w:trPr>
          <w:trHeight w:val="292"/>
        </w:trPr>
        <w:tc>
          <w:tcPr>
            <w:tcW w:w="2222" w:type="dxa"/>
            <w:gridSpan w:val="2"/>
            <w:tcBorders>
              <w:top w:val="nil"/>
              <w:left w:val="nil"/>
              <w:bottom w:val="nil"/>
            </w:tcBorders>
            <w:shd w:val="clear" w:color="auto" w:fill="auto"/>
            <w:noWrap/>
            <w:vAlign w:val="bottom"/>
            <w:hideMark/>
          </w:tcPr>
          <w:p w14:paraId="2D7E605A" w14:textId="77777777" w:rsidR="004B3394" w:rsidRPr="000F1A58" w:rsidRDefault="004B3394" w:rsidP="004B3394">
            <w:pPr>
              <w:spacing w:before="0" w:after="0"/>
              <w:rPr>
                <w:rFonts w:ascii="Calibri" w:eastAsia="Times New Roman" w:hAnsi="Calibri" w:cs="Calibri"/>
                <w:color w:val="000000"/>
                <w:sz w:val="20"/>
                <w:szCs w:val="20"/>
                <w:lang w:eastAsia="de-DE"/>
              </w:rPr>
            </w:pPr>
            <w:proofErr w:type="spellStart"/>
            <w:r w:rsidRPr="000F1A58">
              <w:rPr>
                <w:rFonts w:ascii="Calibri" w:eastAsia="Times New Roman" w:hAnsi="Calibri" w:cs="Calibri"/>
                <w:color w:val="000000"/>
                <w:sz w:val="20"/>
                <w:szCs w:val="20"/>
                <w:lang w:eastAsia="de-DE"/>
              </w:rPr>
              <w:t>Weyand</w:t>
            </w:r>
            <w:proofErr w:type="spellEnd"/>
            <w:r w:rsidRPr="000F1A58">
              <w:rPr>
                <w:rFonts w:ascii="Calibri" w:eastAsia="Times New Roman" w:hAnsi="Calibri" w:cs="Calibri"/>
                <w:color w:val="000000"/>
                <w:sz w:val="20"/>
                <w:szCs w:val="20"/>
                <w:lang w:eastAsia="de-DE"/>
              </w:rPr>
              <w:t xml:space="preserve"> et al. (2015)</w:t>
            </w:r>
          </w:p>
        </w:tc>
        <w:tc>
          <w:tcPr>
            <w:tcW w:w="913" w:type="dxa"/>
            <w:tcBorders>
              <w:bottom w:val="single" w:sz="4" w:space="0" w:color="auto"/>
            </w:tcBorders>
            <w:shd w:val="clear" w:color="auto" w:fill="auto"/>
            <w:vAlign w:val="center"/>
            <w:hideMark/>
          </w:tcPr>
          <w:p w14:paraId="64433449"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50" w:type="dxa"/>
            <w:tcBorders>
              <w:bottom w:val="single" w:sz="4" w:space="0" w:color="auto"/>
            </w:tcBorders>
            <w:shd w:val="clear" w:color="auto" w:fill="auto"/>
            <w:vAlign w:val="center"/>
            <w:hideMark/>
          </w:tcPr>
          <w:p w14:paraId="0139BB53"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1" w:type="dxa"/>
            <w:tcBorders>
              <w:bottom w:val="single" w:sz="4" w:space="0" w:color="auto"/>
            </w:tcBorders>
            <w:shd w:val="clear" w:color="auto" w:fill="auto"/>
            <w:vAlign w:val="center"/>
            <w:hideMark/>
          </w:tcPr>
          <w:p w14:paraId="1ED41AB9"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2" w:type="dxa"/>
            <w:tcBorders>
              <w:bottom w:val="single" w:sz="4" w:space="0" w:color="auto"/>
            </w:tcBorders>
            <w:shd w:val="clear" w:color="auto" w:fill="auto"/>
            <w:vAlign w:val="center"/>
            <w:hideMark/>
          </w:tcPr>
          <w:p w14:paraId="4A11EE32"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1" w:type="dxa"/>
            <w:tcBorders>
              <w:bottom w:val="single" w:sz="4" w:space="0" w:color="auto"/>
            </w:tcBorders>
            <w:shd w:val="clear" w:color="auto" w:fill="auto"/>
            <w:vAlign w:val="center"/>
            <w:hideMark/>
          </w:tcPr>
          <w:p w14:paraId="2CEBC1FB"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2" w:type="dxa"/>
            <w:tcBorders>
              <w:bottom w:val="single" w:sz="4" w:space="0" w:color="auto"/>
            </w:tcBorders>
            <w:shd w:val="clear" w:color="auto" w:fill="auto"/>
            <w:vAlign w:val="center"/>
            <w:hideMark/>
          </w:tcPr>
          <w:p w14:paraId="6B7D72D4"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tcBorders>
              <w:bottom w:val="single" w:sz="4" w:space="0" w:color="auto"/>
            </w:tcBorders>
            <w:shd w:val="clear" w:color="auto" w:fill="auto"/>
            <w:vAlign w:val="center"/>
            <w:hideMark/>
          </w:tcPr>
          <w:p w14:paraId="46AB1525"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N/A</w:t>
            </w:r>
          </w:p>
        </w:tc>
        <w:tc>
          <w:tcPr>
            <w:tcW w:w="1162" w:type="dxa"/>
            <w:tcBorders>
              <w:bottom w:val="single" w:sz="4" w:space="0" w:color="auto"/>
            </w:tcBorders>
            <w:shd w:val="clear" w:color="auto" w:fill="auto"/>
            <w:vAlign w:val="center"/>
            <w:hideMark/>
          </w:tcPr>
          <w:p w14:paraId="2C56F619"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Y</w:t>
            </w:r>
          </w:p>
        </w:tc>
        <w:tc>
          <w:tcPr>
            <w:tcW w:w="1161" w:type="dxa"/>
            <w:tcBorders>
              <w:bottom w:val="single" w:sz="4" w:space="0" w:color="auto"/>
            </w:tcBorders>
            <w:shd w:val="clear" w:color="auto" w:fill="auto"/>
            <w:vAlign w:val="center"/>
            <w:hideMark/>
          </w:tcPr>
          <w:p w14:paraId="1F2BE5C4"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N</w:t>
            </w:r>
          </w:p>
        </w:tc>
        <w:tc>
          <w:tcPr>
            <w:tcW w:w="1162" w:type="dxa"/>
            <w:tcBorders>
              <w:bottom w:val="single" w:sz="4" w:space="0" w:color="auto"/>
            </w:tcBorders>
            <w:shd w:val="clear" w:color="auto" w:fill="auto"/>
            <w:noWrap/>
            <w:vAlign w:val="center"/>
            <w:hideMark/>
          </w:tcPr>
          <w:p w14:paraId="721A4B05"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4</w:t>
            </w:r>
          </w:p>
        </w:tc>
      </w:tr>
      <w:tr w:rsidR="004B3394" w:rsidRPr="000F1A58" w14:paraId="752069CE" w14:textId="77777777" w:rsidTr="00FD137A">
        <w:trPr>
          <w:trHeight w:val="513"/>
        </w:trPr>
        <w:tc>
          <w:tcPr>
            <w:tcW w:w="2222" w:type="dxa"/>
            <w:gridSpan w:val="2"/>
            <w:tcBorders>
              <w:top w:val="single" w:sz="4" w:space="0" w:color="auto"/>
              <w:left w:val="nil"/>
              <w:bottom w:val="single" w:sz="4" w:space="0" w:color="auto"/>
              <w:right w:val="nil"/>
            </w:tcBorders>
            <w:shd w:val="clear" w:color="auto" w:fill="auto"/>
            <w:vAlign w:val="center"/>
            <w:hideMark/>
          </w:tcPr>
          <w:p w14:paraId="6C31AFC6" w14:textId="77777777" w:rsidR="004B3394" w:rsidRPr="000F1A58" w:rsidRDefault="004B3394" w:rsidP="004B3394">
            <w:pPr>
              <w:spacing w:before="0" w:after="0"/>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Total</w:t>
            </w:r>
          </w:p>
        </w:tc>
        <w:tc>
          <w:tcPr>
            <w:tcW w:w="913" w:type="dxa"/>
            <w:tcBorders>
              <w:top w:val="single" w:sz="4" w:space="0" w:color="auto"/>
              <w:left w:val="nil"/>
              <w:bottom w:val="single" w:sz="4" w:space="0" w:color="auto"/>
              <w:right w:val="nil"/>
            </w:tcBorders>
            <w:shd w:val="clear" w:color="auto" w:fill="auto"/>
            <w:vAlign w:val="center"/>
            <w:hideMark/>
          </w:tcPr>
          <w:p w14:paraId="493131F2"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22</w:t>
            </w:r>
          </w:p>
        </w:tc>
        <w:tc>
          <w:tcPr>
            <w:tcW w:w="1150" w:type="dxa"/>
            <w:tcBorders>
              <w:top w:val="single" w:sz="4" w:space="0" w:color="auto"/>
              <w:left w:val="nil"/>
              <w:bottom w:val="single" w:sz="4" w:space="0" w:color="auto"/>
              <w:right w:val="nil"/>
            </w:tcBorders>
            <w:shd w:val="clear" w:color="auto" w:fill="auto"/>
            <w:vAlign w:val="center"/>
            <w:hideMark/>
          </w:tcPr>
          <w:p w14:paraId="7F55E3DB" w14:textId="2EB683A9" w:rsidR="004B3394" w:rsidRPr="000F1A58" w:rsidRDefault="00A97095"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9</w:t>
            </w:r>
          </w:p>
        </w:tc>
        <w:tc>
          <w:tcPr>
            <w:tcW w:w="1161" w:type="dxa"/>
            <w:tcBorders>
              <w:top w:val="single" w:sz="4" w:space="0" w:color="auto"/>
              <w:left w:val="nil"/>
              <w:bottom w:val="single" w:sz="4" w:space="0" w:color="auto"/>
              <w:right w:val="nil"/>
            </w:tcBorders>
            <w:shd w:val="clear" w:color="auto" w:fill="auto"/>
            <w:vAlign w:val="center"/>
            <w:hideMark/>
          </w:tcPr>
          <w:p w14:paraId="1D134BB0"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12</w:t>
            </w:r>
          </w:p>
        </w:tc>
        <w:tc>
          <w:tcPr>
            <w:tcW w:w="1162" w:type="dxa"/>
            <w:tcBorders>
              <w:top w:val="single" w:sz="4" w:space="0" w:color="auto"/>
              <w:left w:val="nil"/>
              <w:bottom w:val="single" w:sz="4" w:space="0" w:color="auto"/>
              <w:right w:val="nil"/>
            </w:tcBorders>
            <w:shd w:val="clear" w:color="auto" w:fill="auto"/>
            <w:vAlign w:val="center"/>
            <w:hideMark/>
          </w:tcPr>
          <w:p w14:paraId="084B4D9F"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13</w:t>
            </w:r>
          </w:p>
        </w:tc>
        <w:tc>
          <w:tcPr>
            <w:tcW w:w="1161" w:type="dxa"/>
            <w:tcBorders>
              <w:top w:val="single" w:sz="4" w:space="0" w:color="auto"/>
              <w:left w:val="nil"/>
              <w:bottom w:val="single" w:sz="4" w:space="0" w:color="auto"/>
              <w:right w:val="nil"/>
            </w:tcBorders>
            <w:shd w:val="clear" w:color="auto" w:fill="auto"/>
            <w:vAlign w:val="center"/>
            <w:hideMark/>
          </w:tcPr>
          <w:p w14:paraId="4BED8675"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14</w:t>
            </w:r>
          </w:p>
        </w:tc>
        <w:tc>
          <w:tcPr>
            <w:tcW w:w="1162" w:type="dxa"/>
            <w:tcBorders>
              <w:top w:val="single" w:sz="4" w:space="0" w:color="auto"/>
              <w:left w:val="nil"/>
              <w:bottom w:val="single" w:sz="4" w:space="0" w:color="auto"/>
              <w:right w:val="nil"/>
            </w:tcBorders>
            <w:shd w:val="clear" w:color="auto" w:fill="auto"/>
            <w:vAlign w:val="center"/>
            <w:hideMark/>
          </w:tcPr>
          <w:p w14:paraId="724C0B18"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12</w:t>
            </w:r>
          </w:p>
        </w:tc>
        <w:tc>
          <w:tcPr>
            <w:tcW w:w="1161" w:type="dxa"/>
            <w:tcBorders>
              <w:top w:val="single" w:sz="4" w:space="0" w:color="auto"/>
              <w:left w:val="nil"/>
              <w:bottom w:val="single" w:sz="4" w:space="0" w:color="auto"/>
              <w:right w:val="nil"/>
            </w:tcBorders>
            <w:shd w:val="clear" w:color="auto" w:fill="auto"/>
            <w:vAlign w:val="center"/>
            <w:hideMark/>
          </w:tcPr>
          <w:p w14:paraId="6A529AB1"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14</w:t>
            </w:r>
          </w:p>
        </w:tc>
        <w:tc>
          <w:tcPr>
            <w:tcW w:w="1162" w:type="dxa"/>
            <w:tcBorders>
              <w:top w:val="single" w:sz="4" w:space="0" w:color="auto"/>
              <w:left w:val="nil"/>
              <w:bottom w:val="single" w:sz="4" w:space="0" w:color="auto"/>
              <w:right w:val="nil"/>
            </w:tcBorders>
            <w:shd w:val="clear" w:color="auto" w:fill="auto"/>
            <w:vAlign w:val="center"/>
            <w:hideMark/>
          </w:tcPr>
          <w:p w14:paraId="7E05659E"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22</w:t>
            </w:r>
          </w:p>
        </w:tc>
        <w:tc>
          <w:tcPr>
            <w:tcW w:w="1161" w:type="dxa"/>
            <w:tcBorders>
              <w:top w:val="single" w:sz="4" w:space="0" w:color="auto"/>
              <w:left w:val="nil"/>
              <w:bottom w:val="single" w:sz="4" w:space="0" w:color="auto"/>
              <w:right w:val="nil"/>
            </w:tcBorders>
            <w:shd w:val="clear" w:color="auto" w:fill="auto"/>
            <w:vAlign w:val="center"/>
            <w:hideMark/>
          </w:tcPr>
          <w:p w14:paraId="30185F20" w14:textId="77777777" w:rsidR="004B3394" w:rsidRPr="000F1A58" w:rsidRDefault="004B3394"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4</w:t>
            </w:r>
          </w:p>
        </w:tc>
        <w:tc>
          <w:tcPr>
            <w:tcW w:w="1162" w:type="dxa"/>
            <w:tcBorders>
              <w:top w:val="single" w:sz="4" w:space="0" w:color="auto"/>
              <w:left w:val="nil"/>
              <w:bottom w:val="single" w:sz="4" w:space="0" w:color="auto"/>
              <w:right w:val="nil"/>
            </w:tcBorders>
            <w:shd w:val="clear" w:color="auto" w:fill="auto"/>
            <w:vAlign w:val="center"/>
            <w:hideMark/>
          </w:tcPr>
          <w:p w14:paraId="32062ADD" w14:textId="67B10DB1" w:rsidR="004B3394" w:rsidRPr="000F1A58" w:rsidRDefault="00A97095"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M = 5.55</w:t>
            </w:r>
            <w:r w:rsidR="004B3394" w:rsidRPr="000F1A58">
              <w:rPr>
                <w:rFonts w:ascii="Calibri" w:eastAsia="Times New Roman" w:hAnsi="Calibri" w:cs="Calibri"/>
                <w:color w:val="000000"/>
                <w:sz w:val="20"/>
                <w:szCs w:val="20"/>
                <w:lang w:eastAsia="de-DE"/>
              </w:rPr>
              <w:t xml:space="preserve"> </w:t>
            </w:r>
          </w:p>
          <w:p w14:paraId="31A72AC4" w14:textId="03B6E178" w:rsidR="004B3394" w:rsidRPr="000F1A58" w:rsidRDefault="00A97095" w:rsidP="004B3394">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SD = 2.15</w:t>
            </w:r>
          </w:p>
        </w:tc>
      </w:tr>
    </w:tbl>
    <w:p w14:paraId="77880469" w14:textId="425AE85B" w:rsidR="004B3394" w:rsidRPr="000F1A58" w:rsidRDefault="004B3394" w:rsidP="004B3394">
      <w:pPr>
        <w:pStyle w:val="Caption"/>
        <w:rPr>
          <w:sz w:val="20"/>
          <w:szCs w:val="20"/>
        </w:rPr>
        <w:sectPr w:rsidR="004B3394" w:rsidRPr="000F1A58" w:rsidSect="00334CFE">
          <w:headerReference w:type="even" r:id="rId16"/>
          <w:headerReference w:type="default" r:id="rId17"/>
          <w:footerReference w:type="even" r:id="rId18"/>
          <w:footerReference w:type="default" r:id="rId19"/>
          <w:headerReference w:type="first" r:id="rId20"/>
          <w:footerReference w:type="first" r:id="rId21"/>
          <w:type w:val="continuous"/>
          <w:pgSz w:w="15840" w:h="12240" w:orient="landscape"/>
          <w:pgMar w:top="1282" w:right="1138" w:bottom="1181" w:left="1138" w:header="283" w:footer="510" w:gutter="0"/>
          <w:cols w:space="720"/>
          <w:titlePg/>
          <w:docGrid w:linePitch="360"/>
        </w:sectPr>
      </w:pPr>
      <w:r w:rsidRPr="000F1A58">
        <w:rPr>
          <w:rFonts w:ascii="Calibri" w:hAnsi="Calibri" w:cs="Calibri"/>
          <w:b w:val="0"/>
          <w:sz w:val="20"/>
          <w:szCs w:val="20"/>
        </w:rPr>
        <w:t xml:space="preserve">Y. Yes; N. No; U. Unclear. N/A. </w:t>
      </w:r>
      <w:r w:rsidR="00E456E9" w:rsidRPr="000F1A58">
        <w:rPr>
          <w:rFonts w:ascii="Calibri" w:hAnsi="Calibri" w:cs="Calibri"/>
          <w:b w:val="0"/>
          <w:sz w:val="20"/>
          <w:szCs w:val="20"/>
        </w:rPr>
        <w:t>N</w:t>
      </w:r>
      <w:r w:rsidRPr="000F1A58">
        <w:rPr>
          <w:rFonts w:ascii="Calibri" w:hAnsi="Calibri" w:cs="Calibri"/>
          <w:b w:val="0"/>
          <w:sz w:val="20"/>
          <w:szCs w:val="20"/>
        </w:rPr>
        <w:t xml:space="preserve">ot </w:t>
      </w:r>
      <w:r w:rsidR="00E456E9" w:rsidRPr="000F1A58">
        <w:rPr>
          <w:rFonts w:ascii="Calibri" w:hAnsi="Calibri" w:cs="Calibri"/>
          <w:b w:val="0"/>
          <w:sz w:val="20"/>
          <w:szCs w:val="20"/>
        </w:rPr>
        <w:t>A</w:t>
      </w:r>
      <w:r w:rsidRPr="000F1A58">
        <w:rPr>
          <w:rFonts w:ascii="Calibri" w:hAnsi="Calibri" w:cs="Calibri"/>
          <w:b w:val="0"/>
          <w:sz w:val="20"/>
          <w:szCs w:val="20"/>
        </w:rPr>
        <w:t xml:space="preserve">pplicable; </w:t>
      </w:r>
      <w:r w:rsidR="00E456E9" w:rsidRPr="000F1A58">
        <w:rPr>
          <w:rFonts w:ascii="Calibri" w:hAnsi="Calibri" w:cs="Calibri"/>
          <w:b w:val="0"/>
          <w:sz w:val="20"/>
          <w:szCs w:val="20"/>
        </w:rPr>
        <w:t>n</w:t>
      </w:r>
      <w:r w:rsidRPr="000F1A58">
        <w:rPr>
          <w:rFonts w:ascii="Calibri" w:hAnsi="Calibri" w:cs="Calibri"/>
          <w:b w:val="0"/>
          <w:sz w:val="20"/>
          <w:szCs w:val="20"/>
        </w:rPr>
        <w:t xml:space="preserve">ote that in some cases we deviated from the JBI manual (see Supplementary Material for details). * </w:t>
      </w:r>
      <w:r w:rsidR="00E456E9" w:rsidRPr="000F1A58">
        <w:rPr>
          <w:rFonts w:ascii="Calibri" w:hAnsi="Calibri" w:cs="Calibri"/>
          <w:b w:val="0"/>
          <w:sz w:val="20"/>
          <w:szCs w:val="20"/>
        </w:rPr>
        <w:t>A</w:t>
      </w:r>
      <w:r w:rsidRPr="000F1A58">
        <w:rPr>
          <w:rFonts w:ascii="Calibri" w:hAnsi="Calibri" w:cs="Calibri"/>
          <w:b w:val="0"/>
          <w:sz w:val="20"/>
          <w:szCs w:val="20"/>
        </w:rPr>
        <w:t>pplied a within</w:t>
      </w:r>
      <w:r w:rsidR="008E6C69" w:rsidRPr="000F1A58">
        <w:rPr>
          <w:rFonts w:ascii="Calibri" w:hAnsi="Calibri" w:cs="Calibri"/>
          <w:b w:val="0"/>
          <w:sz w:val="20"/>
          <w:szCs w:val="20"/>
        </w:rPr>
        <w:t>-</w:t>
      </w:r>
      <w:r w:rsidRPr="000F1A58">
        <w:rPr>
          <w:rFonts w:ascii="Calibri" w:hAnsi="Calibri" w:cs="Calibri"/>
          <w:b w:val="0"/>
          <w:sz w:val="20"/>
          <w:szCs w:val="20"/>
        </w:rPr>
        <w:t>control, but did not randomize order of conditions or did not report randomization</w:t>
      </w:r>
      <w:r w:rsidR="005D6324" w:rsidRPr="000F1A58">
        <w:rPr>
          <w:rFonts w:ascii="Calibri" w:hAnsi="Calibri" w:cs="Calibri"/>
          <w:b w:val="0"/>
          <w:sz w:val="20"/>
          <w:szCs w:val="20"/>
        </w:rPr>
        <w:t>.</w:t>
      </w:r>
    </w:p>
    <w:p w14:paraId="508BBA98" w14:textId="033425DB" w:rsidR="00CD631B" w:rsidRPr="000F1A58" w:rsidRDefault="00CD631B" w:rsidP="004B3394">
      <w:pPr>
        <w:pStyle w:val="Heading1"/>
      </w:pPr>
      <w:r w:rsidRPr="000F1A58">
        <w:lastRenderedPageBreak/>
        <w:t xml:space="preserve">Details </w:t>
      </w:r>
      <w:r w:rsidR="00E456E9" w:rsidRPr="000F1A58">
        <w:t xml:space="preserve">of </w:t>
      </w:r>
      <w:r w:rsidR="0021423F" w:rsidRPr="000F1A58">
        <w:t>CRED-</w:t>
      </w:r>
      <w:proofErr w:type="spellStart"/>
      <w:r w:rsidR="0021423F" w:rsidRPr="000F1A58">
        <w:t>nf</w:t>
      </w:r>
      <w:proofErr w:type="spellEnd"/>
      <w:r w:rsidR="0021423F" w:rsidRPr="000F1A58">
        <w:t xml:space="preserve"> ratings</w:t>
      </w:r>
    </w:p>
    <w:p w14:paraId="5CB8C661" w14:textId="234BDF3D" w:rsidR="00273662" w:rsidRPr="000F1A58" w:rsidRDefault="002E5452" w:rsidP="00273662">
      <w:pPr>
        <w:spacing w:before="240"/>
        <w:outlineLvl w:val="0"/>
      </w:pPr>
      <w:r w:rsidRPr="000F1A58">
        <w:rPr>
          <w:szCs w:val="24"/>
        </w:rPr>
        <w:t xml:space="preserve">To assess </w:t>
      </w:r>
      <w:r w:rsidR="008E6B50" w:rsidRPr="000F1A58">
        <w:rPr>
          <w:szCs w:val="24"/>
        </w:rPr>
        <w:t xml:space="preserve">the </w:t>
      </w:r>
      <w:r w:rsidRPr="000F1A58">
        <w:rPr>
          <w:szCs w:val="24"/>
        </w:rPr>
        <w:t xml:space="preserve">experimental design and reporting quality of the included studies we used the </w:t>
      </w:r>
      <w:r w:rsidRPr="000F1A58">
        <w:rPr>
          <w:rFonts w:eastAsia="Cambria" w:cs="Times New Roman"/>
          <w:szCs w:val="24"/>
        </w:rPr>
        <w:t>CRED-</w:t>
      </w:r>
      <w:proofErr w:type="spellStart"/>
      <w:r w:rsidRPr="000F1A58">
        <w:rPr>
          <w:rFonts w:eastAsia="Cambria" w:cs="Times New Roman"/>
          <w:szCs w:val="24"/>
        </w:rPr>
        <w:t>nf</w:t>
      </w:r>
      <w:proofErr w:type="spellEnd"/>
      <w:r w:rsidRPr="000F1A58">
        <w:rPr>
          <w:rFonts w:eastAsia="Cambria" w:cs="Times New Roman"/>
          <w:szCs w:val="24"/>
        </w:rPr>
        <w:t xml:space="preserve"> checklist </w:t>
      </w:r>
      <w:r w:rsidRPr="000F1A58">
        <w:rPr>
          <w:rFonts w:eastAsia="Cambria" w:cs="Times New Roman"/>
          <w:szCs w:val="24"/>
        </w:rPr>
        <w:fldChar w:fldCharType="begin" w:fldLock="1"/>
      </w:r>
      <w:r w:rsidR="00467EF2">
        <w:rPr>
          <w:rFonts w:eastAsia="Cambria" w:cs="Times New Roman"/>
          <w:szCs w:val="24"/>
        </w:rPr>
        <w:instrText>ADDIN CSL_CITATION {"citationItems":[{"id":"ITEM-1","itemData":{"DOI":"10.1093/brain/awaa009","ISSN":"0006-8950","abstract":"Neurofeedback has begun to attract the attention and scrutiny of the scientific and medical mainstream. Here, neurofeedback researchers present a consensus-derived checklist that aims to improve the reporting and experimental design standards in the field.","author":[{"dropping-particle":"","family":"Ros","given":"Tomas","non-dropping-particle":"","parse-names":false,"suffix":""},{"dropping-particle":"","family":"Enriquez-Geppert","given":"Stefanie","non-dropping-particle":"","parse-names":false,"suffix":""},{"dropping-particle":"","family":"Zotev","given":"Vadim","non-dropping-particle":"","parse-names":false,"suffix":""},{"dropping-particle":"","family":"Young","given":"Kymberly D","non-dropping-particle":"","parse-names":false,"suffix":""},{"dropping-particle":"","family":"Wood","given":"Guilherme","non-dropping-particle":"","parse-names":false,"suffix":""},{"dropping-particle":"","family":"Whitfield-Gabrieli","given":"Susan","non-dropping-particle":"","parse-names":false,"suffix":""},{"dropping-particle":"","family":"Wan","given":"Feng","non-dropping-particle":"","parse-names":false,"suffix":""},{"dropping-particle":"","family":"Vuilleumier","given":"Patrik","non-dropping-particle":"","parse-names":false,"suffix":""},{"dropping-particle":"","family":"Vialatte","given":"François","non-dropping-particle":"","parse-names":false,"suffix":""},{"dropping-particle":"","family":"Ville","given":"Dimitri","non-dropping-particle":"Van De","parse-names":false,"suffix":""},{"dropping-particle":"","family":"Todder","given":"Doron","non-dropping-particle":"","parse-names":false,"suffix":""},{"dropping-particle":"","family":"Surmeli","given":"Tanju","non-dropping-particle":"","parse-names":false,"suffix":""},{"dropping-particle":"","family":"Sulzer","given":"James S","non-dropping-particle":"","parse-names":false,"suffix":""},{"dropping-particle":"","family":"Strehl","given":"Ute","non-dropping-particle":"","parse-names":false,"suffix":""},{"dropping-particle":"","family":"Sterman","given":"Maurice Barry","non-dropping-particle":"","parse-names":false,"suffix":""},{"dropping-particle":"","family":"Steiner","given":"Naomi J","non-dropping-particle":"","parse-names":false,"suffix":""},{"dropping-particle":"","family":"Sorger","given":"Bettina","non-dropping-particle":"","parse-names":false,"suffix":""},{"dropping-particle":"","family":"Soekadar","given":"Surjo R","non-dropping-particle":"","parse-names":false,"suffix":""},{"dropping-particle":"","family":"Sitaram","given":"Ranganatha","non-dropping-particle":"","parse-names":false,"suffix":""},{"dropping-particle":"","family":"Sherlin","given":"Leslie H","non-dropping-particle":"","parse-names":false,"suffix":""},{"dropping-particle":"","family":"Schönenberg","given":"Michael","non-dropping-particle":"","parse-names":false,"suffix":""},{"dropping-particle":"","family":"Scharnowski","given":"Frank","non-dropping-particle":"","parse-names":false,"suffix":""},{"dropping-particle":"","family":"Schabus","given":"Manuel","non-dropping-particle":"","parse-names":false,"suffix":""},{"dropping-particle":"","family":"Rubia","given":"Katya","non-dropping-particle":"","parse-names":false,"suffix":""},{"dropping-particle":"","family":"Rosa","given":"Agostinho","non-dropping-particle":"","parse-names":false,"suffix":""},{"dropping-particle":"","family":"Reiner","given":"Miriam","non-dropping-particle":"","parse-names":false,"suffix":""},{"dropping-particle":"","family":"Pineda","given":"Jaime A","non-dropping-particle":"","parse-names":false,"suffix":""},{"dropping-particle":"","family":"Paret","given":"Christian","non-dropping-particle":"","parse-names":false,"suffix":""},{"dropping-particle":"","family":"Ossadtchi","given":"Alexei","non-dropping-particle":"","parse-names":false,"suffix":""},{"dropping-particle":"","family":"Nicholson","given":"Andrew A","non-dropping-particle":"","parse-names":false,"suffix":""},{"dropping-particle":"","family":"Nan","given":"Wenya","non-dropping-particle":"","parse-names":false,"suffix":""},{"dropping-particle":"","family":"Minguez","given":"Javier","non-dropping-particle":"","parse-names":false,"suffix":""},{"dropping-particle":"","family":"Micoulaud-Franchi","given":"Jean-Arthur","non-dropping-particle":"","parse-names":false,"suffix":""},{"dropping-particle":"","family":"Mehler","given":"David M A","non-dropping-particle":"","parse-names":false,"suffix":""},{"dropping-particle":"","family":"Lührs","given":"Michael","non-dropping-particle":"","parse-names":false,"suffix":""},{"dropping-particle":"","family":"Lubar","given":"Joel","non-dropping-particle":"","parse-names":false,"suffix":""},{"dropping-particle":"","family":"Lotte","given":"Fabien","non-dropping-particle":"","parse-names":false,"suffix":""},{"dropping-particle":"","family":"Linden","given":"David E J","non-dropping-particle":"","parse-names":false,"suffix":""},{"dropping-particle":"","family":"Lewis-Peacock","given":"Jarrod A","non-dropping-particle":"","parse-names":false,"suffix":""},{"dropping-particle":"","family":"Lebedev","given":"Mikhail A","non-dropping-particle":"","parse-names":false,"suffix":""},{"dropping-particle":"","family":"Lanius","given":"Ruth A","non-dropping-particle":"","parse-names":false,"suffix":""},{"dropping-particle":"","family":"Kübler","given":"Andrea","non-dropping-particle":"","parse-names":false,"suffix":""},{"dropping-particle":"","family":"Kranczioch","given":"Cornelia","non-dropping-particle":"","parse-names":false,"suffix":""},{"dropping-particle":"","family":"Koush","given":"Yury","non-dropping-particle":"","parse-names":false,"suffix":""},{"dropping-particle":"","family":"Konicar","given":"Lilian","non-dropping-particle":"","parse-names":false,"suffix":""},{"dropping-particle":"","family":"Kohl","given":"Simon H","non-dropping-particle":"","parse-names":false,"suffix":""},{"dropping-particle":"","family":"Kober","given":"Silivia E","non-dropping-particle":"","parse-names":false,"suffix":""},{"dropping-particle":"","family":"Klados","given":"Manousos A","non-dropping-particle":"","parse-names":false,"suffix":""},{"dropping-particle":"","family":"Jeunet","given":"Camille","non-dropping-particle":"","parse-names":false,"suffix":""},{"dropping-particle":"","family":"Janssen","given":"T W P","non-dropping-particle":"","parse-names":false,"suffix":""},{"dropping-particle":"","family":"Huster","given":"Rene J","non-dropping-particle":"","parse-names":false,"suffix":""},{"dropping-particle":"","family":"Hoedlmoser","given":"Kerstin","non-dropping-particle":"","parse-names":false,"suffix":""},{"dropping-particle":"","family":"Hirshberg","given":"Laurence M","non-dropping-particle":"","parse-names":false,"suffix":""},{"dropping-particle":"","family":"Heunis","given":"Stephan","non-dropping-particle":"","parse-names":false,"suffix":""},{"dropping-particle":"","family":"Hendler","given":"Talma","non-dropping-particle":"","parse-names":false,"suffix":""},{"dropping-particle":"","family":"Hampson","given":"Michelle","non-dropping-particle":"","parse-names":false,"suffix":""},{"dropping-particle":"","family":"Guggisberg","given":"Adrian G","non-dropping-particle":"","parse-names":false,"suffix":""},{"dropping-particle":"","family":"Guggenberger","given":"Robert","non-dropping-particle":"","parse-names":false,"suffix":""},{"dropping-particle":"","family":"Gruzelier","given":"John H","non-dropping-particle":"","parse-names":false,"suffix":""},{"dropping-particle":"","family":"Göbel","given":"Rainer W","non-dropping-particle":"","parse-names":false,"suffix":""},{"dropping-particle":"","family":"Gninenko","given":"Nicolas","non-dropping-particle":"","parse-names":false,"suffix":""},{"dropping-particle":"","family":"Gharabaghi","given":"Alireza","non-dropping-particle":"","parse-names":false,"suffix":""},{"dropping-particle":"","family":"Frewen","given":"Paul","non-dropping-particle":"","parse-names":false,"suffix":""},{"dropping-particle":"","family":"Fovet","given":"Thomas","non-dropping-particle":"","parse-names":false,"suffix":""},{"dropping-particle":"","family":"Fernández","given":"Thalía","non-dropping-particle":"","parse-names":false,"suffix":""},{"dropping-particle":"","family":"Escolano","given":"Carlos","non-dropping-particle":"","parse-names":false,"suffix":""},{"dropping-particle":"","family":"Ehlis","given":"Ann-Christine","non-dropping-particle":"","parse-names":false,"suffix":""},{"dropping-particle":"","family":"Drechsler","given":"Renate","non-dropping-particle":"","parse-names":false,"suffix":""},{"dropping-particle":"","family":"Christopher deCharms","given":"R","non-dropping-particle":"","parse-names":false,"suffix":""},{"dropping-particle":"","family":"Debener","given":"Stefan","non-dropping-particle":"","parse-names":false,"suffix":""},{"dropping-particle":"","family":"Ridder","given":"Dirk","non-dropping-particle":"De","parse-names":false,"suffix":""},{"dropping-particle":"","family":"Davelaar","given":"Eddy J","non-dropping-particle":"","parse-names":false,"suffix":""},{"dropping-particle":"","family":"Congedo","given":"Marco","non-dropping-particle":"","parse-names":false,"suffix":""},{"dropping-particle":"","family":"Cavazza","given":"Marc","non-dropping-particle":"","parse-names":false,"suffix":""},{"dropping-particle":"","family":"Breteler","given":"Marinus H M","non-dropping-particle":"","parse-names":false,"suffix":""},{"dropping-particle":"","family":"Brandeis","given":"Daniel","non-dropping-particle":"","parse-names":false,"suffix":""},{"dropping-particle":"","family":"Bodurka","given":"Jerzy","non-dropping-particle":"","parse-names":false,"suffix":""},{"dropping-particle":"","family":"Birbaumer","given":"Niels","non-dropping-particle":"","parse-names":false,"suffix":""},{"dropping-particle":"","family":"Bazanova","given":"Olga M","non-dropping-particle":"","parse-names":false,"suffix":""},{"dropping-particle":"","family":"Barth","given":"Beatrix","non-dropping-particle":"","parse-names":false,"suffix":""},{"dropping-particle":"","family":"Bamidis","given":"Panagiotis D","non-dropping-particle":"","parse-names":false,"suffix":""},{"dropping-particle":"","family":"Auer","given":"Tibor","non-dropping-particle":"","parse-names":false,"suffix":""},{"dropping-particle":"","family":"Arns","given":"Martijn","non-dropping-particle":"","parse-names":false,"suffix":""},{"dropping-particle":"","family":"Thibault","given":"Robert T","non-dropping-particle":"","parse-names":false,"suffix":""}],"container-title":"Brain","id":"ITEM-1","issued":{"date-parts":[["2020","3","16"]]},"title":"Consensus on the reporting and experimental design of clinical and cognitive-behavioural neurofeedback studies (CRED-nf checklist)","type":"article-journal"},"uris":["http://www.mendeley.com/documents/?uuid=b687f766-a3bd-4506-92c1-a8d1df4d5780"]}],"mendeley":{"formattedCitation":"(Ros et al., 2020)","plainTextFormattedCitation":"(Ros et al., 2020)","previouslyFormattedCitation":"(Ros et al., 2019)"},"properties":{"noteIndex":0},"schema":"https://github.com/citation-style-language/schema/raw/master/csl-citation.json"}</w:instrText>
      </w:r>
      <w:r w:rsidRPr="000F1A58">
        <w:rPr>
          <w:rFonts w:eastAsia="Cambria" w:cs="Times New Roman"/>
          <w:szCs w:val="24"/>
        </w:rPr>
        <w:fldChar w:fldCharType="separate"/>
      </w:r>
      <w:r w:rsidR="00467EF2" w:rsidRPr="00467EF2">
        <w:rPr>
          <w:rFonts w:eastAsia="Cambria" w:cs="Times New Roman"/>
          <w:noProof/>
          <w:szCs w:val="24"/>
        </w:rPr>
        <w:t>(Ros et al., 2020)</w:t>
      </w:r>
      <w:r w:rsidRPr="000F1A58">
        <w:rPr>
          <w:rFonts w:eastAsia="Cambria" w:cs="Times New Roman"/>
          <w:szCs w:val="24"/>
        </w:rPr>
        <w:fldChar w:fldCharType="end"/>
      </w:r>
      <w:r w:rsidRPr="000F1A58">
        <w:rPr>
          <w:rFonts w:eastAsia="Cambria" w:cs="Times New Roman"/>
          <w:szCs w:val="24"/>
        </w:rPr>
        <w:t xml:space="preserve">. </w:t>
      </w:r>
      <w:r w:rsidRPr="000F1A58">
        <w:t xml:space="preserve">Here we further specify the criteria we applied during the ratings. </w:t>
      </w:r>
      <w:r w:rsidR="00273662" w:rsidRPr="000F1A58">
        <w:rPr>
          <w:rFonts w:eastAsia="Cambria" w:cs="Times New Roman"/>
          <w:szCs w:val="24"/>
        </w:rPr>
        <w:t xml:space="preserve">In </w:t>
      </w:r>
      <w:r w:rsidR="00273662" w:rsidRPr="00BD1674">
        <w:rPr>
          <w:rFonts w:eastAsia="Cambria" w:cs="Times New Roman"/>
          <w:szCs w:val="24"/>
        </w:rPr>
        <w:t>some cases</w:t>
      </w:r>
      <w:r w:rsidR="00BD1674">
        <w:rPr>
          <w:rFonts w:eastAsia="Cambria" w:cs="Times New Roman"/>
          <w:szCs w:val="24"/>
        </w:rPr>
        <w:t>,</w:t>
      </w:r>
      <w:r w:rsidR="00273662" w:rsidRPr="00BD1674">
        <w:rPr>
          <w:rFonts w:eastAsia="Cambria" w:cs="Times New Roman"/>
          <w:szCs w:val="24"/>
        </w:rPr>
        <w:t xml:space="preserve"> </w:t>
      </w:r>
      <w:r w:rsidR="00DD246F" w:rsidRPr="000F1A58">
        <w:rPr>
          <w:rFonts w:eastAsia="Cambria" w:cs="Times New Roman"/>
          <w:szCs w:val="24"/>
        </w:rPr>
        <w:t>we deviated from the original CRED-</w:t>
      </w:r>
      <w:proofErr w:type="spellStart"/>
      <w:r w:rsidR="00DD246F" w:rsidRPr="000F1A58">
        <w:rPr>
          <w:rFonts w:eastAsia="Cambria" w:cs="Times New Roman"/>
          <w:szCs w:val="24"/>
        </w:rPr>
        <w:t>nf</w:t>
      </w:r>
      <w:proofErr w:type="spellEnd"/>
      <w:r w:rsidR="00DD246F" w:rsidRPr="000F1A58">
        <w:rPr>
          <w:rFonts w:eastAsia="Cambria" w:cs="Times New Roman"/>
          <w:szCs w:val="24"/>
        </w:rPr>
        <w:t xml:space="preserve"> items and applied more lenient criteria</w:t>
      </w:r>
      <w:r w:rsidR="00F65BE8">
        <w:rPr>
          <w:rFonts w:eastAsia="Cambria" w:cs="Times New Roman"/>
          <w:szCs w:val="24"/>
        </w:rPr>
        <w:t>.</w:t>
      </w:r>
      <w:r w:rsidR="00DD246F" w:rsidRPr="000F1A58">
        <w:rPr>
          <w:rFonts w:eastAsia="Cambria" w:cs="Times New Roman"/>
          <w:szCs w:val="24"/>
        </w:rPr>
        <w:t xml:space="preserve"> </w:t>
      </w:r>
      <w:r w:rsidR="00B04DEB" w:rsidRPr="000F1A58">
        <w:rPr>
          <w:rFonts w:eastAsia="Cambria" w:cs="Times New Roman"/>
          <w:szCs w:val="24"/>
        </w:rPr>
        <w:t>We note that this s</w:t>
      </w:r>
      <w:r w:rsidR="00E35805" w:rsidRPr="000F1A58">
        <w:rPr>
          <w:rFonts w:eastAsia="Cambria" w:cs="Times New Roman"/>
          <w:szCs w:val="24"/>
        </w:rPr>
        <w:t>h</w:t>
      </w:r>
      <w:r w:rsidR="00B04DEB" w:rsidRPr="000F1A58">
        <w:rPr>
          <w:rFonts w:eastAsia="Cambria" w:cs="Times New Roman"/>
          <w:szCs w:val="24"/>
        </w:rPr>
        <w:t>ould be considered in future comparisons applying the CRED-</w:t>
      </w:r>
      <w:proofErr w:type="spellStart"/>
      <w:r w:rsidR="00B04DEB" w:rsidRPr="000F1A58">
        <w:rPr>
          <w:rFonts w:eastAsia="Cambria" w:cs="Times New Roman"/>
          <w:szCs w:val="24"/>
        </w:rPr>
        <w:t>nf</w:t>
      </w:r>
      <w:proofErr w:type="spellEnd"/>
      <w:r w:rsidR="00B04DEB" w:rsidRPr="000F1A58">
        <w:rPr>
          <w:rFonts w:eastAsia="Cambria" w:cs="Times New Roman"/>
          <w:szCs w:val="24"/>
        </w:rPr>
        <w:t xml:space="preserve"> checklist.</w:t>
      </w:r>
    </w:p>
    <w:p w14:paraId="368AFC1B" w14:textId="5773ADAE" w:rsidR="00CD631B" w:rsidRPr="000F1A58" w:rsidRDefault="0021423F" w:rsidP="0021423F">
      <w:pPr>
        <w:spacing w:before="240"/>
        <w:outlineLvl w:val="0"/>
        <w:rPr>
          <w:rFonts w:eastAsia="Cambria" w:cs="Times New Roman"/>
          <w:b/>
          <w:i/>
          <w:szCs w:val="24"/>
        </w:rPr>
      </w:pPr>
      <w:r w:rsidRPr="000F1A58">
        <w:rPr>
          <w:rFonts w:eastAsia="Cambria" w:cs="Times New Roman"/>
          <w:b/>
          <w:i/>
          <w:szCs w:val="24"/>
        </w:rPr>
        <w:t>Item 2b. When leveraging experimental designs where a double-blind is possible, use a double-blind</w:t>
      </w:r>
    </w:p>
    <w:p w14:paraId="0BDAD8EF" w14:textId="51339C06" w:rsidR="00CD631B" w:rsidRPr="000F1A58" w:rsidRDefault="004D1486" w:rsidP="0021423F">
      <w:pPr>
        <w:spacing w:before="240"/>
        <w:outlineLvl w:val="0"/>
        <w:rPr>
          <w:rFonts w:eastAsia="Cambria" w:cs="Times New Roman"/>
          <w:b/>
          <w:szCs w:val="24"/>
        </w:rPr>
      </w:pPr>
      <w:r w:rsidRPr="000F1A58">
        <w:t>W</w:t>
      </w:r>
      <w:r w:rsidR="00910199" w:rsidRPr="000F1A58">
        <w:t xml:space="preserve">e </w:t>
      </w:r>
      <w:r w:rsidR="00023A37" w:rsidRPr="000F1A58">
        <w:t xml:space="preserve">deviated from the original item and each study reporting any information about the blinding procedure was rated “yes”, including also single-blinded studies and studies discussing </w:t>
      </w:r>
      <w:r w:rsidR="008E6B50" w:rsidRPr="000F1A58">
        <w:t xml:space="preserve">the </w:t>
      </w:r>
      <w:r w:rsidR="00023A37" w:rsidRPr="000F1A58">
        <w:t>absence of blinding.</w:t>
      </w:r>
    </w:p>
    <w:p w14:paraId="5F474CB6" w14:textId="31FA59D9" w:rsidR="00910199" w:rsidRPr="000F1A58" w:rsidRDefault="00910199" w:rsidP="0021423F">
      <w:pPr>
        <w:rPr>
          <w:b/>
          <w:i/>
        </w:rPr>
      </w:pPr>
      <w:r w:rsidRPr="000F1A58">
        <w:rPr>
          <w:b/>
          <w:i/>
        </w:rPr>
        <w:t>Item 4b. Report and justify the reinforcement schedule</w:t>
      </w:r>
    </w:p>
    <w:p w14:paraId="6C559865" w14:textId="5AFE464A" w:rsidR="00910199" w:rsidRPr="000F1A58" w:rsidRDefault="00910199" w:rsidP="0021423F">
      <w:r w:rsidRPr="000F1A58">
        <w:t xml:space="preserve">We did not consider justification of the reinforcement schedule necessary, but each study </w:t>
      </w:r>
      <w:r w:rsidR="008E6B50" w:rsidRPr="000F1A58">
        <w:t xml:space="preserve">that </w:t>
      </w:r>
      <w:r w:rsidRPr="000F1A58">
        <w:t xml:space="preserve">at least </w:t>
      </w:r>
      <w:r w:rsidR="008E6B50" w:rsidRPr="000F1A58">
        <w:t xml:space="preserve">reported </w:t>
      </w:r>
      <w:r w:rsidRPr="000F1A58">
        <w:t>feedback threshold criteria was rated “yes” on this item.</w:t>
      </w:r>
    </w:p>
    <w:p w14:paraId="10F73441" w14:textId="7C8040EA" w:rsidR="0021423F" w:rsidRPr="000F1A58" w:rsidRDefault="0021423F" w:rsidP="0021423F">
      <w:pPr>
        <w:rPr>
          <w:b/>
          <w:i/>
        </w:rPr>
      </w:pPr>
      <w:r w:rsidRPr="000F1A58">
        <w:rPr>
          <w:b/>
          <w:i/>
        </w:rPr>
        <w:t>Item 4d</w:t>
      </w:r>
      <w:r w:rsidR="00023A37" w:rsidRPr="000F1A58">
        <w:rPr>
          <w:b/>
          <w:i/>
        </w:rPr>
        <w:t xml:space="preserve">. </w:t>
      </w:r>
      <w:r w:rsidRPr="000F1A58">
        <w:rPr>
          <w:b/>
          <w:i/>
        </w:rPr>
        <w:t>Collect and report all brain activity variable(s) and/or contrasts used for feedback, as displaye</w:t>
      </w:r>
      <w:r w:rsidR="00023A37" w:rsidRPr="000F1A58">
        <w:rPr>
          <w:b/>
          <w:i/>
        </w:rPr>
        <w:t>d to experimental participants</w:t>
      </w:r>
    </w:p>
    <w:p w14:paraId="6950E705" w14:textId="04B2F5E4" w:rsidR="0021423F" w:rsidRPr="000F1A58" w:rsidRDefault="00023A37" w:rsidP="0021423F">
      <w:r w:rsidRPr="000F1A58">
        <w:t>Here we considered reporting of the essential time points (ii) rest blocks and (iii) training blocks</w:t>
      </w:r>
      <w:r w:rsidR="008E6B50" w:rsidRPr="000F1A58">
        <w:t xml:space="preserve"> to be sufficient</w:t>
      </w:r>
      <w:r w:rsidRPr="000F1A58">
        <w:t xml:space="preserve"> if a study reported the contrast for regulation </w:t>
      </w:r>
      <w:r w:rsidRPr="000F1A58">
        <w:rPr>
          <w:i/>
        </w:rPr>
        <w:t>vs.</w:t>
      </w:r>
      <w:r w:rsidRPr="000F1A58">
        <w:t xml:space="preserve"> rest for the channel(s) of interest used for feedback. Reporting or plotting main effects </w:t>
      </w:r>
      <w:r w:rsidR="008E6C69" w:rsidRPr="000F1A58">
        <w:t xml:space="preserve">solely </w:t>
      </w:r>
      <w:r w:rsidRPr="000F1A58">
        <w:t xml:space="preserve">for the conditions </w:t>
      </w:r>
      <w:r w:rsidR="008E6B50" w:rsidRPr="000F1A58">
        <w:t xml:space="preserve">of </w:t>
      </w:r>
      <w:r w:rsidRPr="000F1A58">
        <w:t xml:space="preserve">rest and regulation was not required. </w:t>
      </w:r>
    </w:p>
    <w:p w14:paraId="3CFE979A" w14:textId="7BA9EF4B" w:rsidR="0021423F" w:rsidRPr="000F1A58" w:rsidRDefault="00023A37" w:rsidP="0021423F">
      <w:pPr>
        <w:rPr>
          <w:b/>
          <w:i/>
        </w:rPr>
      </w:pPr>
      <w:r w:rsidRPr="000F1A58">
        <w:rPr>
          <w:b/>
          <w:i/>
        </w:rPr>
        <w:t xml:space="preserve">Item 5b. </w:t>
      </w:r>
      <w:r w:rsidR="0021423F" w:rsidRPr="000F1A58">
        <w:rPr>
          <w:b/>
          <w:i/>
        </w:rPr>
        <w:t xml:space="preserve">Plot within-session and between-session regulation blocks of feedback variable(s), as well as pre-to-post </w:t>
      </w:r>
      <w:r w:rsidRPr="000F1A58">
        <w:rPr>
          <w:b/>
          <w:i/>
        </w:rPr>
        <w:t>resting baselines or contrasts</w:t>
      </w:r>
    </w:p>
    <w:p w14:paraId="5EC89A7F" w14:textId="558D390E" w:rsidR="00CD631B" w:rsidRPr="000F1A58" w:rsidRDefault="008E6B50" w:rsidP="00CD631B">
      <w:r w:rsidRPr="000F1A58">
        <w:t xml:space="preserve">In this case </w:t>
      </w:r>
      <w:r w:rsidR="00023A37" w:rsidRPr="000F1A58">
        <w:t xml:space="preserve">we deviated from the original item, which requires plotting all three effects. Probably related to the novelty of the field, most studies did not apply pre-post resting baselines. In addition, there are several one-session designs that cannot plot any between-session effects. Hence, we rated “yes” if a study plotted time courses on at least one of the two temporal levels </w:t>
      </w:r>
      <w:r w:rsidRPr="000F1A58">
        <w:t xml:space="preserve">of </w:t>
      </w:r>
      <w:r w:rsidR="00023A37" w:rsidRPr="000F1A58">
        <w:t>within- or between-session.</w:t>
      </w:r>
    </w:p>
    <w:p w14:paraId="63F5DBA2" w14:textId="77777777" w:rsidR="00FD137A" w:rsidRPr="000F1A58" w:rsidRDefault="00FD137A" w:rsidP="00FD2AD8">
      <w:pPr>
        <w:pStyle w:val="Caption"/>
        <w:sectPr w:rsidR="00FD137A" w:rsidRPr="000F1A58" w:rsidSect="00334CFE">
          <w:type w:val="continuous"/>
          <w:pgSz w:w="12240" w:h="15840"/>
          <w:pgMar w:top="1138" w:right="1181" w:bottom="1138" w:left="1282" w:header="283" w:footer="510" w:gutter="0"/>
          <w:cols w:space="720"/>
          <w:titlePg/>
          <w:docGrid w:linePitch="360"/>
        </w:sectPr>
      </w:pPr>
    </w:p>
    <w:p w14:paraId="5810EBB7" w14:textId="04466E31" w:rsidR="00FD2AD8" w:rsidRPr="000F1A58" w:rsidRDefault="00FD2AD8" w:rsidP="00FD2AD8">
      <w:pPr>
        <w:pStyle w:val="Caption"/>
      </w:pPr>
      <w:r w:rsidRPr="000F1A58">
        <w:lastRenderedPageBreak/>
        <w:t>Table S2. Reporting and design quality according to the CRED-</w:t>
      </w:r>
      <w:proofErr w:type="spellStart"/>
      <w:r w:rsidRPr="000F1A58">
        <w:t>nf</w:t>
      </w:r>
      <w:proofErr w:type="spellEnd"/>
      <w:r w:rsidRPr="000F1A58">
        <w:t xml:space="preserve"> checklist.</w:t>
      </w:r>
    </w:p>
    <w:tbl>
      <w:tblPr>
        <w:tblW w:w="15251" w:type="dxa"/>
        <w:tblLayout w:type="fixed"/>
        <w:tblCellMar>
          <w:left w:w="70" w:type="dxa"/>
          <w:right w:w="70" w:type="dxa"/>
        </w:tblCellMar>
        <w:tblLook w:val="04A0" w:firstRow="1" w:lastRow="0" w:firstColumn="1" w:lastColumn="0" w:noHBand="0" w:noVBand="1"/>
      </w:tblPr>
      <w:tblGrid>
        <w:gridCol w:w="1536"/>
        <w:gridCol w:w="24"/>
        <w:gridCol w:w="425"/>
        <w:gridCol w:w="758"/>
        <w:gridCol w:w="2360"/>
        <w:gridCol w:w="83"/>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248"/>
        <w:gridCol w:w="94"/>
        <w:gridCol w:w="512"/>
        <w:gridCol w:w="2029"/>
      </w:tblGrid>
      <w:tr w:rsidR="00021F61" w:rsidRPr="000F1A58" w14:paraId="60EE2857" w14:textId="77777777" w:rsidTr="000253B0">
        <w:trPr>
          <w:trHeight w:val="86"/>
        </w:trPr>
        <w:tc>
          <w:tcPr>
            <w:tcW w:w="1536" w:type="dxa"/>
            <w:tcBorders>
              <w:top w:val="nil"/>
              <w:left w:val="nil"/>
              <w:bottom w:val="nil"/>
              <w:right w:val="nil"/>
            </w:tcBorders>
          </w:tcPr>
          <w:p w14:paraId="05B77256" w14:textId="77777777" w:rsidR="00021F61" w:rsidRPr="000F1A58" w:rsidRDefault="00021F61" w:rsidP="00633EF1">
            <w:pPr>
              <w:spacing w:before="0" w:after="0"/>
              <w:rPr>
                <w:sz w:val="14"/>
                <w:szCs w:val="14"/>
              </w:rPr>
            </w:pPr>
          </w:p>
        </w:tc>
        <w:tc>
          <w:tcPr>
            <w:tcW w:w="1207" w:type="dxa"/>
            <w:gridSpan w:val="3"/>
            <w:tcBorders>
              <w:top w:val="nil"/>
              <w:left w:val="nil"/>
              <w:bottom w:val="nil"/>
              <w:right w:val="nil"/>
            </w:tcBorders>
          </w:tcPr>
          <w:p w14:paraId="6F638589" w14:textId="54F63E0E" w:rsidR="00021F61" w:rsidRPr="000F1A58" w:rsidRDefault="00021F61" w:rsidP="00633EF1">
            <w:pPr>
              <w:spacing w:before="0" w:after="0"/>
              <w:rPr>
                <w:sz w:val="14"/>
                <w:szCs w:val="14"/>
              </w:rPr>
            </w:pPr>
          </w:p>
        </w:tc>
        <w:tc>
          <w:tcPr>
            <w:tcW w:w="2360" w:type="dxa"/>
            <w:tcBorders>
              <w:top w:val="nil"/>
              <w:left w:val="nil"/>
              <w:bottom w:val="nil"/>
              <w:right w:val="nil"/>
            </w:tcBorders>
            <w:shd w:val="clear" w:color="auto" w:fill="auto"/>
            <w:noWrap/>
            <w:vAlign w:val="bottom"/>
          </w:tcPr>
          <w:p w14:paraId="1C2FB1E9" w14:textId="1540BB70" w:rsidR="00021F61" w:rsidRPr="000F1A58" w:rsidRDefault="00021F61" w:rsidP="00633EF1">
            <w:pPr>
              <w:spacing w:before="0" w:after="0"/>
              <w:rPr>
                <w:sz w:val="14"/>
                <w:szCs w:val="14"/>
              </w:rPr>
            </w:pPr>
          </w:p>
        </w:tc>
        <w:tc>
          <w:tcPr>
            <w:tcW w:w="7513" w:type="dxa"/>
            <w:gridSpan w:val="23"/>
            <w:tcBorders>
              <w:top w:val="nil"/>
              <w:left w:val="nil"/>
              <w:bottom w:val="single" w:sz="4" w:space="0" w:color="auto"/>
              <w:right w:val="nil"/>
            </w:tcBorders>
            <w:shd w:val="clear" w:color="auto" w:fill="auto"/>
            <w:noWrap/>
            <w:vAlign w:val="bottom"/>
          </w:tcPr>
          <w:p w14:paraId="6CC8F6BB" w14:textId="77777777" w:rsidR="00021F61" w:rsidRPr="000F1A58" w:rsidRDefault="00021F61" w:rsidP="00633EF1">
            <w:pPr>
              <w:spacing w:before="0" w:after="0"/>
              <w:jc w:val="center"/>
              <w:rPr>
                <w:rFonts w:ascii="Calibri" w:eastAsia="Times New Roman" w:hAnsi="Calibri" w:cs="Calibri"/>
                <w:b/>
                <w:sz w:val="16"/>
                <w:szCs w:val="16"/>
                <w:lang w:eastAsia="de-DE"/>
              </w:rPr>
            </w:pPr>
            <w:r w:rsidRPr="000F1A58">
              <w:rPr>
                <w:rFonts w:ascii="Calibri" w:eastAsia="Times New Roman" w:hAnsi="Calibri" w:cs="Calibri"/>
                <w:b/>
                <w:sz w:val="16"/>
                <w:szCs w:val="16"/>
                <w:lang w:eastAsia="de-DE"/>
              </w:rPr>
              <w:t>Study</w:t>
            </w:r>
          </w:p>
        </w:tc>
        <w:tc>
          <w:tcPr>
            <w:tcW w:w="2635" w:type="dxa"/>
            <w:gridSpan w:val="3"/>
            <w:tcBorders>
              <w:top w:val="nil"/>
              <w:left w:val="nil"/>
              <w:bottom w:val="nil"/>
              <w:right w:val="nil"/>
            </w:tcBorders>
            <w:shd w:val="clear" w:color="auto" w:fill="auto"/>
            <w:noWrap/>
            <w:vAlign w:val="bottom"/>
          </w:tcPr>
          <w:p w14:paraId="74AE61E3" w14:textId="77777777" w:rsidR="00021F61" w:rsidRPr="000F1A58" w:rsidRDefault="00021F61" w:rsidP="00633EF1">
            <w:pPr>
              <w:spacing w:before="0" w:after="0"/>
              <w:rPr>
                <w:rFonts w:ascii="Calibri" w:eastAsia="Times New Roman" w:hAnsi="Calibri" w:cs="Calibri"/>
                <w:b/>
                <w:bCs/>
                <w:color w:val="000000"/>
                <w:sz w:val="14"/>
                <w:szCs w:val="14"/>
                <w:lang w:eastAsia="de-DE"/>
              </w:rPr>
            </w:pPr>
          </w:p>
        </w:tc>
      </w:tr>
      <w:tr w:rsidR="00C41B03" w:rsidRPr="000F1A58" w14:paraId="09F2B9E8" w14:textId="77777777" w:rsidTr="00933F63">
        <w:trPr>
          <w:gridAfter w:val="1"/>
          <w:wAfter w:w="2029" w:type="dxa"/>
          <w:trHeight w:val="1775"/>
        </w:trPr>
        <w:tc>
          <w:tcPr>
            <w:tcW w:w="1560" w:type="dxa"/>
            <w:gridSpan w:val="2"/>
            <w:tcBorders>
              <w:top w:val="nil"/>
              <w:left w:val="nil"/>
              <w:bottom w:val="single" w:sz="4" w:space="0" w:color="auto"/>
              <w:right w:val="nil"/>
            </w:tcBorders>
          </w:tcPr>
          <w:p w14:paraId="10827EA6" w14:textId="77777777" w:rsidR="00C41B03" w:rsidRPr="000F1A58" w:rsidRDefault="00C41B03" w:rsidP="00633EF1">
            <w:pPr>
              <w:spacing w:before="0" w:after="0"/>
              <w:rPr>
                <w:rFonts w:ascii="Calibri" w:eastAsia="Times New Roman" w:hAnsi="Calibri" w:cs="Calibri"/>
                <w:b/>
                <w:bCs/>
                <w:color w:val="000000"/>
                <w:sz w:val="16"/>
                <w:szCs w:val="16"/>
                <w:lang w:eastAsia="de-DE"/>
              </w:rPr>
            </w:pPr>
          </w:p>
          <w:p w14:paraId="0358A214" w14:textId="77777777" w:rsidR="00C41B03" w:rsidRPr="000F1A58" w:rsidRDefault="00C41B03" w:rsidP="00633EF1">
            <w:pPr>
              <w:spacing w:before="0" w:after="0"/>
              <w:rPr>
                <w:rFonts w:ascii="Calibri" w:eastAsia="Times New Roman" w:hAnsi="Calibri" w:cs="Calibri"/>
                <w:b/>
                <w:bCs/>
                <w:color w:val="000000"/>
                <w:sz w:val="16"/>
                <w:szCs w:val="16"/>
                <w:lang w:eastAsia="de-DE"/>
              </w:rPr>
            </w:pPr>
          </w:p>
          <w:p w14:paraId="0AFA8C3C" w14:textId="77777777" w:rsidR="00C41B03" w:rsidRPr="000F1A58" w:rsidRDefault="00C41B03" w:rsidP="00633EF1">
            <w:pPr>
              <w:spacing w:before="0" w:after="0"/>
              <w:rPr>
                <w:rFonts w:ascii="Calibri" w:eastAsia="Times New Roman" w:hAnsi="Calibri" w:cs="Calibri"/>
                <w:b/>
                <w:bCs/>
                <w:color w:val="000000"/>
                <w:sz w:val="16"/>
                <w:szCs w:val="16"/>
                <w:lang w:eastAsia="de-DE"/>
              </w:rPr>
            </w:pPr>
          </w:p>
          <w:p w14:paraId="6C4E347E" w14:textId="77777777" w:rsidR="00C41B03" w:rsidRPr="000F1A58" w:rsidRDefault="00C41B03" w:rsidP="00633EF1">
            <w:pPr>
              <w:spacing w:before="0" w:after="0"/>
              <w:rPr>
                <w:rFonts w:ascii="Calibri" w:eastAsia="Times New Roman" w:hAnsi="Calibri" w:cs="Calibri"/>
                <w:b/>
                <w:bCs/>
                <w:color w:val="000000"/>
                <w:sz w:val="16"/>
                <w:szCs w:val="16"/>
                <w:lang w:eastAsia="de-DE"/>
              </w:rPr>
            </w:pPr>
          </w:p>
          <w:p w14:paraId="419FBFD6" w14:textId="77777777" w:rsidR="00C41B03" w:rsidRPr="000F1A58" w:rsidRDefault="00C41B03" w:rsidP="00633EF1">
            <w:pPr>
              <w:spacing w:before="0" w:after="0"/>
              <w:rPr>
                <w:rFonts w:ascii="Calibri" w:eastAsia="Times New Roman" w:hAnsi="Calibri" w:cs="Calibri"/>
                <w:b/>
                <w:bCs/>
                <w:color w:val="000000"/>
                <w:sz w:val="16"/>
                <w:szCs w:val="16"/>
                <w:lang w:eastAsia="de-DE"/>
              </w:rPr>
            </w:pPr>
          </w:p>
          <w:p w14:paraId="4C3304C0" w14:textId="77777777" w:rsidR="00C41B03" w:rsidRPr="000F1A58" w:rsidRDefault="00C41B03" w:rsidP="00633EF1">
            <w:pPr>
              <w:spacing w:before="0" w:after="0"/>
              <w:rPr>
                <w:rFonts w:ascii="Calibri" w:eastAsia="Times New Roman" w:hAnsi="Calibri" w:cs="Calibri"/>
                <w:b/>
                <w:bCs/>
                <w:color w:val="000000"/>
                <w:sz w:val="16"/>
                <w:szCs w:val="16"/>
                <w:lang w:eastAsia="de-DE"/>
              </w:rPr>
            </w:pPr>
          </w:p>
          <w:p w14:paraId="6C9AD8C6" w14:textId="77777777" w:rsidR="00C41B03" w:rsidRPr="000F1A58" w:rsidRDefault="00C41B03" w:rsidP="00633EF1">
            <w:pPr>
              <w:spacing w:before="0" w:after="0"/>
              <w:rPr>
                <w:rFonts w:ascii="Calibri" w:eastAsia="Times New Roman" w:hAnsi="Calibri" w:cs="Calibri"/>
                <w:b/>
                <w:bCs/>
                <w:color w:val="000000"/>
                <w:sz w:val="16"/>
                <w:szCs w:val="16"/>
                <w:lang w:eastAsia="de-DE"/>
              </w:rPr>
            </w:pPr>
          </w:p>
          <w:p w14:paraId="0F15DAF8" w14:textId="77777777" w:rsidR="00C41B03" w:rsidRPr="000F1A58" w:rsidRDefault="00C41B03" w:rsidP="00633EF1">
            <w:pPr>
              <w:spacing w:before="0" w:after="0"/>
              <w:rPr>
                <w:rFonts w:ascii="Calibri" w:eastAsia="Times New Roman" w:hAnsi="Calibri" w:cs="Calibri"/>
                <w:b/>
                <w:bCs/>
                <w:color w:val="000000"/>
                <w:sz w:val="16"/>
                <w:szCs w:val="16"/>
                <w:lang w:eastAsia="de-DE"/>
              </w:rPr>
            </w:pPr>
          </w:p>
          <w:p w14:paraId="7491A7A7" w14:textId="1A3219D6" w:rsidR="00C41B03" w:rsidRPr="000F1A58" w:rsidRDefault="00C41B03" w:rsidP="00633EF1">
            <w:pPr>
              <w:spacing w:before="0" w:after="0"/>
              <w:rPr>
                <w:rFonts w:ascii="Calibri" w:eastAsia="Times New Roman" w:hAnsi="Calibri" w:cs="Calibri"/>
                <w:b/>
                <w:bCs/>
                <w:color w:val="000000"/>
                <w:sz w:val="16"/>
                <w:szCs w:val="16"/>
                <w:lang w:eastAsia="de-DE"/>
              </w:rPr>
            </w:pPr>
            <w:r w:rsidRPr="000F1A58">
              <w:rPr>
                <w:rFonts w:ascii="Calibri" w:eastAsia="Times New Roman" w:hAnsi="Calibri" w:cs="Calibri"/>
                <w:b/>
                <w:bCs/>
                <w:color w:val="000000"/>
                <w:sz w:val="16"/>
                <w:szCs w:val="16"/>
                <w:lang w:eastAsia="de-DE"/>
              </w:rPr>
              <w:t>Domain</w:t>
            </w:r>
          </w:p>
        </w:tc>
        <w:tc>
          <w:tcPr>
            <w:tcW w:w="3626" w:type="dxa"/>
            <w:gridSpan w:val="4"/>
            <w:tcBorders>
              <w:top w:val="nil"/>
              <w:left w:val="nil"/>
              <w:bottom w:val="single" w:sz="4" w:space="0" w:color="auto"/>
              <w:right w:val="nil"/>
            </w:tcBorders>
          </w:tcPr>
          <w:p w14:paraId="1275B470" w14:textId="77777777" w:rsidR="00C41B03" w:rsidRPr="000F1A58" w:rsidRDefault="00C41B03" w:rsidP="00633EF1">
            <w:pPr>
              <w:spacing w:before="0" w:after="0"/>
              <w:rPr>
                <w:rFonts w:ascii="Calibri" w:eastAsia="Times New Roman" w:hAnsi="Calibri" w:cs="Calibri"/>
                <w:b/>
                <w:bCs/>
                <w:color w:val="000000"/>
                <w:sz w:val="16"/>
                <w:szCs w:val="16"/>
                <w:lang w:eastAsia="de-DE"/>
              </w:rPr>
            </w:pPr>
          </w:p>
          <w:p w14:paraId="780359C8" w14:textId="77777777" w:rsidR="00C41B03" w:rsidRPr="000F1A58" w:rsidRDefault="00C41B03" w:rsidP="00633EF1">
            <w:pPr>
              <w:spacing w:before="0" w:after="0"/>
              <w:rPr>
                <w:rFonts w:ascii="Calibri" w:eastAsia="Times New Roman" w:hAnsi="Calibri" w:cs="Calibri"/>
                <w:b/>
                <w:bCs/>
                <w:color w:val="000000"/>
                <w:sz w:val="16"/>
                <w:szCs w:val="16"/>
                <w:lang w:eastAsia="de-DE"/>
              </w:rPr>
            </w:pPr>
          </w:p>
          <w:p w14:paraId="1D597919" w14:textId="77777777" w:rsidR="00C41B03" w:rsidRPr="000F1A58" w:rsidRDefault="00C41B03" w:rsidP="00633EF1">
            <w:pPr>
              <w:spacing w:before="0" w:after="0"/>
              <w:rPr>
                <w:rFonts w:ascii="Calibri" w:eastAsia="Times New Roman" w:hAnsi="Calibri" w:cs="Calibri"/>
                <w:b/>
                <w:bCs/>
                <w:color w:val="000000"/>
                <w:sz w:val="16"/>
                <w:szCs w:val="16"/>
                <w:lang w:eastAsia="de-DE"/>
              </w:rPr>
            </w:pPr>
          </w:p>
          <w:p w14:paraId="7A68721C" w14:textId="77777777" w:rsidR="00C41B03" w:rsidRPr="000F1A58" w:rsidRDefault="00C41B03" w:rsidP="00633EF1">
            <w:pPr>
              <w:spacing w:before="0" w:after="0"/>
              <w:rPr>
                <w:rFonts w:ascii="Calibri" w:eastAsia="Times New Roman" w:hAnsi="Calibri" w:cs="Calibri"/>
                <w:b/>
                <w:bCs/>
                <w:color w:val="000000"/>
                <w:sz w:val="16"/>
                <w:szCs w:val="16"/>
                <w:lang w:eastAsia="de-DE"/>
              </w:rPr>
            </w:pPr>
          </w:p>
          <w:p w14:paraId="50AFAC9C" w14:textId="77777777" w:rsidR="00C41B03" w:rsidRPr="000F1A58" w:rsidRDefault="00C41B03" w:rsidP="00633EF1">
            <w:pPr>
              <w:spacing w:before="0" w:after="0"/>
              <w:rPr>
                <w:rFonts w:ascii="Calibri" w:eastAsia="Times New Roman" w:hAnsi="Calibri" w:cs="Calibri"/>
                <w:b/>
                <w:bCs/>
                <w:color w:val="000000"/>
                <w:sz w:val="16"/>
                <w:szCs w:val="16"/>
                <w:lang w:eastAsia="de-DE"/>
              </w:rPr>
            </w:pPr>
          </w:p>
          <w:p w14:paraId="701540D7" w14:textId="77777777" w:rsidR="00C41B03" w:rsidRPr="000F1A58" w:rsidRDefault="00C41B03" w:rsidP="00633EF1">
            <w:pPr>
              <w:spacing w:before="0" w:after="0"/>
              <w:rPr>
                <w:rFonts w:ascii="Calibri" w:eastAsia="Times New Roman" w:hAnsi="Calibri" w:cs="Calibri"/>
                <w:b/>
                <w:bCs/>
                <w:color w:val="000000"/>
                <w:sz w:val="16"/>
                <w:szCs w:val="16"/>
                <w:lang w:eastAsia="de-DE"/>
              </w:rPr>
            </w:pPr>
          </w:p>
          <w:p w14:paraId="454A67D3" w14:textId="60D007CF" w:rsidR="00C41B03" w:rsidRPr="000F1A58" w:rsidRDefault="00C41B03" w:rsidP="00633EF1">
            <w:pPr>
              <w:spacing w:before="0" w:after="0"/>
              <w:rPr>
                <w:rFonts w:ascii="Calibri" w:eastAsia="Times New Roman" w:hAnsi="Calibri" w:cs="Calibri"/>
                <w:b/>
                <w:bCs/>
                <w:color w:val="000000"/>
                <w:sz w:val="16"/>
                <w:szCs w:val="16"/>
                <w:lang w:eastAsia="de-DE"/>
              </w:rPr>
            </w:pPr>
          </w:p>
          <w:p w14:paraId="081884BC" w14:textId="77777777" w:rsidR="00C41B03" w:rsidRPr="000F1A58" w:rsidRDefault="00C41B03" w:rsidP="00633EF1">
            <w:pPr>
              <w:spacing w:before="0" w:after="0"/>
              <w:rPr>
                <w:rFonts w:ascii="Calibri" w:eastAsia="Times New Roman" w:hAnsi="Calibri" w:cs="Calibri"/>
                <w:b/>
                <w:bCs/>
                <w:color w:val="000000"/>
                <w:sz w:val="16"/>
                <w:szCs w:val="16"/>
                <w:lang w:eastAsia="de-DE"/>
              </w:rPr>
            </w:pPr>
          </w:p>
          <w:p w14:paraId="2B8E7A95" w14:textId="1439CA74" w:rsidR="00C41B03" w:rsidRPr="000F1A58" w:rsidRDefault="00C41B03" w:rsidP="00633EF1">
            <w:pPr>
              <w:spacing w:before="0" w:after="0"/>
              <w:rPr>
                <w:rFonts w:ascii="Calibri" w:eastAsia="Times New Roman" w:hAnsi="Calibri" w:cs="Calibri"/>
                <w:b/>
                <w:bCs/>
                <w:color w:val="000000"/>
                <w:sz w:val="16"/>
                <w:szCs w:val="16"/>
                <w:lang w:eastAsia="de-DE"/>
              </w:rPr>
            </w:pPr>
            <w:r w:rsidRPr="000F1A58">
              <w:rPr>
                <w:rFonts w:ascii="Calibri" w:eastAsia="Times New Roman" w:hAnsi="Calibri" w:cs="Calibri"/>
                <w:b/>
                <w:bCs/>
                <w:color w:val="000000"/>
                <w:sz w:val="16"/>
                <w:szCs w:val="16"/>
                <w:lang w:eastAsia="de-DE"/>
              </w:rPr>
              <w:t>Items</w:t>
            </w:r>
          </w:p>
        </w:tc>
        <w:tc>
          <w:tcPr>
            <w:tcW w:w="342" w:type="dxa"/>
            <w:tcBorders>
              <w:top w:val="single" w:sz="4" w:space="0" w:color="auto"/>
              <w:left w:val="nil"/>
              <w:bottom w:val="single" w:sz="4" w:space="0" w:color="auto"/>
              <w:right w:val="nil"/>
            </w:tcBorders>
            <w:shd w:val="clear" w:color="auto" w:fill="auto"/>
            <w:noWrap/>
            <w:textDirection w:val="btLr"/>
            <w:vAlign w:val="bottom"/>
            <w:hideMark/>
          </w:tcPr>
          <w:p w14:paraId="14016BF7" w14:textId="77777777" w:rsidR="00C41B03" w:rsidRPr="000F1A58" w:rsidRDefault="00C41B03" w:rsidP="00633EF1">
            <w:pPr>
              <w:spacing w:before="0" w:after="0"/>
              <w:rPr>
                <w:rFonts w:ascii="Calibri" w:eastAsia="Times New Roman" w:hAnsi="Calibri" w:cs="Calibri"/>
                <w:sz w:val="16"/>
                <w:szCs w:val="16"/>
                <w:lang w:eastAsia="de-DE"/>
              </w:rPr>
            </w:pPr>
            <w:proofErr w:type="spellStart"/>
            <w:r w:rsidRPr="000F1A58">
              <w:rPr>
                <w:rFonts w:ascii="Calibri" w:eastAsia="Times New Roman" w:hAnsi="Calibri" w:cs="Calibri"/>
                <w:sz w:val="16"/>
                <w:szCs w:val="16"/>
                <w:lang w:eastAsia="de-DE"/>
              </w:rPr>
              <w:t>Aranyi</w:t>
            </w:r>
            <w:proofErr w:type="spellEnd"/>
            <w:r w:rsidRPr="000F1A58">
              <w:rPr>
                <w:rFonts w:ascii="Calibri" w:eastAsia="Times New Roman" w:hAnsi="Calibri" w:cs="Calibri"/>
                <w:sz w:val="16"/>
                <w:szCs w:val="16"/>
                <w:lang w:eastAsia="de-DE"/>
              </w:rPr>
              <w:t xml:space="preserve"> et al. (2016)</w:t>
            </w:r>
          </w:p>
        </w:tc>
        <w:tc>
          <w:tcPr>
            <w:tcW w:w="342" w:type="dxa"/>
            <w:tcBorders>
              <w:top w:val="single" w:sz="4" w:space="0" w:color="auto"/>
              <w:left w:val="nil"/>
              <w:bottom w:val="single" w:sz="4" w:space="0" w:color="auto"/>
              <w:right w:val="nil"/>
            </w:tcBorders>
            <w:shd w:val="clear" w:color="auto" w:fill="auto"/>
            <w:noWrap/>
            <w:textDirection w:val="btLr"/>
            <w:vAlign w:val="bottom"/>
            <w:hideMark/>
          </w:tcPr>
          <w:p w14:paraId="1597A14C" w14:textId="77777777" w:rsidR="00C41B03" w:rsidRPr="000F1A58" w:rsidRDefault="00C41B03" w:rsidP="00633EF1">
            <w:pPr>
              <w:spacing w:before="0" w:after="0"/>
              <w:rPr>
                <w:rFonts w:ascii="Calibri" w:eastAsia="Times New Roman" w:hAnsi="Calibri" w:cs="Calibri"/>
                <w:sz w:val="16"/>
                <w:szCs w:val="16"/>
                <w:lang w:eastAsia="de-DE"/>
              </w:rPr>
            </w:pPr>
            <w:r w:rsidRPr="000F1A58">
              <w:rPr>
                <w:rFonts w:ascii="Calibri" w:eastAsia="Times New Roman" w:hAnsi="Calibri" w:cs="Calibri"/>
                <w:sz w:val="16"/>
                <w:szCs w:val="16"/>
                <w:lang w:eastAsia="de-DE"/>
              </w:rPr>
              <w:t>Barth et al. (2016)</w:t>
            </w:r>
          </w:p>
        </w:tc>
        <w:tc>
          <w:tcPr>
            <w:tcW w:w="342" w:type="dxa"/>
            <w:tcBorders>
              <w:top w:val="single" w:sz="4" w:space="0" w:color="auto"/>
              <w:left w:val="nil"/>
              <w:bottom w:val="single" w:sz="4" w:space="0" w:color="auto"/>
              <w:right w:val="nil"/>
            </w:tcBorders>
            <w:shd w:val="clear" w:color="auto" w:fill="auto"/>
            <w:noWrap/>
            <w:textDirection w:val="btLr"/>
            <w:vAlign w:val="bottom"/>
            <w:hideMark/>
          </w:tcPr>
          <w:p w14:paraId="7513ADC8" w14:textId="77777777" w:rsidR="00C41B03" w:rsidRPr="000F1A58" w:rsidRDefault="00C41B03" w:rsidP="00633EF1">
            <w:pPr>
              <w:spacing w:before="0" w:after="0"/>
              <w:rPr>
                <w:rFonts w:ascii="Calibri" w:eastAsia="Times New Roman" w:hAnsi="Calibri" w:cs="Calibri"/>
                <w:sz w:val="16"/>
                <w:szCs w:val="16"/>
                <w:lang w:eastAsia="de-DE"/>
              </w:rPr>
            </w:pPr>
            <w:r w:rsidRPr="000F1A58">
              <w:rPr>
                <w:rFonts w:ascii="Calibri" w:eastAsia="Times New Roman" w:hAnsi="Calibri" w:cs="Calibri"/>
                <w:sz w:val="16"/>
                <w:szCs w:val="16"/>
                <w:lang w:eastAsia="de-DE"/>
              </w:rPr>
              <w:t>Fujimoto et al. (2017)</w:t>
            </w:r>
          </w:p>
        </w:tc>
        <w:tc>
          <w:tcPr>
            <w:tcW w:w="342" w:type="dxa"/>
            <w:tcBorders>
              <w:top w:val="single" w:sz="4" w:space="0" w:color="auto"/>
              <w:left w:val="nil"/>
              <w:bottom w:val="single" w:sz="4" w:space="0" w:color="auto"/>
              <w:right w:val="nil"/>
            </w:tcBorders>
            <w:shd w:val="clear" w:color="auto" w:fill="auto"/>
            <w:noWrap/>
            <w:textDirection w:val="btLr"/>
            <w:vAlign w:val="bottom"/>
            <w:hideMark/>
          </w:tcPr>
          <w:p w14:paraId="0EFED54F" w14:textId="77777777" w:rsidR="00C41B03" w:rsidRPr="000F1A58" w:rsidRDefault="00C41B03" w:rsidP="00633EF1">
            <w:pPr>
              <w:spacing w:before="0" w:after="0"/>
              <w:rPr>
                <w:rFonts w:ascii="Calibri" w:eastAsia="Times New Roman" w:hAnsi="Calibri" w:cs="Calibri"/>
                <w:sz w:val="16"/>
                <w:szCs w:val="16"/>
                <w:lang w:eastAsia="de-DE"/>
              </w:rPr>
            </w:pPr>
            <w:r w:rsidRPr="000F1A58">
              <w:rPr>
                <w:rFonts w:ascii="Calibri" w:eastAsia="Times New Roman" w:hAnsi="Calibri" w:cs="Calibri"/>
                <w:sz w:val="16"/>
                <w:szCs w:val="16"/>
                <w:lang w:eastAsia="de-DE"/>
              </w:rPr>
              <w:t>Hosseini et al. (2016)</w:t>
            </w:r>
          </w:p>
        </w:tc>
        <w:tc>
          <w:tcPr>
            <w:tcW w:w="342" w:type="dxa"/>
            <w:tcBorders>
              <w:top w:val="single" w:sz="4" w:space="0" w:color="auto"/>
              <w:left w:val="nil"/>
              <w:bottom w:val="single" w:sz="4" w:space="0" w:color="auto"/>
              <w:right w:val="nil"/>
            </w:tcBorders>
            <w:shd w:val="clear" w:color="auto" w:fill="auto"/>
            <w:noWrap/>
            <w:textDirection w:val="btLr"/>
            <w:vAlign w:val="bottom"/>
            <w:hideMark/>
          </w:tcPr>
          <w:p w14:paraId="6149F0B8" w14:textId="77777777" w:rsidR="00C41B03" w:rsidRPr="000F1A58" w:rsidRDefault="00C41B03" w:rsidP="00633EF1">
            <w:pPr>
              <w:spacing w:before="0" w:after="0"/>
              <w:rPr>
                <w:rFonts w:ascii="Calibri" w:eastAsia="Times New Roman" w:hAnsi="Calibri" w:cs="Calibri"/>
                <w:sz w:val="16"/>
                <w:szCs w:val="16"/>
                <w:lang w:eastAsia="de-DE"/>
              </w:rPr>
            </w:pPr>
            <w:r w:rsidRPr="000F1A58">
              <w:rPr>
                <w:rFonts w:ascii="Calibri" w:eastAsia="Times New Roman" w:hAnsi="Calibri" w:cs="Calibri"/>
                <w:sz w:val="16"/>
                <w:szCs w:val="16"/>
                <w:lang w:eastAsia="de-DE"/>
              </w:rPr>
              <w:t>Hudak et al. (2017)</w:t>
            </w:r>
          </w:p>
        </w:tc>
        <w:tc>
          <w:tcPr>
            <w:tcW w:w="342" w:type="dxa"/>
            <w:tcBorders>
              <w:top w:val="single" w:sz="4" w:space="0" w:color="auto"/>
              <w:left w:val="nil"/>
              <w:bottom w:val="single" w:sz="4" w:space="0" w:color="auto"/>
              <w:right w:val="nil"/>
            </w:tcBorders>
            <w:shd w:val="clear" w:color="auto" w:fill="auto"/>
            <w:noWrap/>
            <w:textDirection w:val="btLr"/>
            <w:vAlign w:val="bottom"/>
            <w:hideMark/>
          </w:tcPr>
          <w:p w14:paraId="6CA4A572" w14:textId="77777777" w:rsidR="00C41B03" w:rsidRPr="00467EF2" w:rsidRDefault="00C41B03" w:rsidP="00633EF1">
            <w:pPr>
              <w:spacing w:before="0" w:after="0"/>
              <w:rPr>
                <w:rFonts w:ascii="Calibri" w:eastAsia="Times New Roman" w:hAnsi="Calibri" w:cs="Calibri"/>
                <w:sz w:val="16"/>
                <w:szCs w:val="16"/>
                <w:lang w:eastAsia="de-DE"/>
              </w:rPr>
            </w:pPr>
            <w:r w:rsidRPr="000F1A58">
              <w:rPr>
                <w:rFonts w:ascii="Calibri" w:eastAsia="Times New Roman" w:hAnsi="Calibri" w:cs="Calibri"/>
                <w:sz w:val="16"/>
                <w:szCs w:val="16"/>
                <w:lang w:eastAsia="de-DE"/>
              </w:rPr>
              <w:t>Hudak et a</w:t>
            </w:r>
            <w:r w:rsidRPr="00467EF2">
              <w:rPr>
                <w:rFonts w:ascii="Calibri" w:eastAsia="Times New Roman" w:hAnsi="Calibri" w:cs="Calibri"/>
                <w:sz w:val="16"/>
                <w:szCs w:val="16"/>
                <w:lang w:eastAsia="de-DE"/>
              </w:rPr>
              <w:t>l. (2018)</w:t>
            </w:r>
          </w:p>
        </w:tc>
        <w:tc>
          <w:tcPr>
            <w:tcW w:w="342" w:type="dxa"/>
            <w:tcBorders>
              <w:top w:val="single" w:sz="4" w:space="0" w:color="auto"/>
              <w:left w:val="nil"/>
              <w:bottom w:val="single" w:sz="4" w:space="0" w:color="auto"/>
              <w:right w:val="nil"/>
            </w:tcBorders>
            <w:shd w:val="clear" w:color="auto" w:fill="auto"/>
            <w:noWrap/>
            <w:textDirection w:val="btLr"/>
            <w:vAlign w:val="bottom"/>
            <w:hideMark/>
          </w:tcPr>
          <w:p w14:paraId="036C081E" w14:textId="77777777" w:rsidR="00C41B03" w:rsidRPr="00467EF2" w:rsidRDefault="00C41B03" w:rsidP="00633EF1">
            <w:pPr>
              <w:spacing w:before="0" w:after="0"/>
              <w:rPr>
                <w:rFonts w:ascii="Calibri" w:eastAsia="Times New Roman" w:hAnsi="Calibri" w:cs="Calibri"/>
                <w:sz w:val="16"/>
                <w:szCs w:val="16"/>
                <w:lang w:eastAsia="de-DE"/>
              </w:rPr>
            </w:pPr>
            <w:proofErr w:type="spellStart"/>
            <w:r w:rsidRPr="00467EF2">
              <w:rPr>
                <w:rFonts w:ascii="Calibri" w:eastAsia="Times New Roman" w:hAnsi="Calibri" w:cs="Calibri"/>
                <w:sz w:val="16"/>
                <w:szCs w:val="16"/>
                <w:lang w:eastAsia="de-DE"/>
              </w:rPr>
              <w:t>Kanoh</w:t>
            </w:r>
            <w:proofErr w:type="spellEnd"/>
            <w:r w:rsidRPr="00467EF2">
              <w:rPr>
                <w:rFonts w:ascii="Calibri" w:eastAsia="Times New Roman" w:hAnsi="Calibri" w:cs="Calibri"/>
                <w:sz w:val="16"/>
                <w:szCs w:val="16"/>
                <w:lang w:eastAsia="de-DE"/>
              </w:rPr>
              <w:t xml:space="preserve"> et al. (2011)</w:t>
            </w:r>
          </w:p>
        </w:tc>
        <w:tc>
          <w:tcPr>
            <w:tcW w:w="342" w:type="dxa"/>
            <w:tcBorders>
              <w:top w:val="single" w:sz="4" w:space="0" w:color="auto"/>
              <w:left w:val="nil"/>
              <w:bottom w:val="single" w:sz="4" w:space="0" w:color="auto"/>
              <w:right w:val="nil"/>
            </w:tcBorders>
            <w:shd w:val="clear" w:color="auto" w:fill="auto"/>
            <w:noWrap/>
            <w:textDirection w:val="btLr"/>
            <w:vAlign w:val="bottom"/>
            <w:hideMark/>
          </w:tcPr>
          <w:p w14:paraId="62802A8F" w14:textId="77777777" w:rsidR="00C41B03" w:rsidRPr="00467EF2" w:rsidRDefault="00C41B03" w:rsidP="00633EF1">
            <w:pPr>
              <w:spacing w:before="0" w:after="0"/>
              <w:rPr>
                <w:rFonts w:ascii="Calibri" w:eastAsia="Times New Roman" w:hAnsi="Calibri" w:cs="Calibri"/>
                <w:sz w:val="16"/>
                <w:szCs w:val="16"/>
                <w:lang w:eastAsia="de-DE"/>
              </w:rPr>
            </w:pPr>
            <w:proofErr w:type="spellStart"/>
            <w:r w:rsidRPr="00467EF2">
              <w:rPr>
                <w:rFonts w:ascii="Calibri" w:eastAsia="Times New Roman" w:hAnsi="Calibri" w:cs="Calibri"/>
                <w:sz w:val="16"/>
                <w:szCs w:val="16"/>
                <w:lang w:eastAsia="de-DE"/>
              </w:rPr>
              <w:t>Kimmig</w:t>
            </w:r>
            <w:proofErr w:type="spellEnd"/>
            <w:r w:rsidRPr="00467EF2">
              <w:rPr>
                <w:rFonts w:ascii="Calibri" w:eastAsia="Times New Roman" w:hAnsi="Calibri" w:cs="Calibri"/>
                <w:sz w:val="16"/>
                <w:szCs w:val="16"/>
                <w:lang w:eastAsia="de-DE"/>
              </w:rPr>
              <w:t xml:space="preserve"> et al. (2018)</w:t>
            </w:r>
          </w:p>
        </w:tc>
        <w:tc>
          <w:tcPr>
            <w:tcW w:w="342" w:type="dxa"/>
            <w:tcBorders>
              <w:top w:val="single" w:sz="4" w:space="0" w:color="auto"/>
              <w:left w:val="nil"/>
              <w:bottom w:val="single" w:sz="4" w:space="0" w:color="auto"/>
              <w:right w:val="nil"/>
            </w:tcBorders>
            <w:shd w:val="clear" w:color="auto" w:fill="auto"/>
            <w:noWrap/>
            <w:textDirection w:val="btLr"/>
            <w:vAlign w:val="bottom"/>
            <w:hideMark/>
          </w:tcPr>
          <w:p w14:paraId="69ED8A9C" w14:textId="77777777" w:rsidR="00C41B03" w:rsidRPr="00467EF2" w:rsidRDefault="00C41B03" w:rsidP="00633EF1">
            <w:pPr>
              <w:spacing w:before="0" w:after="0"/>
              <w:rPr>
                <w:rFonts w:ascii="Calibri" w:eastAsia="Times New Roman" w:hAnsi="Calibri" w:cs="Calibri"/>
                <w:sz w:val="16"/>
                <w:szCs w:val="16"/>
                <w:lang w:eastAsia="de-DE"/>
              </w:rPr>
            </w:pPr>
            <w:r w:rsidRPr="00467EF2">
              <w:rPr>
                <w:rFonts w:ascii="Calibri" w:eastAsia="Times New Roman" w:hAnsi="Calibri" w:cs="Calibri"/>
                <w:sz w:val="16"/>
                <w:szCs w:val="16"/>
                <w:lang w:eastAsia="de-DE"/>
              </w:rPr>
              <w:t>Kinoshita et al. (2016)</w:t>
            </w:r>
          </w:p>
        </w:tc>
        <w:tc>
          <w:tcPr>
            <w:tcW w:w="342" w:type="dxa"/>
            <w:tcBorders>
              <w:top w:val="single" w:sz="4" w:space="0" w:color="auto"/>
              <w:left w:val="nil"/>
              <w:bottom w:val="single" w:sz="4" w:space="0" w:color="auto"/>
              <w:right w:val="nil"/>
            </w:tcBorders>
            <w:shd w:val="clear" w:color="auto" w:fill="auto"/>
            <w:noWrap/>
            <w:textDirection w:val="btLr"/>
            <w:vAlign w:val="bottom"/>
            <w:hideMark/>
          </w:tcPr>
          <w:p w14:paraId="58EB7AA2" w14:textId="77777777" w:rsidR="00C41B03" w:rsidRPr="00467EF2" w:rsidRDefault="00C41B03" w:rsidP="00633EF1">
            <w:pPr>
              <w:spacing w:before="0" w:after="0"/>
              <w:rPr>
                <w:rFonts w:ascii="Calibri" w:eastAsia="Times New Roman" w:hAnsi="Calibri" w:cs="Calibri"/>
                <w:sz w:val="16"/>
                <w:szCs w:val="16"/>
                <w:lang w:eastAsia="de-DE"/>
              </w:rPr>
            </w:pPr>
            <w:proofErr w:type="spellStart"/>
            <w:r w:rsidRPr="00467EF2">
              <w:rPr>
                <w:rFonts w:ascii="Calibri" w:eastAsia="Times New Roman" w:hAnsi="Calibri" w:cs="Calibri"/>
                <w:sz w:val="16"/>
                <w:szCs w:val="16"/>
                <w:lang w:eastAsia="de-DE"/>
              </w:rPr>
              <w:t>Kober</w:t>
            </w:r>
            <w:proofErr w:type="spellEnd"/>
            <w:r w:rsidRPr="00467EF2">
              <w:rPr>
                <w:rFonts w:ascii="Calibri" w:eastAsia="Times New Roman" w:hAnsi="Calibri" w:cs="Calibri"/>
                <w:sz w:val="16"/>
                <w:szCs w:val="16"/>
                <w:lang w:eastAsia="de-DE"/>
              </w:rPr>
              <w:t xml:space="preserve"> et al. (2014)</w:t>
            </w:r>
          </w:p>
        </w:tc>
        <w:tc>
          <w:tcPr>
            <w:tcW w:w="342" w:type="dxa"/>
            <w:tcBorders>
              <w:top w:val="single" w:sz="4" w:space="0" w:color="auto"/>
              <w:left w:val="nil"/>
              <w:bottom w:val="single" w:sz="4" w:space="0" w:color="auto"/>
              <w:right w:val="nil"/>
            </w:tcBorders>
            <w:shd w:val="clear" w:color="auto" w:fill="auto"/>
            <w:noWrap/>
            <w:textDirection w:val="btLr"/>
            <w:vAlign w:val="bottom"/>
            <w:hideMark/>
          </w:tcPr>
          <w:p w14:paraId="5CCC6B45" w14:textId="77777777" w:rsidR="00C41B03" w:rsidRPr="00467EF2" w:rsidRDefault="00C41B03" w:rsidP="00633EF1">
            <w:pPr>
              <w:spacing w:before="0" w:after="0"/>
              <w:rPr>
                <w:rFonts w:ascii="Calibri" w:eastAsia="Times New Roman" w:hAnsi="Calibri" w:cs="Calibri"/>
                <w:sz w:val="16"/>
                <w:szCs w:val="16"/>
                <w:lang w:eastAsia="de-DE"/>
              </w:rPr>
            </w:pPr>
            <w:proofErr w:type="spellStart"/>
            <w:r w:rsidRPr="00467EF2">
              <w:rPr>
                <w:rFonts w:ascii="Calibri" w:eastAsia="Times New Roman" w:hAnsi="Calibri" w:cs="Calibri"/>
                <w:sz w:val="16"/>
                <w:szCs w:val="16"/>
                <w:lang w:eastAsia="de-DE"/>
              </w:rPr>
              <w:t>Kober</w:t>
            </w:r>
            <w:proofErr w:type="spellEnd"/>
            <w:r w:rsidRPr="00467EF2">
              <w:rPr>
                <w:rFonts w:ascii="Calibri" w:eastAsia="Times New Roman" w:hAnsi="Calibri" w:cs="Calibri"/>
                <w:sz w:val="16"/>
                <w:szCs w:val="16"/>
                <w:lang w:eastAsia="de-DE"/>
              </w:rPr>
              <w:t xml:space="preserve"> et al. (2015)</w:t>
            </w:r>
          </w:p>
        </w:tc>
        <w:tc>
          <w:tcPr>
            <w:tcW w:w="342" w:type="dxa"/>
            <w:tcBorders>
              <w:top w:val="single" w:sz="4" w:space="0" w:color="auto"/>
              <w:left w:val="nil"/>
              <w:bottom w:val="single" w:sz="4" w:space="0" w:color="auto"/>
              <w:right w:val="nil"/>
            </w:tcBorders>
            <w:shd w:val="clear" w:color="auto" w:fill="auto"/>
            <w:noWrap/>
            <w:textDirection w:val="btLr"/>
            <w:vAlign w:val="bottom"/>
            <w:hideMark/>
          </w:tcPr>
          <w:p w14:paraId="293C2EC7" w14:textId="77777777" w:rsidR="00C41B03" w:rsidRPr="00467EF2" w:rsidRDefault="00C41B03" w:rsidP="00633EF1">
            <w:pPr>
              <w:spacing w:before="0" w:after="0"/>
              <w:rPr>
                <w:rFonts w:ascii="Calibri" w:eastAsia="Times New Roman" w:hAnsi="Calibri" w:cs="Calibri"/>
                <w:sz w:val="16"/>
                <w:szCs w:val="16"/>
                <w:lang w:eastAsia="de-DE"/>
              </w:rPr>
            </w:pPr>
            <w:proofErr w:type="spellStart"/>
            <w:r w:rsidRPr="00467EF2">
              <w:rPr>
                <w:rFonts w:ascii="Calibri" w:eastAsia="Times New Roman" w:hAnsi="Calibri" w:cs="Calibri"/>
                <w:sz w:val="16"/>
                <w:szCs w:val="16"/>
                <w:lang w:eastAsia="de-DE"/>
              </w:rPr>
              <w:t>Kober</w:t>
            </w:r>
            <w:proofErr w:type="spellEnd"/>
            <w:r w:rsidRPr="00467EF2">
              <w:rPr>
                <w:rFonts w:ascii="Calibri" w:eastAsia="Times New Roman" w:hAnsi="Calibri" w:cs="Calibri"/>
                <w:sz w:val="16"/>
                <w:szCs w:val="16"/>
                <w:lang w:eastAsia="de-DE"/>
              </w:rPr>
              <w:t xml:space="preserve"> et al. (2018)</w:t>
            </w:r>
          </w:p>
        </w:tc>
        <w:tc>
          <w:tcPr>
            <w:tcW w:w="342" w:type="dxa"/>
            <w:tcBorders>
              <w:top w:val="single" w:sz="4" w:space="0" w:color="auto"/>
              <w:left w:val="nil"/>
              <w:bottom w:val="single" w:sz="4" w:space="0" w:color="auto"/>
              <w:right w:val="nil"/>
            </w:tcBorders>
            <w:shd w:val="clear" w:color="auto" w:fill="auto"/>
            <w:noWrap/>
            <w:textDirection w:val="btLr"/>
            <w:vAlign w:val="bottom"/>
            <w:hideMark/>
          </w:tcPr>
          <w:p w14:paraId="04DB53AD" w14:textId="77777777" w:rsidR="00C41B03" w:rsidRPr="00467EF2" w:rsidRDefault="00C41B03" w:rsidP="00633EF1">
            <w:pPr>
              <w:spacing w:before="0" w:after="0"/>
              <w:rPr>
                <w:rFonts w:ascii="Calibri" w:eastAsia="Times New Roman" w:hAnsi="Calibri" w:cs="Calibri"/>
                <w:sz w:val="16"/>
                <w:szCs w:val="16"/>
                <w:lang w:eastAsia="de-DE"/>
              </w:rPr>
            </w:pPr>
            <w:proofErr w:type="spellStart"/>
            <w:r w:rsidRPr="00467EF2">
              <w:rPr>
                <w:rFonts w:ascii="Calibri" w:eastAsia="Times New Roman" w:hAnsi="Calibri" w:cs="Calibri"/>
                <w:sz w:val="16"/>
                <w:szCs w:val="16"/>
                <w:lang w:eastAsia="de-DE"/>
              </w:rPr>
              <w:t>Lapborisuth</w:t>
            </w:r>
            <w:proofErr w:type="spellEnd"/>
            <w:r w:rsidRPr="00467EF2">
              <w:rPr>
                <w:rFonts w:ascii="Calibri" w:eastAsia="Times New Roman" w:hAnsi="Calibri" w:cs="Calibri"/>
                <w:sz w:val="16"/>
                <w:szCs w:val="16"/>
                <w:lang w:eastAsia="de-DE"/>
              </w:rPr>
              <w:t xml:space="preserve"> et al. (2017)</w:t>
            </w:r>
          </w:p>
        </w:tc>
        <w:tc>
          <w:tcPr>
            <w:tcW w:w="342" w:type="dxa"/>
            <w:tcBorders>
              <w:top w:val="single" w:sz="4" w:space="0" w:color="auto"/>
              <w:left w:val="nil"/>
              <w:bottom w:val="single" w:sz="4" w:space="0" w:color="auto"/>
              <w:right w:val="nil"/>
            </w:tcBorders>
            <w:shd w:val="clear" w:color="auto" w:fill="auto"/>
            <w:noWrap/>
            <w:textDirection w:val="btLr"/>
            <w:vAlign w:val="bottom"/>
            <w:hideMark/>
          </w:tcPr>
          <w:p w14:paraId="6D25BCFB" w14:textId="77777777" w:rsidR="00C41B03" w:rsidRPr="00467EF2" w:rsidRDefault="00C41B03" w:rsidP="00633EF1">
            <w:pPr>
              <w:spacing w:before="0" w:after="0"/>
              <w:rPr>
                <w:rFonts w:ascii="Calibri" w:eastAsia="Times New Roman" w:hAnsi="Calibri" w:cs="Calibri"/>
                <w:sz w:val="16"/>
                <w:szCs w:val="16"/>
                <w:lang w:eastAsia="de-DE"/>
              </w:rPr>
            </w:pPr>
            <w:r w:rsidRPr="00467EF2">
              <w:rPr>
                <w:rFonts w:ascii="Calibri" w:eastAsia="Times New Roman" w:hAnsi="Calibri" w:cs="Calibri"/>
                <w:sz w:val="16"/>
                <w:szCs w:val="16"/>
                <w:lang w:eastAsia="de-DE"/>
              </w:rPr>
              <w:t>Lee et al. (2015)</w:t>
            </w:r>
          </w:p>
        </w:tc>
        <w:tc>
          <w:tcPr>
            <w:tcW w:w="342" w:type="dxa"/>
            <w:tcBorders>
              <w:top w:val="single" w:sz="4" w:space="0" w:color="auto"/>
              <w:left w:val="nil"/>
              <w:bottom w:val="single" w:sz="4" w:space="0" w:color="auto"/>
              <w:right w:val="nil"/>
            </w:tcBorders>
            <w:shd w:val="clear" w:color="auto" w:fill="auto"/>
            <w:noWrap/>
            <w:textDirection w:val="btLr"/>
            <w:vAlign w:val="bottom"/>
            <w:hideMark/>
          </w:tcPr>
          <w:p w14:paraId="5BCFDEAB" w14:textId="77777777" w:rsidR="00C41B03" w:rsidRPr="00467EF2" w:rsidRDefault="00C41B03" w:rsidP="00633EF1">
            <w:pPr>
              <w:spacing w:before="0" w:after="0"/>
              <w:rPr>
                <w:rFonts w:ascii="Calibri" w:eastAsia="Times New Roman" w:hAnsi="Calibri" w:cs="Calibri"/>
                <w:sz w:val="16"/>
                <w:szCs w:val="16"/>
                <w:lang w:eastAsia="de-DE"/>
              </w:rPr>
            </w:pPr>
            <w:r w:rsidRPr="00467EF2">
              <w:rPr>
                <w:rFonts w:ascii="Calibri" w:eastAsia="Times New Roman" w:hAnsi="Calibri" w:cs="Calibri"/>
                <w:sz w:val="16"/>
                <w:szCs w:val="16"/>
                <w:lang w:eastAsia="de-DE"/>
              </w:rPr>
              <w:t>Li et al. (2019)</w:t>
            </w:r>
          </w:p>
        </w:tc>
        <w:tc>
          <w:tcPr>
            <w:tcW w:w="342" w:type="dxa"/>
            <w:tcBorders>
              <w:top w:val="single" w:sz="4" w:space="0" w:color="auto"/>
              <w:left w:val="nil"/>
              <w:bottom w:val="single" w:sz="4" w:space="0" w:color="auto"/>
              <w:right w:val="nil"/>
            </w:tcBorders>
            <w:shd w:val="clear" w:color="auto" w:fill="auto"/>
            <w:noWrap/>
            <w:textDirection w:val="btLr"/>
            <w:vAlign w:val="bottom"/>
            <w:hideMark/>
          </w:tcPr>
          <w:p w14:paraId="509E3F21" w14:textId="77777777" w:rsidR="00C41B03" w:rsidRPr="00467EF2" w:rsidRDefault="00C41B03" w:rsidP="00633EF1">
            <w:pPr>
              <w:spacing w:before="0" w:after="0"/>
              <w:rPr>
                <w:rFonts w:ascii="Calibri" w:eastAsia="Times New Roman" w:hAnsi="Calibri" w:cs="Calibri"/>
                <w:sz w:val="16"/>
                <w:szCs w:val="16"/>
                <w:lang w:eastAsia="de-DE"/>
              </w:rPr>
            </w:pPr>
            <w:r w:rsidRPr="00467EF2">
              <w:rPr>
                <w:rFonts w:ascii="Calibri" w:eastAsia="Times New Roman" w:hAnsi="Calibri" w:cs="Calibri"/>
                <w:sz w:val="16"/>
                <w:szCs w:val="16"/>
                <w:lang w:eastAsia="de-DE"/>
              </w:rPr>
              <w:t>Liu et al. (2016)</w:t>
            </w:r>
          </w:p>
        </w:tc>
        <w:tc>
          <w:tcPr>
            <w:tcW w:w="342" w:type="dxa"/>
            <w:tcBorders>
              <w:top w:val="single" w:sz="4" w:space="0" w:color="auto"/>
              <w:left w:val="nil"/>
              <w:bottom w:val="single" w:sz="4" w:space="0" w:color="auto"/>
              <w:right w:val="nil"/>
            </w:tcBorders>
            <w:shd w:val="clear" w:color="auto" w:fill="auto"/>
            <w:noWrap/>
            <w:textDirection w:val="btLr"/>
            <w:vAlign w:val="bottom"/>
            <w:hideMark/>
          </w:tcPr>
          <w:p w14:paraId="61E8BC3D" w14:textId="77777777" w:rsidR="00C41B03" w:rsidRPr="00467EF2" w:rsidRDefault="00C41B03" w:rsidP="00633EF1">
            <w:pPr>
              <w:spacing w:before="0" w:after="0"/>
              <w:rPr>
                <w:rFonts w:ascii="Calibri" w:eastAsia="Times New Roman" w:hAnsi="Calibri" w:cs="Calibri"/>
                <w:sz w:val="16"/>
                <w:szCs w:val="16"/>
                <w:lang w:eastAsia="de-DE"/>
              </w:rPr>
            </w:pPr>
            <w:r w:rsidRPr="00467EF2">
              <w:rPr>
                <w:rFonts w:ascii="Calibri" w:eastAsia="Times New Roman" w:hAnsi="Calibri" w:cs="Calibri"/>
                <w:sz w:val="16"/>
                <w:szCs w:val="16"/>
                <w:lang w:eastAsia="de-DE"/>
              </w:rPr>
              <w:t>Marx et al. (2015)</w:t>
            </w:r>
          </w:p>
        </w:tc>
        <w:tc>
          <w:tcPr>
            <w:tcW w:w="342" w:type="dxa"/>
            <w:tcBorders>
              <w:top w:val="single" w:sz="4" w:space="0" w:color="auto"/>
              <w:left w:val="nil"/>
              <w:bottom w:val="single" w:sz="4" w:space="0" w:color="auto"/>
              <w:right w:val="nil"/>
            </w:tcBorders>
            <w:shd w:val="clear" w:color="auto" w:fill="auto"/>
            <w:noWrap/>
            <w:textDirection w:val="btLr"/>
            <w:vAlign w:val="bottom"/>
            <w:hideMark/>
          </w:tcPr>
          <w:p w14:paraId="388A558A" w14:textId="77777777" w:rsidR="00C41B03" w:rsidRPr="00467EF2" w:rsidRDefault="00C41B03" w:rsidP="00633EF1">
            <w:pPr>
              <w:spacing w:before="0" w:after="0"/>
              <w:rPr>
                <w:rFonts w:ascii="Calibri" w:eastAsia="Times New Roman" w:hAnsi="Calibri" w:cs="Calibri"/>
                <w:sz w:val="16"/>
                <w:szCs w:val="16"/>
                <w:lang w:eastAsia="de-DE"/>
              </w:rPr>
            </w:pPr>
            <w:proofErr w:type="spellStart"/>
            <w:r w:rsidRPr="00467EF2">
              <w:rPr>
                <w:rFonts w:ascii="Calibri" w:eastAsia="Times New Roman" w:hAnsi="Calibri" w:cs="Calibri"/>
                <w:sz w:val="16"/>
                <w:szCs w:val="16"/>
                <w:lang w:eastAsia="de-DE"/>
              </w:rPr>
              <w:t>Mihara</w:t>
            </w:r>
            <w:proofErr w:type="spellEnd"/>
            <w:r w:rsidRPr="00467EF2">
              <w:rPr>
                <w:rFonts w:ascii="Calibri" w:eastAsia="Times New Roman" w:hAnsi="Calibri" w:cs="Calibri"/>
                <w:sz w:val="16"/>
                <w:szCs w:val="16"/>
                <w:lang w:eastAsia="de-DE"/>
              </w:rPr>
              <w:t xml:space="preserve"> et al. (2012)</w:t>
            </w:r>
          </w:p>
        </w:tc>
        <w:tc>
          <w:tcPr>
            <w:tcW w:w="342" w:type="dxa"/>
            <w:tcBorders>
              <w:top w:val="single" w:sz="4" w:space="0" w:color="auto"/>
              <w:left w:val="nil"/>
              <w:bottom w:val="single" w:sz="4" w:space="0" w:color="auto"/>
              <w:right w:val="nil"/>
            </w:tcBorders>
            <w:shd w:val="clear" w:color="auto" w:fill="auto"/>
            <w:noWrap/>
            <w:textDirection w:val="btLr"/>
            <w:vAlign w:val="bottom"/>
            <w:hideMark/>
          </w:tcPr>
          <w:p w14:paraId="2E005FC2" w14:textId="77777777" w:rsidR="00C41B03" w:rsidRPr="00467EF2" w:rsidRDefault="00C41B03" w:rsidP="00633EF1">
            <w:pPr>
              <w:spacing w:before="0" w:after="0"/>
              <w:rPr>
                <w:rFonts w:ascii="Calibri" w:eastAsia="Times New Roman" w:hAnsi="Calibri" w:cs="Calibri"/>
                <w:sz w:val="16"/>
                <w:szCs w:val="16"/>
                <w:lang w:eastAsia="de-DE"/>
              </w:rPr>
            </w:pPr>
            <w:proofErr w:type="spellStart"/>
            <w:r w:rsidRPr="00467EF2">
              <w:rPr>
                <w:rFonts w:ascii="Calibri" w:eastAsia="Times New Roman" w:hAnsi="Calibri" w:cs="Calibri"/>
                <w:sz w:val="16"/>
                <w:szCs w:val="16"/>
                <w:lang w:eastAsia="de-DE"/>
              </w:rPr>
              <w:t>Mihara</w:t>
            </w:r>
            <w:proofErr w:type="spellEnd"/>
            <w:r w:rsidRPr="00467EF2">
              <w:rPr>
                <w:rFonts w:ascii="Calibri" w:eastAsia="Times New Roman" w:hAnsi="Calibri" w:cs="Calibri"/>
                <w:sz w:val="16"/>
                <w:szCs w:val="16"/>
                <w:lang w:eastAsia="de-DE"/>
              </w:rPr>
              <w:t xml:space="preserve"> et al. (2013)</w:t>
            </w:r>
          </w:p>
        </w:tc>
        <w:tc>
          <w:tcPr>
            <w:tcW w:w="342" w:type="dxa"/>
            <w:tcBorders>
              <w:top w:val="single" w:sz="4" w:space="0" w:color="auto"/>
              <w:left w:val="nil"/>
              <w:bottom w:val="single" w:sz="4" w:space="0" w:color="auto"/>
              <w:right w:val="nil"/>
            </w:tcBorders>
            <w:shd w:val="clear" w:color="auto" w:fill="auto"/>
            <w:noWrap/>
            <w:textDirection w:val="btLr"/>
            <w:vAlign w:val="bottom"/>
            <w:hideMark/>
          </w:tcPr>
          <w:p w14:paraId="5F665A09" w14:textId="08F2DD9E" w:rsidR="00C41B03" w:rsidRPr="00467EF2" w:rsidRDefault="00C41B03" w:rsidP="00F65BE8">
            <w:pPr>
              <w:spacing w:before="0" w:after="0"/>
              <w:rPr>
                <w:rFonts w:ascii="Calibri" w:eastAsia="Times New Roman" w:hAnsi="Calibri" w:cs="Calibri"/>
                <w:sz w:val="16"/>
                <w:szCs w:val="16"/>
                <w:lang w:eastAsia="de-DE"/>
              </w:rPr>
            </w:pPr>
            <w:r w:rsidRPr="00467EF2">
              <w:rPr>
                <w:rFonts w:ascii="Calibri" w:eastAsia="Times New Roman" w:hAnsi="Calibri" w:cs="Calibri"/>
                <w:sz w:val="16"/>
                <w:szCs w:val="16"/>
                <w:lang w:eastAsia="de-DE"/>
              </w:rPr>
              <w:t>Narita et al. (2015)</w:t>
            </w:r>
          </w:p>
        </w:tc>
        <w:tc>
          <w:tcPr>
            <w:tcW w:w="342" w:type="dxa"/>
            <w:tcBorders>
              <w:top w:val="single" w:sz="4" w:space="0" w:color="auto"/>
              <w:left w:val="nil"/>
              <w:bottom w:val="single" w:sz="4" w:space="0" w:color="auto"/>
              <w:right w:val="nil"/>
            </w:tcBorders>
            <w:shd w:val="clear" w:color="auto" w:fill="auto"/>
            <w:noWrap/>
            <w:textDirection w:val="btLr"/>
            <w:vAlign w:val="bottom"/>
            <w:hideMark/>
          </w:tcPr>
          <w:p w14:paraId="7498ECD3" w14:textId="77777777" w:rsidR="00C41B03" w:rsidRPr="00467EF2" w:rsidRDefault="00C41B03" w:rsidP="00633EF1">
            <w:pPr>
              <w:spacing w:before="0" w:after="0"/>
              <w:rPr>
                <w:rFonts w:ascii="Calibri" w:eastAsia="Times New Roman" w:hAnsi="Calibri" w:cs="Calibri"/>
                <w:sz w:val="16"/>
                <w:szCs w:val="16"/>
                <w:lang w:eastAsia="de-DE"/>
              </w:rPr>
            </w:pPr>
            <w:proofErr w:type="spellStart"/>
            <w:r w:rsidRPr="00467EF2">
              <w:rPr>
                <w:rFonts w:ascii="Calibri" w:eastAsia="Times New Roman" w:hAnsi="Calibri" w:cs="Calibri"/>
                <w:sz w:val="16"/>
                <w:szCs w:val="16"/>
                <w:lang w:eastAsia="de-DE"/>
              </w:rPr>
              <w:t>Trambaiolli</w:t>
            </w:r>
            <w:proofErr w:type="spellEnd"/>
            <w:r w:rsidRPr="00467EF2">
              <w:rPr>
                <w:rFonts w:ascii="Calibri" w:eastAsia="Times New Roman" w:hAnsi="Calibri" w:cs="Calibri"/>
                <w:sz w:val="16"/>
                <w:szCs w:val="16"/>
                <w:lang w:eastAsia="de-DE"/>
              </w:rPr>
              <w:t xml:space="preserve"> et al. (2018)</w:t>
            </w:r>
          </w:p>
        </w:tc>
        <w:tc>
          <w:tcPr>
            <w:tcW w:w="342" w:type="dxa"/>
            <w:gridSpan w:val="2"/>
            <w:tcBorders>
              <w:top w:val="single" w:sz="4" w:space="0" w:color="auto"/>
              <w:left w:val="nil"/>
              <w:bottom w:val="single" w:sz="4" w:space="0" w:color="auto"/>
              <w:right w:val="nil"/>
            </w:tcBorders>
            <w:shd w:val="clear" w:color="auto" w:fill="auto"/>
            <w:noWrap/>
            <w:textDirection w:val="btLr"/>
            <w:vAlign w:val="bottom"/>
            <w:hideMark/>
          </w:tcPr>
          <w:p w14:paraId="29C24786" w14:textId="77777777" w:rsidR="00C41B03" w:rsidRPr="00467EF2" w:rsidRDefault="00C41B03" w:rsidP="00633EF1">
            <w:pPr>
              <w:spacing w:before="0" w:after="0"/>
              <w:rPr>
                <w:rFonts w:ascii="Calibri" w:eastAsia="Times New Roman" w:hAnsi="Calibri" w:cs="Calibri"/>
                <w:sz w:val="16"/>
                <w:szCs w:val="16"/>
                <w:lang w:eastAsia="de-DE"/>
              </w:rPr>
            </w:pPr>
            <w:proofErr w:type="spellStart"/>
            <w:r w:rsidRPr="00467EF2">
              <w:rPr>
                <w:rFonts w:ascii="Calibri" w:eastAsia="Times New Roman" w:hAnsi="Calibri" w:cs="Calibri"/>
                <w:sz w:val="16"/>
                <w:szCs w:val="16"/>
                <w:lang w:eastAsia="de-DE"/>
              </w:rPr>
              <w:t>Weyand</w:t>
            </w:r>
            <w:proofErr w:type="spellEnd"/>
            <w:r w:rsidRPr="00467EF2">
              <w:rPr>
                <w:rFonts w:ascii="Calibri" w:eastAsia="Times New Roman" w:hAnsi="Calibri" w:cs="Calibri"/>
                <w:sz w:val="16"/>
                <w:szCs w:val="16"/>
                <w:lang w:eastAsia="de-DE"/>
              </w:rPr>
              <w:t xml:space="preserve"> et al. (2015)</w:t>
            </w:r>
          </w:p>
        </w:tc>
        <w:tc>
          <w:tcPr>
            <w:tcW w:w="512" w:type="dxa"/>
            <w:tcBorders>
              <w:top w:val="nil"/>
              <w:left w:val="nil"/>
              <w:bottom w:val="single" w:sz="4" w:space="0" w:color="auto"/>
              <w:right w:val="nil"/>
            </w:tcBorders>
            <w:shd w:val="clear" w:color="auto" w:fill="auto"/>
            <w:noWrap/>
            <w:vAlign w:val="bottom"/>
            <w:hideMark/>
          </w:tcPr>
          <w:p w14:paraId="1D3EB6AD" w14:textId="77777777" w:rsidR="00C41B03" w:rsidRPr="00467EF2" w:rsidRDefault="00C41B03" w:rsidP="00633EF1">
            <w:pPr>
              <w:spacing w:before="0" w:after="0"/>
              <w:rPr>
                <w:rFonts w:ascii="Calibri" w:eastAsia="Times New Roman" w:hAnsi="Calibri" w:cs="Calibri"/>
                <w:b/>
                <w:bCs/>
                <w:color w:val="000000"/>
                <w:sz w:val="16"/>
                <w:szCs w:val="16"/>
                <w:lang w:eastAsia="de-DE"/>
              </w:rPr>
            </w:pPr>
            <w:r w:rsidRPr="00467EF2">
              <w:rPr>
                <w:rFonts w:ascii="Calibri" w:eastAsia="Times New Roman" w:hAnsi="Calibri" w:cs="Calibri"/>
                <w:b/>
                <w:bCs/>
                <w:color w:val="000000"/>
                <w:sz w:val="16"/>
                <w:szCs w:val="16"/>
                <w:lang w:eastAsia="de-DE"/>
              </w:rPr>
              <w:t>Total</w:t>
            </w:r>
          </w:p>
        </w:tc>
      </w:tr>
      <w:tr w:rsidR="00021F61" w:rsidRPr="000F1A58" w14:paraId="1BC3CA9D" w14:textId="77777777" w:rsidTr="00021F61">
        <w:trPr>
          <w:gridAfter w:val="1"/>
          <w:wAfter w:w="2029" w:type="dxa"/>
          <w:trHeight w:val="20"/>
        </w:trPr>
        <w:tc>
          <w:tcPr>
            <w:tcW w:w="1560" w:type="dxa"/>
            <w:gridSpan w:val="2"/>
            <w:tcBorders>
              <w:top w:val="single" w:sz="4" w:space="0" w:color="auto"/>
              <w:left w:val="nil"/>
              <w:bottom w:val="nil"/>
              <w:right w:val="nil"/>
            </w:tcBorders>
            <w:shd w:val="clear" w:color="auto" w:fill="auto"/>
            <w:noWrap/>
          </w:tcPr>
          <w:p w14:paraId="3FD2AF74" w14:textId="30DBAAF1" w:rsidR="00021F61" w:rsidRPr="00467EF2" w:rsidRDefault="00021F61" w:rsidP="00021F61">
            <w:pPr>
              <w:spacing w:before="0" w:after="0"/>
              <w:rPr>
                <w:rFonts w:ascii="Calibri" w:eastAsia="Times New Roman" w:hAnsi="Calibri" w:cs="Calibri"/>
                <w:b/>
                <w:bCs/>
                <w:color w:val="000000"/>
                <w:sz w:val="16"/>
                <w:szCs w:val="16"/>
                <w:lang w:eastAsia="de-DE"/>
              </w:rPr>
            </w:pPr>
            <w:r w:rsidRPr="00467EF2">
              <w:rPr>
                <w:rFonts w:ascii="Calibri" w:eastAsia="Times New Roman" w:hAnsi="Calibri" w:cs="Calibri"/>
                <w:b/>
                <w:color w:val="000000"/>
                <w:sz w:val="16"/>
                <w:szCs w:val="16"/>
                <w:lang w:eastAsia="de-DE"/>
              </w:rPr>
              <w:t>Pre-experiment</w:t>
            </w:r>
          </w:p>
        </w:tc>
        <w:tc>
          <w:tcPr>
            <w:tcW w:w="425" w:type="dxa"/>
            <w:tcBorders>
              <w:top w:val="single" w:sz="4" w:space="0" w:color="auto"/>
              <w:left w:val="nil"/>
              <w:right w:val="nil"/>
            </w:tcBorders>
            <w:shd w:val="clear" w:color="auto" w:fill="D9D9D9" w:themeFill="background1" w:themeFillShade="D9"/>
            <w:vAlign w:val="bottom"/>
          </w:tcPr>
          <w:p w14:paraId="35381B78" w14:textId="30B2C9DC"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bCs/>
                <w:color w:val="000000"/>
                <w:sz w:val="16"/>
                <w:szCs w:val="16"/>
                <w:lang w:eastAsia="de-DE"/>
              </w:rPr>
              <w:t>1a</w:t>
            </w:r>
          </w:p>
        </w:tc>
        <w:tc>
          <w:tcPr>
            <w:tcW w:w="3201" w:type="dxa"/>
            <w:gridSpan w:val="3"/>
            <w:tcBorders>
              <w:top w:val="single" w:sz="4" w:space="0" w:color="auto"/>
              <w:left w:val="nil"/>
              <w:bottom w:val="nil"/>
              <w:right w:val="nil"/>
            </w:tcBorders>
            <w:shd w:val="clear" w:color="auto" w:fill="D9D9D9" w:themeFill="background1" w:themeFillShade="D9"/>
            <w:noWrap/>
            <w:vAlign w:val="bottom"/>
            <w:hideMark/>
          </w:tcPr>
          <w:p w14:paraId="10A1DB7F" w14:textId="40843899"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Preregistration</w:t>
            </w:r>
          </w:p>
        </w:tc>
        <w:tc>
          <w:tcPr>
            <w:tcW w:w="342" w:type="dxa"/>
            <w:tcBorders>
              <w:top w:val="single" w:sz="4" w:space="0" w:color="auto"/>
              <w:left w:val="nil"/>
              <w:bottom w:val="nil"/>
              <w:right w:val="nil"/>
            </w:tcBorders>
            <w:shd w:val="clear" w:color="auto" w:fill="auto"/>
            <w:noWrap/>
            <w:vAlign w:val="bottom"/>
            <w:hideMark/>
          </w:tcPr>
          <w:p w14:paraId="2C6E4F4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1EE372B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16B3B05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0681C53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3B788CC0"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1ABC888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4DCF6B2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294EA085"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4870D0A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2B0080D0"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4D5A7A9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231EA4B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69A1C57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7E22316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00CE83A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0D9D76E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6CE788E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097D185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1F1ADBC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646E40E6"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74BCAF10"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gridSpan w:val="2"/>
            <w:tcBorders>
              <w:top w:val="single" w:sz="4" w:space="0" w:color="auto"/>
              <w:left w:val="nil"/>
              <w:bottom w:val="nil"/>
              <w:right w:val="nil"/>
            </w:tcBorders>
            <w:shd w:val="clear" w:color="auto" w:fill="auto"/>
            <w:noWrap/>
            <w:vAlign w:val="bottom"/>
            <w:hideMark/>
          </w:tcPr>
          <w:p w14:paraId="0594EE2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512" w:type="dxa"/>
            <w:tcBorders>
              <w:top w:val="single" w:sz="4" w:space="0" w:color="auto"/>
              <w:left w:val="nil"/>
              <w:bottom w:val="nil"/>
              <w:right w:val="nil"/>
            </w:tcBorders>
            <w:shd w:val="clear" w:color="auto" w:fill="auto"/>
            <w:noWrap/>
            <w:vAlign w:val="bottom"/>
            <w:hideMark/>
          </w:tcPr>
          <w:p w14:paraId="3D811307" w14:textId="5926641E" w:rsidR="00021F61" w:rsidRPr="00467EF2" w:rsidRDefault="00021F61" w:rsidP="00021F61">
            <w:pPr>
              <w:spacing w:before="0" w:after="0"/>
              <w:jc w:val="right"/>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r>
      <w:tr w:rsidR="00021F61" w:rsidRPr="000F1A58" w14:paraId="5529BE46" w14:textId="77777777" w:rsidTr="00021F61">
        <w:trPr>
          <w:gridAfter w:val="1"/>
          <w:wAfter w:w="2029" w:type="dxa"/>
          <w:trHeight w:val="20"/>
        </w:trPr>
        <w:tc>
          <w:tcPr>
            <w:tcW w:w="1560" w:type="dxa"/>
            <w:gridSpan w:val="2"/>
            <w:tcBorders>
              <w:top w:val="nil"/>
              <w:left w:val="nil"/>
              <w:bottom w:val="single" w:sz="4" w:space="0" w:color="auto"/>
              <w:right w:val="nil"/>
            </w:tcBorders>
            <w:shd w:val="clear" w:color="auto" w:fill="auto"/>
            <w:noWrap/>
          </w:tcPr>
          <w:p w14:paraId="41409F0F" w14:textId="3524A04C" w:rsidR="00021F61" w:rsidRPr="00467EF2" w:rsidRDefault="00021F61" w:rsidP="00021F61">
            <w:pPr>
              <w:spacing w:before="0" w:after="0"/>
              <w:rPr>
                <w:rFonts w:ascii="Calibri" w:eastAsia="Times New Roman" w:hAnsi="Calibri" w:cs="Calibri"/>
                <w:b/>
                <w:bCs/>
                <w:color w:val="000000"/>
                <w:sz w:val="16"/>
                <w:szCs w:val="16"/>
                <w:lang w:eastAsia="de-DE"/>
              </w:rPr>
            </w:pPr>
          </w:p>
        </w:tc>
        <w:tc>
          <w:tcPr>
            <w:tcW w:w="425" w:type="dxa"/>
            <w:tcBorders>
              <w:left w:val="nil"/>
              <w:bottom w:val="single" w:sz="4" w:space="0" w:color="auto"/>
              <w:right w:val="nil"/>
            </w:tcBorders>
            <w:shd w:val="clear" w:color="auto" w:fill="A6A6A6" w:themeFill="background1" w:themeFillShade="A6"/>
            <w:vAlign w:val="bottom"/>
          </w:tcPr>
          <w:p w14:paraId="3AA46DD3" w14:textId="7A0423B9"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bCs/>
                <w:color w:val="000000"/>
                <w:sz w:val="16"/>
                <w:szCs w:val="16"/>
                <w:lang w:eastAsia="de-DE"/>
              </w:rPr>
              <w:t>1b</w:t>
            </w:r>
          </w:p>
        </w:tc>
        <w:tc>
          <w:tcPr>
            <w:tcW w:w="3201" w:type="dxa"/>
            <w:gridSpan w:val="3"/>
            <w:tcBorders>
              <w:top w:val="nil"/>
              <w:left w:val="nil"/>
              <w:bottom w:val="single" w:sz="4" w:space="0" w:color="auto"/>
              <w:right w:val="nil"/>
            </w:tcBorders>
            <w:shd w:val="clear" w:color="auto" w:fill="A6A6A6" w:themeFill="background1" w:themeFillShade="A6"/>
            <w:noWrap/>
            <w:vAlign w:val="bottom"/>
            <w:hideMark/>
          </w:tcPr>
          <w:p w14:paraId="6722DADD" w14:textId="7AAE370C"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Sampling plan</w:t>
            </w:r>
          </w:p>
        </w:tc>
        <w:tc>
          <w:tcPr>
            <w:tcW w:w="342" w:type="dxa"/>
            <w:tcBorders>
              <w:top w:val="nil"/>
              <w:left w:val="nil"/>
              <w:bottom w:val="single" w:sz="4" w:space="0" w:color="auto"/>
              <w:right w:val="nil"/>
            </w:tcBorders>
            <w:shd w:val="clear" w:color="auto" w:fill="auto"/>
            <w:noWrap/>
            <w:vAlign w:val="bottom"/>
            <w:hideMark/>
          </w:tcPr>
          <w:p w14:paraId="3F33370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2AD2490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6049653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7ABBF11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171D464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591E689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7EA01FC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5FF11AB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3F99F80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10CDFF50"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49C86BD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28DCFCE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40DF0AC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47AE2EF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004D9BE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3C63517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493882C4"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17FD873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74387BE0"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35F5441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1D42598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gridSpan w:val="2"/>
            <w:tcBorders>
              <w:top w:val="nil"/>
              <w:left w:val="nil"/>
              <w:bottom w:val="single" w:sz="4" w:space="0" w:color="auto"/>
              <w:right w:val="nil"/>
            </w:tcBorders>
            <w:shd w:val="clear" w:color="auto" w:fill="auto"/>
            <w:noWrap/>
            <w:vAlign w:val="bottom"/>
            <w:hideMark/>
          </w:tcPr>
          <w:p w14:paraId="1570B5A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512" w:type="dxa"/>
            <w:tcBorders>
              <w:top w:val="nil"/>
              <w:left w:val="nil"/>
              <w:bottom w:val="single" w:sz="4" w:space="0" w:color="auto"/>
              <w:right w:val="nil"/>
            </w:tcBorders>
            <w:shd w:val="clear" w:color="auto" w:fill="auto"/>
            <w:noWrap/>
            <w:vAlign w:val="bottom"/>
            <w:hideMark/>
          </w:tcPr>
          <w:p w14:paraId="1FF6ABCE" w14:textId="0D5947D0" w:rsidR="00021F61" w:rsidRPr="00467EF2" w:rsidRDefault="00021F61" w:rsidP="00021F61">
            <w:pPr>
              <w:spacing w:before="0" w:after="0"/>
              <w:jc w:val="right"/>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8</w:t>
            </w:r>
          </w:p>
        </w:tc>
      </w:tr>
      <w:tr w:rsidR="00021F61" w:rsidRPr="000F1A58" w14:paraId="581E8461" w14:textId="77777777" w:rsidTr="00021F61">
        <w:trPr>
          <w:gridAfter w:val="1"/>
          <w:wAfter w:w="2029" w:type="dxa"/>
          <w:trHeight w:val="20"/>
        </w:trPr>
        <w:tc>
          <w:tcPr>
            <w:tcW w:w="1560" w:type="dxa"/>
            <w:gridSpan w:val="2"/>
            <w:tcBorders>
              <w:top w:val="single" w:sz="4" w:space="0" w:color="auto"/>
              <w:left w:val="nil"/>
              <w:bottom w:val="nil"/>
              <w:right w:val="nil"/>
            </w:tcBorders>
            <w:shd w:val="clear" w:color="auto" w:fill="auto"/>
            <w:noWrap/>
          </w:tcPr>
          <w:p w14:paraId="3D75655D" w14:textId="5F4FA427" w:rsidR="00021F61" w:rsidRPr="00467EF2" w:rsidRDefault="00021F61" w:rsidP="00021F61">
            <w:pPr>
              <w:spacing w:before="0" w:after="0"/>
              <w:rPr>
                <w:rFonts w:ascii="Calibri" w:eastAsia="Times New Roman" w:hAnsi="Calibri" w:cs="Calibri"/>
                <w:b/>
                <w:bCs/>
                <w:color w:val="000000"/>
                <w:sz w:val="16"/>
                <w:szCs w:val="16"/>
                <w:lang w:eastAsia="de-DE"/>
              </w:rPr>
            </w:pPr>
            <w:r w:rsidRPr="00467EF2">
              <w:rPr>
                <w:rFonts w:ascii="Calibri" w:eastAsia="Times New Roman" w:hAnsi="Calibri" w:cs="Calibri"/>
                <w:b/>
                <w:color w:val="000000"/>
                <w:sz w:val="16"/>
                <w:szCs w:val="16"/>
                <w:lang w:eastAsia="de-DE"/>
              </w:rPr>
              <w:t>Control groups</w:t>
            </w:r>
          </w:p>
        </w:tc>
        <w:tc>
          <w:tcPr>
            <w:tcW w:w="425" w:type="dxa"/>
            <w:tcBorders>
              <w:top w:val="single" w:sz="4" w:space="0" w:color="auto"/>
              <w:left w:val="nil"/>
              <w:right w:val="nil"/>
            </w:tcBorders>
            <w:shd w:val="clear" w:color="auto" w:fill="A6A6A6" w:themeFill="background1" w:themeFillShade="A6"/>
            <w:vAlign w:val="bottom"/>
          </w:tcPr>
          <w:p w14:paraId="251F6DFA" w14:textId="7C885D0F"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bCs/>
                <w:color w:val="000000"/>
                <w:sz w:val="16"/>
                <w:szCs w:val="16"/>
                <w:lang w:eastAsia="de-DE"/>
              </w:rPr>
              <w:t>2a</w:t>
            </w:r>
          </w:p>
        </w:tc>
        <w:tc>
          <w:tcPr>
            <w:tcW w:w="3201" w:type="dxa"/>
            <w:gridSpan w:val="3"/>
            <w:tcBorders>
              <w:top w:val="single" w:sz="4" w:space="0" w:color="auto"/>
              <w:left w:val="nil"/>
              <w:bottom w:val="nil"/>
              <w:right w:val="nil"/>
            </w:tcBorders>
            <w:shd w:val="clear" w:color="auto" w:fill="A6A6A6" w:themeFill="background1" w:themeFillShade="A6"/>
            <w:noWrap/>
            <w:vAlign w:val="bottom"/>
            <w:hideMark/>
          </w:tcPr>
          <w:p w14:paraId="5BBE63C5" w14:textId="7CED5DEB"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Control condition</w:t>
            </w:r>
          </w:p>
        </w:tc>
        <w:tc>
          <w:tcPr>
            <w:tcW w:w="342" w:type="dxa"/>
            <w:tcBorders>
              <w:top w:val="single" w:sz="4" w:space="0" w:color="auto"/>
              <w:left w:val="nil"/>
              <w:bottom w:val="nil"/>
              <w:right w:val="nil"/>
            </w:tcBorders>
            <w:shd w:val="clear" w:color="auto" w:fill="auto"/>
            <w:noWrap/>
            <w:vAlign w:val="bottom"/>
            <w:hideMark/>
          </w:tcPr>
          <w:p w14:paraId="3206653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3A66CBD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14A712E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688C33C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65AB44A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767612C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2ABA96F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533F1AC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36F377A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3542D57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60049AE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2BB7C49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43FCEC6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590623A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5B939224"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475A574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6FD41836"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36B1B765"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5AD5673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47E4CA45"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2F30A27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gridSpan w:val="2"/>
            <w:tcBorders>
              <w:top w:val="single" w:sz="4" w:space="0" w:color="auto"/>
              <w:left w:val="nil"/>
              <w:bottom w:val="nil"/>
              <w:right w:val="nil"/>
            </w:tcBorders>
            <w:shd w:val="clear" w:color="auto" w:fill="auto"/>
            <w:noWrap/>
            <w:vAlign w:val="bottom"/>
            <w:hideMark/>
          </w:tcPr>
          <w:p w14:paraId="77D6850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512" w:type="dxa"/>
            <w:tcBorders>
              <w:top w:val="single" w:sz="4" w:space="0" w:color="auto"/>
              <w:left w:val="nil"/>
              <w:bottom w:val="nil"/>
              <w:right w:val="nil"/>
            </w:tcBorders>
            <w:shd w:val="clear" w:color="auto" w:fill="auto"/>
            <w:noWrap/>
            <w:vAlign w:val="bottom"/>
            <w:hideMark/>
          </w:tcPr>
          <w:p w14:paraId="7BBB3649" w14:textId="01ACDAB9" w:rsidR="00021F61" w:rsidRPr="00467EF2" w:rsidRDefault="00021F61" w:rsidP="00021F61">
            <w:pPr>
              <w:spacing w:before="0" w:after="0"/>
              <w:jc w:val="right"/>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15</w:t>
            </w:r>
          </w:p>
        </w:tc>
      </w:tr>
      <w:tr w:rsidR="00021F61" w:rsidRPr="000F1A58" w14:paraId="6C5EB2A1" w14:textId="77777777" w:rsidTr="00021F61">
        <w:trPr>
          <w:gridAfter w:val="1"/>
          <w:wAfter w:w="2029" w:type="dxa"/>
          <w:trHeight w:val="20"/>
        </w:trPr>
        <w:tc>
          <w:tcPr>
            <w:tcW w:w="1560" w:type="dxa"/>
            <w:gridSpan w:val="2"/>
            <w:tcBorders>
              <w:top w:val="nil"/>
              <w:left w:val="nil"/>
              <w:bottom w:val="nil"/>
              <w:right w:val="nil"/>
            </w:tcBorders>
            <w:shd w:val="clear" w:color="auto" w:fill="auto"/>
            <w:noWrap/>
          </w:tcPr>
          <w:p w14:paraId="25C972CD" w14:textId="10755E3C" w:rsidR="00021F61" w:rsidRPr="00467EF2" w:rsidRDefault="00021F61" w:rsidP="00021F61">
            <w:pPr>
              <w:spacing w:before="0" w:after="0"/>
              <w:rPr>
                <w:rFonts w:ascii="Calibri" w:eastAsia="Times New Roman" w:hAnsi="Calibri" w:cs="Calibri"/>
                <w:b/>
                <w:bCs/>
                <w:color w:val="000000"/>
                <w:sz w:val="16"/>
                <w:szCs w:val="16"/>
                <w:lang w:eastAsia="de-DE"/>
              </w:rPr>
            </w:pPr>
          </w:p>
        </w:tc>
        <w:tc>
          <w:tcPr>
            <w:tcW w:w="425" w:type="dxa"/>
            <w:tcBorders>
              <w:left w:val="nil"/>
              <w:right w:val="nil"/>
            </w:tcBorders>
            <w:shd w:val="clear" w:color="auto" w:fill="A6A6A6" w:themeFill="background1" w:themeFillShade="A6"/>
            <w:vAlign w:val="bottom"/>
          </w:tcPr>
          <w:p w14:paraId="5DFE4D05" w14:textId="07767B01"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bCs/>
                <w:color w:val="000000"/>
                <w:sz w:val="16"/>
                <w:szCs w:val="16"/>
                <w:lang w:eastAsia="de-DE"/>
              </w:rPr>
              <w:t>2b*</w:t>
            </w:r>
          </w:p>
        </w:tc>
        <w:tc>
          <w:tcPr>
            <w:tcW w:w="3201" w:type="dxa"/>
            <w:gridSpan w:val="3"/>
            <w:tcBorders>
              <w:top w:val="nil"/>
              <w:left w:val="nil"/>
              <w:bottom w:val="nil"/>
              <w:right w:val="nil"/>
            </w:tcBorders>
            <w:shd w:val="clear" w:color="auto" w:fill="A6A6A6" w:themeFill="background1" w:themeFillShade="A6"/>
            <w:noWrap/>
            <w:vAlign w:val="bottom"/>
            <w:hideMark/>
          </w:tcPr>
          <w:p w14:paraId="3C45FC16" w14:textId="3DD6FB3B"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Blinding</w:t>
            </w:r>
          </w:p>
        </w:tc>
        <w:tc>
          <w:tcPr>
            <w:tcW w:w="342" w:type="dxa"/>
            <w:tcBorders>
              <w:top w:val="nil"/>
              <w:left w:val="nil"/>
              <w:bottom w:val="nil"/>
              <w:right w:val="nil"/>
            </w:tcBorders>
            <w:shd w:val="clear" w:color="auto" w:fill="auto"/>
            <w:noWrap/>
            <w:vAlign w:val="bottom"/>
            <w:hideMark/>
          </w:tcPr>
          <w:p w14:paraId="63E4BB1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58EB7A0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5CB4B88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1C18F5E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049E825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4FFB6B9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7B5B893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01AB415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21F6A250"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0DBDACA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40949DF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207CE1C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71EE48F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5D72E68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1C01BF8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0A1E522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4842520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335272D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7D0BC1A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4711C61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0FE93BB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gridSpan w:val="2"/>
            <w:tcBorders>
              <w:top w:val="nil"/>
              <w:left w:val="nil"/>
              <w:bottom w:val="nil"/>
              <w:right w:val="nil"/>
            </w:tcBorders>
            <w:shd w:val="clear" w:color="auto" w:fill="auto"/>
            <w:noWrap/>
            <w:vAlign w:val="bottom"/>
            <w:hideMark/>
          </w:tcPr>
          <w:p w14:paraId="01A3DF4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512" w:type="dxa"/>
            <w:tcBorders>
              <w:top w:val="nil"/>
              <w:left w:val="nil"/>
              <w:bottom w:val="nil"/>
              <w:right w:val="nil"/>
            </w:tcBorders>
            <w:shd w:val="clear" w:color="auto" w:fill="auto"/>
            <w:noWrap/>
            <w:vAlign w:val="bottom"/>
            <w:hideMark/>
          </w:tcPr>
          <w:p w14:paraId="06B86DF3" w14:textId="2999E866" w:rsidR="00021F61" w:rsidRPr="00467EF2" w:rsidRDefault="00021F61" w:rsidP="00021F61">
            <w:pPr>
              <w:spacing w:before="0" w:after="0"/>
              <w:jc w:val="right"/>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9</w:t>
            </w:r>
          </w:p>
        </w:tc>
      </w:tr>
      <w:tr w:rsidR="00021F61" w:rsidRPr="000F1A58" w14:paraId="25B6179B" w14:textId="77777777" w:rsidTr="00021F61">
        <w:trPr>
          <w:gridAfter w:val="1"/>
          <w:wAfter w:w="2029" w:type="dxa"/>
          <w:trHeight w:val="20"/>
        </w:trPr>
        <w:tc>
          <w:tcPr>
            <w:tcW w:w="1560" w:type="dxa"/>
            <w:gridSpan w:val="2"/>
            <w:tcBorders>
              <w:top w:val="nil"/>
              <w:left w:val="nil"/>
              <w:bottom w:val="nil"/>
              <w:right w:val="nil"/>
            </w:tcBorders>
            <w:shd w:val="clear" w:color="auto" w:fill="auto"/>
            <w:noWrap/>
          </w:tcPr>
          <w:p w14:paraId="07F7CE67" w14:textId="1D6AE9D9" w:rsidR="00021F61" w:rsidRPr="00467EF2" w:rsidRDefault="00021F61" w:rsidP="00021F61">
            <w:pPr>
              <w:spacing w:before="0" w:after="0"/>
              <w:rPr>
                <w:rFonts w:ascii="Calibri" w:eastAsia="Times New Roman" w:hAnsi="Calibri" w:cs="Calibri"/>
                <w:b/>
                <w:bCs/>
                <w:color w:val="000000"/>
                <w:sz w:val="16"/>
                <w:szCs w:val="16"/>
                <w:lang w:eastAsia="de-DE"/>
              </w:rPr>
            </w:pPr>
          </w:p>
        </w:tc>
        <w:tc>
          <w:tcPr>
            <w:tcW w:w="425" w:type="dxa"/>
            <w:tcBorders>
              <w:left w:val="nil"/>
              <w:right w:val="nil"/>
            </w:tcBorders>
            <w:shd w:val="clear" w:color="auto" w:fill="D9D9D9" w:themeFill="background1" w:themeFillShade="D9"/>
            <w:vAlign w:val="bottom"/>
          </w:tcPr>
          <w:p w14:paraId="4639C1C4" w14:textId="73087913"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bCs/>
                <w:color w:val="000000"/>
                <w:sz w:val="16"/>
                <w:szCs w:val="16"/>
                <w:lang w:eastAsia="de-DE"/>
              </w:rPr>
              <w:t>2c</w:t>
            </w:r>
          </w:p>
        </w:tc>
        <w:tc>
          <w:tcPr>
            <w:tcW w:w="3201" w:type="dxa"/>
            <w:gridSpan w:val="3"/>
            <w:tcBorders>
              <w:top w:val="nil"/>
              <w:left w:val="nil"/>
              <w:bottom w:val="nil"/>
              <w:right w:val="nil"/>
            </w:tcBorders>
            <w:shd w:val="clear" w:color="000000" w:fill="D9D9D9"/>
            <w:noWrap/>
            <w:vAlign w:val="bottom"/>
            <w:hideMark/>
          </w:tcPr>
          <w:p w14:paraId="48B603AF" w14:textId="11189D6A"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Blinding - rater</w:t>
            </w:r>
          </w:p>
        </w:tc>
        <w:tc>
          <w:tcPr>
            <w:tcW w:w="342" w:type="dxa"/>
            <w:tcBorders>
              <w:top w:val="nil"/>
              <w:left w:val="nil"/>
              <w:bottom w:val="nil"/>
              <w:right w:val="nil"/>
            </w:tcBorders>
            <w:shd w:val="clear" w:color="auto" w:fill="auto"/>
            <w:noWrap/>
            <w:vAlign w:val="bottom"/>
            <w:hideMark/>
          </w:tcPr>
          <w:p w14:paraId="09B8283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78EC99E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27DA1D46"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75A1C9C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5AC72F8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26777D0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510347D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05E89B1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4793795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7FA37F6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3E5ABEF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3A5C3CE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7F9A4954"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5CFC17A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4E24FA9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7BADB21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5197052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29ACDA45"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673E58A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5DDB61A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443ED20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gridSpan w:val="2"/>
            <w:tcBorders>
              <w:top w:val="nil"/>
              <w:left w:val="nil"/>
              <w:bottom w:val="nil"/>
              <w:right w:val="nil"/>
            </w:tcBorders>
            <w:shd w:val="clear" w:color="auto" w:fill="auto"/>
            <w:noWrap/>
            <w:vAlign w:val="bottom"/>
            <w:hideMark/>
          </w:tcPr>
          <w:p w14:paraId="390B7E5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512" w:type="dxa"/>
            <w:tcBorders>
              <w:top w:val="nil"/>
              <w:left w:val="nil"/>
              <w:bottom w:val="nil"/>
              <w:right w:val="nil"/>
            </w:tcBorders>
            <w:shd w:val="clear" w:color="auto" w:fill="auto"/>
            <w:noWrap/>
            <w:vAlign w:val="bottom"/>
            <w:hideMark/>
          </w:tcPr>
          <w:p w14:paraId="08FB248E" w14:textId="28D20DDF" w:rsidR="00021F61" w:rsidRPr="00467EF2" w:rsidRDefault="00021F61" w:rsidP="00021F61">
            <w:pPr>
              <w:spacing w:before="0" w:after="0"/>
              <w:jc w:val="right"/>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r>
      <w:tr w:rsidR="00021F61" w:rsidRPr="000F1A58" w14:paraId="074818E9" w14:textId="77777777" w:rsidTr="00021F61">
        <w:trPr>
          <w:gridAfter w:val="1"/>
          <w:wAfter w:w="2029" w:type="dxa"/>
          <w:trHeight w:val="20"/>
        </w:trPr>
        <w:tc>
          <w:tcPr>
            <w:tcW w:w="1560" w:type="dxa"/>
            <w:gridSpan w:val="2"/>
            <w:tcBorders>
              <w:top w:val="nil"/>
              <w:left w:val="nil"/>
              <w:right w:val="nil"/>
            </w:tcBorders>
            <w:shd w:val="clear" w:color="auto" w:fill="auto"/>
            <w:noWrap/>
          </w:tcPr>
          <w:p w14:paraId="55B45BBD" w14:textId="0ACB002A" w:rsidR="00021F61" w:rsidRPr="00467EF2" w:rsidRDefault="00021F61" w:rsidP="00021F61">
            <w:pPr>
              <w:spacing w:before="0" w:after="0"/>
              <w:rPr>
                <w:rFonts w:ascii="Calibri" w:eastAsia="Times New Roman" w:hAnsi="Calibri" w:cs="Calibri"/>
                <w:b/>
                <w:bCs/>
                <w:color w:val="000000"/>
                <w:sz w:val="16"/>
                <w:szCs w:val="16"/>
                <w:lang w:eastAsia="de-DE"/>
              </w:rPr>
            </w:pPr>
          </w:p>
        </w:tc>
        <w:tc>
          <w:tcPr>
            <w:tcW w:w="425" w:type="dxa"/>
            <w:tcBorders>
              <w:left w:val="nil"/>
              <w:right w:val="nil"/>
            </w:tcBorders>
            <w:shd w:val="clear" w:color="auto" w:fill="D9D9D9" w:themeFill="background1" w:themeFillShade="D9"/>
            <w:vAlign w:val="bottom"/>
          </w:tcPr>
          <w:p w14:paraId="563A8D35" w14:textId="20F9B688"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bCs/>
                <w:color w:val="000000"/>
                <w:sz w:val="16"/>
                <w:szCs w:val="16"/>
                <w:lang w:eastAsia="de-DE"/>
              </w:rPr>
              <w:t>2d</w:t>
            </w:r>
          </w:p>
        </w:tc>
        <w:tc>
          <w:tcPr>
            <w:tcW w:w="3201" w:type="dxa"/>
            <w:gridSpan w:val="3"/>
            <w:tcBorders>
              <w:top w:val="nil"/>
              <w:left w:val="nil"/>
              <w:right w:val="nil"/>
            </w:tcBorders>
            <w:shd w:val="clear" w:color="000000" w:fill="D9D9D9"/>
            <w:noWrap/>
            <w:vAlign w:val="bottom"/>
            <w:hideMark/>
          </w:tcPr>
          <w:p w14:paraId="033057FA" w14:textId="7E50BD0B"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Blinding assessed</w:t>
            </w:r>
          </w:p>
        </w:tc>
        <w:tc>
          <w:tcPr>
            <w:tcW w:w="342" w:type="dxa"/>
            <w:tcBorders>
              <w:top w:val="nil"/>
              <w:left w:val="nil"/>
              <w:right w:val="nil"/>
            </w:tcBorders>
            <w:shd w:val="clear" w:color="auto" w:fill="auto"/>
            <w:noWrap/>
            <w:vAlign w:val="bottom"/>
            <w:hideMark/>
          </w:tcPr>
          <w:p w14:paraId="70ABBE06"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07A5F2D5"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0461892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2CD78AB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63F1576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3CB240B0"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1D6883F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4D9B8760"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62A55640"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7BEAB00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7571355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1318619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296491A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1233BB0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659B112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08EEBB1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498B859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088FF85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16364A2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3BC8081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03EA7A14"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gridSpan w:val="2"/>
            <w:tcBorders>
              <w:top w:val="nil"/>
              <w:left w:val="nil"/>
              <w:right w:val="nil"/>
            </w:tcBorders>
            <w:shd w:val="clear" w:color="auto" w:fill="auto"/>
            <w:noWrap/>
            <w:vAlign w:val="bottom"/>
            <w:hideMark/>
          </w:tcPr>
          <w:p w14:paraId="5559F515"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512" w:type="dxa"/>
            <w:tcBorders>
              <w:top w:val="nil"/>
              <w:left w:val="nil"/>
              <w:right w:val="nil"/>
            </w:tcBorders>
            <w:shd w:val="clear" w:color="auto" w:fill="auto"/>
            <w:noWrap/>
            <w:vAlign w:val="bottom"/>
            <w:hideMark/>
          </w:tcPr>
          <w:p w14:paraId="771BF9B9" w14:textId="141528CD" w:rsidR="00021F61" w:rsidRPr="00467EF2" w:rsidRDefault="00021F61" w:rsidP="00021F61">
            <w:pPr>
              <w:spacing w:before="0" w:after="0"/>
              <w:jc w:val="right"/>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r>
      <w:tr w:rsidR="00021F61" w:rsidRPr="000F1A58" w14:paraId="59483FC8" w14:textId="77777777" w:rsidTr="00021F61">
        <w:trPr>
          <w:gridAfter w:val="1"/>
          <w:wAfter w:w="2029" w:type="dxa"/>
          <w:trHeight w:val="20"/>
        </w:trPr>
        <w:tc>
          <w:tcPr>
            <w:tcW w:w="1560" w:type="dxa"/>
            <w:gridSpan w:val="2"/>
            <w:tcBorders>
              <w:top w:val="nil"/>
              <w:left w:val="nil"/>
              <w:bottom w:val="single" w:sz="4" w:space="0" w:color="auto"/>
              <w:right w:val="nil"/>
            </w:tcBorders>
            <w:shd w:val="clear" w:color="auto" w:fill="auto"/>
            <w:noWrap/>
          </w:tcPr>
          <w:p w14:paraId="73F048EE" w14:textId="32020F63" w:rsidR="00021F61" w:rsidRPr="00467EF2" w:rsidRDefault="00021F61" w:rsidP="00021F61">
            <w:pPr>
              <w:spacing w:before="0" w:after="0"/>
              <w:rPr>
                <w:rFonts w:ascii="Calibri" w:eastAsia="Times New Roman" w:hAnsi="Calibri" w:cs="Calibri"/>
                <w:b/>
                <w:bCs/>
                <w:color w:val="000000"/>
                <w:sz w:val="16"/>
                <w:szCs w:val="16"/>
                <w:lang w:eastAsia="de-DE"/>
              </w:rPr>
            </w:pPr>
          </w:p>
        </w:tc>
        <w:tc>
          <w:tcPr>
            <w:tcW w:w="425" w:type="dxa"/>
            <w:tcBorders>
              <w:left w:val="nil"/>
              <w:bottom w:val="single" w:sz="4" w:space="0" w:color="auto"/>
              <w:right w:val="nil"/>
            </w:tcBorders>
            <w:shd w:val="clear" w:color="auto" w:fill="D9D9D9" w:themeFill="background1" w:themeFillShade="D9"/>
            <w:vAlign w:val="bottom"/>
          </w:tcPr>
          <w:p w14:paraId="21C62EDB" w14:textId="692B732D" w:rsidR="00021F61" w:rsidRPr="000F1A58"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bCs/>
                <w:color w:val="000000"/>
                <w:sz w:val="16"/>
                <w:szCs w:val="16"/>
                <w:lang w:eastAsia="de-DE"/>
              </w:rPr>
              <w:t>2e</w:t>
            </w:r>
          </w:p>
        </w:tc>
        <w:tc>
          <w:tcPr>
            <w:tcW w:w="3201" w:type="dxa"/>
            <w:gridSpan w:val="3"/>
            <w:tcBorders>
              <w:top w:val="nil"/>
              <w:left w:val="nil"/>
              <w:bottom w:val="single" w:sz="4" w:space="0" w:color="auto"/>
              <w:right w:val="nil"/>
            </w:tcBorders>
            <w:shd w:val="clear" w:color="000000" w:fill="D9D9D9"/>
            <w:noWrap/>
            <w:vAlign w:val="bottom"/>
            <w:hideMark/>
          </w:tcPr>
          <w:p w14:paraId="642ACBB1" w14:textId="4AFD6ACA" w:rsidR="00021F61" w:rsidRPr="000F1A58" w:rsidRDefault="00021F61" w:rsidP="00021F61">
            <w:pPr>
              <w:spacing w:before="0" w:after="0"/>
              <w:rPr>
                <w:rFonts w:ascii="Calibri" w:eastAsia="Times New Roman" w:hAnsi="Calibri" w:cs="Calibri"/>
                <w:color w:val="000000"/>
                <w:sz w:val="16"/>
                <w:szCs w:val="16"/>
                <w:lang w:eastAsia="de-DE"/>
              </w:rPr>
            </w:pPr>
            <w:r w:rsidRPr="000F1A58">
              <w:rPr>
                <w:rFonts w:ascii="Calibri" w:eastAsia="Times New Roman" w:hAnsi="Calibri" w:cs="Calibri"/>
                <w:color w:val="000000"/>
                <w:sz w:val="16"/>
                <w:szCs w:val="16"/>
                <w:lang w:eastAsia="de-DE"/>
              </w:rPr>
              <w:t>Standard of care intervention group</w:t>
            </w:r>
          </w:p>
        </w:tc>
        <w:tc>
          <w:tcPr>
            <w:tcW w:w="342" w:type="dxa"/>
            <w:tcBorders>
              <w:top w:val="nil"/>
              <w:left w:val="nil"/>
              <w:bottom w:val="single" w:sz="4" w:space="0" w:color="auto"/>
              <w:right w:val="nil"/>
            </w:tcBorders>
            <w:shd w:val="clear" w:color="auto" w:fill="auto"/>
            <w:noWrap/>
            <w:vAlign w:val="bottom"/>
            <w:hideMark/>
          </w:tcPr>
          <w:p w14:paraId="58D5419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0842BE44"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0389D9D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5A77149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255D34D4"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03C0724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08ED99D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1E328FF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14CAA51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3D2B53F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42402B6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32CEDD80"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4514365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337676D6"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62B9BC8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0A83014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5ED5DAE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4D3B103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6DEA722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5629863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120F2CE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gridSpan w:val="2"/>
            <w:tcBorders>
              <w:top w:val="nil"/>
              <w:left w:val="nil"/>
              <w:bottom w:val="single" w:sz="4" w:space="0" w:color="auto"/>
              <w:right w:val="nil"/>
            </w:tcBorders>
            <w:shd w:val="clear" w:color="auto" w:fill="auto"/>
            <w:noWrap/>
            <w:vAlign w:val="bottom"/>
            <w:hideMark/>
          </w:tcPr>
          <w:p w14:paraId="6B3B290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512" w:type="dxa"/>
            <w:tcBorders>
              <w:top w:val="nil"/>
              <w:left w:val="nil"/>
              <w:bottom w:val="single" w:sz="4" w:space="0" w:color="auto"/>
              <w:right w:val="nil"/>
            </w:tcBorders>
            <w:shd w:val="clear" w:color="auto" w:fill="auto"/>
            <w:noWrap/>
            <w:vAlign w:val="bottom"/>
            <w:hideMark/>
          </w:tcPr>
          <w:p w14:paraId="57A1124F" w14:textId="6EBF0A7B" w:rsidR="00021F61" w:rsidRPr="00467EF2" w:rsidRDefault="00021F61" w:rsidP="00021F61">
            <w:pPr>
              <w:spacing w:before="0" w:after="0"/>
              <w:jc w:val="right"/>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2</w:t>
            </w:r>
          </w:p>
        </w:tc>
      </w:tr>
      <w:tr w:rsidR="00021F61" w:rsidRPr="000F1A58" w14:paraId="079EED58" w14:textId="77777777" w:rsidTr="00021F61">
        <w:trPr>
          <w:gridAfter w:val="1"/>
          <w:wAfter w:w="2029" w:type="dxa"/>
          <w:trHeight w:val="20"/>
        </w:trPr>
        <w:tc>
          <w:tcPr>
            <w:tcW w:w="1560" w:type="dxa"/>
            <w:gridSpan w:val="2"/>
            <w:tcBorders>
              <w:top w:val="single" w:sz="4" w:space="0" w:color="auto"/>
              <w:left w:val="nil"/>
              <w:bottom w:val="nil"/>
              <w:right w:val="nil"/>
            </w:tcBorders>
            <w:shd w:val="clear" w:color="auto" w:fill="auto"/>
            <w:noWrap/>
          </w:tcPr>
          <w:p w14:paraId="43C3C8C0" w14:textId="5F63C928" w:rsidR="00021F61" w:rsidRPr="00467EF2" w:rsidRDefault="00021F61" w:rsidP="00021F61">
            <w:pPr>
              <w:spacing w:before="0" w:after="0"/>
              <w:rPr>
                <w:rFonts w:ascii="Calibri" w:eastAsia="Times New Roman" w:hAnsi="Calibri" w:cs="Calibri"/>
                <w:b/>
                <w:color w:val="000000"/>
                <w:sz w:val="16"/>
                <w:szCs w:val="16"/>
                <w:lang w:eastAsia="de-DE"/>
              </w:rPr>
            </w:pPr>
            <w:r w:rsidRPr="00467EF2">
              <w:rPr>
                <w:rFonts w:ascii="Calibri" w:eastAsia="Times New Roman" w:hAnsi="Calibri" w:cs="Calibri"/>
                <w:b/>
                <w:color w:val="000000"/>
                <w:sz w:val="16"/>
                <w:szCs w:val="16"/>
                <w:lang w:eastAsia="de-DE"/>
              </w:rPr>
              <w:t>Control measures</w:t>
            </w:r>
          </w:p>
        </w:tc>
        <w:tc>
          <w:tcPr>
            <w:tcW w:w="425" w:type="dxa"/>
            <w:tcBorders>
              <w:top w:val="single" w:sz="4" w:space="0" w:color="auto"/>
              <w:left w:val="nil"/>
              <w:right w:val="nil"/>
            </w:tcBorders>
            <w:shd w:val="clear" w:color="auto" w:fill="D9D9D9" w:themeFill="background1" w:themeFillShade="D9"/>
            <w:vAlign w:val="bottom"/>
          </w:tcPr>
          <w:p w14:paraId="64F4EC1E" w14:textId="50B4C45B"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bCs/>
                <w:color w:val="000000"/>
                <w:sz w:val="16"/>
                <w:szCs w:val="16"/>
                <w:lang w:eastAsia="de-DE"/>
              </w:rPr>
              <w:t>3a</w:t>
            </w:r>
          </w:p>
        </w:tc>
        <w:tc>
          <w:tcPr>
            <w:tcW w:w="3201" w:type="dxa"/>
            <w:gridSpan w:val="3"/>
            <w:tcBorders>
              <w:top w:val="single" w:sz="4" w:space="0" w:color="auto"/>
              <w:left w:val="nil"/>
              <w:bottom w:val="nil"/>
              <w:right w:val="nil"/>
            </w:tcBorders>
            <w:shd w:val="clear" w:color="000000" w:fill="D9D9D9"/>
            <w:noWrap/>
            <w:vAlign w:val="bottom"/>
            <w:hideMark/>
          </w:tcPr>
          <w:p w14:paraId="48F95992" w14:textId="0CACE4E3"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Psychosocial factors assessed</w:t>
            </w:r>
          </w:p>
        </w:tc>
        <w:tc>
          <w:tcPr>
            <w:tcW w:w="342" w:type="dxa"/>
            <w:tcBorders>
              <w:top w:val="single" w:sz="4" w:space="0" w:color="auto"/>
              <w:left w:val="nil"/>
              <w:bottom w:val="nil"/>
              <w:right w:val="nil"/>
            </w:tcBorders>
            <w:shd w:val="clear" w:color="auto" w:fill="auto"/>
            <w:noWrap/>
            <w:vAlign w:val="bottom"/>
            <w:hideMark/>
          </w:tcPr>
          <w:p w14:paraId="20EE1E7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6A148330"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2FF9CA3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1CCF6A8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5C36D95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3F3CDB10"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1CACC35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2ACEA1D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5424A38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1CA16E3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780F2D5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794A72B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38208F4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54268AA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65A261B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218C828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267839F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6D5509D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7267EED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1841ED9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3444AB1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gridSpan w:val="2"/>
            <w:tcBorders>
              <w:top w:val="single" w:sz="4" w:space="0" w:color="auto"/>
              <w:left w:val="nil"/>
              <w:bottom w:val="nil"/>
              <w:right w:val="nil"/>
            </w:tcBorders>
            <w:shd w:val="clear" w:color="auto" w:fill="auto"/>
            <w:noWrap/>
            <w:vAlign w:val="bottom"/>
            <w:hideMark/>
          </w:tcPr>
          <w:p w14:paraId="4963BCF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512" w:type="dxa"/>
            <w:tcBorders>
              <w:top w:val="single" w:sz="4" w:space="0" w:color="auto"/>
              <w:left w:val="nil"/>
              <w:bottom w:val="nil"/>
              <w:right w:val="nil"/>
            </w:tcBorders>
            <w:shd w:val="clear" w:color="auto" w:fill="auto"/>
            <w:noWrap/>
            <w:vAlign w:val="bottom"/>
            <w:hideMark/>
          </w:tcPr>
          <w:p w14:paraId="1255FB86" w14:textId="54F8C815" w:rsidR="00021F61" w:rsidRPr="00467EF2" w:rsidRDefault="00021F61" w:rsidP="00021F61">
            <w:pPr>
              <w:spacing w:before="0" w:after="0"/>
              <w:jc w:val="right"/>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6</w:t>
            </w:r>
          </w:p>
        </w:tc>
      </w:tr>
      <w:tr w:rsidR="00021F61" w:rsidRPr="000F1A58" w14:paraId="362DA88B" w14:textId="77777777" w:rsidTr="00021F61">
        <w:trPr>
          <w:gridAfter w:val="1"/>
          <w:wAfter w:w="2029" w:type="dxa"/>
          <w:trHeight w:val="20"/>
        </w:trPr>
        <w:tc>
          <w:tcPr>
            <w:tcW w:w="1560" w:type="dxa"/>
            <w:gridSpan w:val="2"/>
            <w:tcBorders>
              <w:top w:val="nil"/>
              <w:left w:val="nil"/>
              <w:bottom w:val="nil"/>
              <w:right w:val="nil"/>
            </w:tcBorders>
            <w:shd w:val="clear" w:color="auto" w:fill="auto"/>
            <w:noWrap/>
          </w:tcPr>
          <w:p w14:paraId="7703FC24" w14:textId="32CF478D" w:rsidR="00021F61" w:rsidRPr="00467EF2" w:rsidRDefault="00021F61" w:rsidP="00021F61">
            <w:pPr>
              <w:spacing w:before="0" w:after="0"/>
              <w:rPr>
                <w:rFonts w:ascii="Calibri" w:eastAsia="Times New Roman" w:hAnsi="Calibri" w:cs="Calibri"/>
                <w:b/>
                <w:bCs/>
                <w:color w:val="000000"/>
                <w:sz w:val="16"/>
                <w:szCs w:val="16"/>
                <w:lang w:eastAsia="de-DE"/>
              </w:rPr>
            </w:pPr>
          </w:p>
        </w:tc>
        <w:tc>
          <w:tcPr>
            <w:tcW w:w="425" w:type="dxa"/>
            <w:tcBorders>
              <w:left w:val="nil"/>
              <w:right w:val="nil"/>
            </w:tcBorders>
            <w:shd w:val="clear" w:color="auto" w:fill="A6A6A6" w:themeFill="background1" w:themeFillShade="A6"/>
            <w:vAlign w:val="bottom"/>
          </w:tcPr>
          <w:p w14:paraId="412C612C" w14:textId="70905C75"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bCs/>
                <w:color w:val="000000"/>
                <w:sz w:val="16"/>
                <w:szCs w:val="16"/>
                <w:lang w:eastAsia="de-DE"/>
              </w:rPr>
              <w:t>3b</w:t>
            </w:r>
          </w:p>
        </w:tc>
        <w:tc>
          <w:tcPr>
            <w:tcW w:w="3201" w:type="dxa"/>
            <w:gridSpan w:val="3"/>
            <w:tcBorders>
              <w:top w:val="nil"/>
              <w:left w:val="nil"/>
              <w:bottom w:val="nil"/>
              <w:right w:val="nil"/>
            </w:tcBorders>
            <w:shd w:val="clear" w:color="000000" w:fill="A6A6A6"/>
            <w:noWrap/>
            <w:vAlign w:val="bottom"/>
            <w:hideMark/>
          </w:tcPr>
          <w:p w14:paraId="6EECF39A" w14:textId="1EE7E573"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Strategy provided</w:t>
            </w:r>
          </w:p>
        </w:tc>
        <w:tc>
          <w:tcPr>
            <w:tcW w:w="342" w:type="dxa"/>
            <w:tcBorders>
              <w:top w:val="nil"/>
              <w:left w:val="nil"/>
              <w:bottom w:val="nil"/>
              <w:right w:val="nil"/>
            </w:tcBorders>
            <w:shd w:val="clear" w:color="auto" w:fill="auto"/>
            <w:noWrap/>
            <w:vAlign w:val="bottom"/>
            <w:hideMark/>
          </w:tcPr>
          <w:p w14:paraId="134A44F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2344B8D6"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1E739BF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5432613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2BC84DB4"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3E59BA3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134AE426"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3B1F307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3692201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1EE5DF4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73B4A214"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73BAC4E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5F2205C6"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37446DF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573CAD25"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4DCB58A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0D14F44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77ED34E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6213FA6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3379415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4DCD7CB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gridSpan w:val="2"/>
            <w:tcBorders>
              <w:top w:val="nil"/>
              <w:left w:val="nil"/>
              <w:bottom w:val="nil"/>
              <w:right w:val="nil"/>
            </w:tcBorders>
            <w:shd w:val="clear" w:color="auto" w:fill="auto"/>
            <w:noWrap/>
            <w:vAlign w:val="bottom"/>
            <w:hideMark/>
          </w:tcPr>
          <w:p w14:paraId="5F36D3A5"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512" w:type="dxa"/>
            <w:tcBorders>
              <w:top w:val="nil"/>
              <w:left w:val="nil"/>
              <w:bottom w:val="nil"/>
              <w:right w:val="nil"/>
            </w:tcBorders>
            <w:shd w:val="clear" w:color="auto" w:fill="auto"/>
            <w:noWrap/>
            <w:vAlign w:val="bottom"/>
            <w:hideMark/>
          </w:tcPr>
          <w:p w14:paraId="5562463E" w14:textId="33071C23" w:rsidR="00021F61" w:rsidRPr="00467EF2" w:rsidRDefault="00021F61" w:rsidP="00021F61">
            <w:pPr>
              <w:spacing w:before="0" w:after="0"/>
              <w:jc w:val="right"/>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16</w:t>
            </w:r>
          </w:p>
        </w:tc>
      </w:tr>
      <w:tr w:rsidR="00021F61" w:rsidRPr="000F1A58" w14:paraId="6856CD33" w14:textId="77777777" w:rsidTr="00021F61">
        <w:trPr>
          <w:gridAfter w:val="1"/>
          <w:wAfter w:w="2029" w:type="dxa"/>
          <w:trHeight w:val="20"/>
        </w:trPr>
        <w:tc>
          <w:tcPr>
            <w:tcW w:w="1560" w:type="dxa"/>
            <w:gridSpan w:val="2"/>
            <w:tcBorders>
              <w:top w:val="nil"/>
              <w:left w:val="nil"/>
              <w:bottom w:val="nil"/>
              <w:right w:val="nil"/>
            </w:tcBorders>
            <w:shd w:val="clear" w:color="auto" w:fill="auto"/>
            <w:noWrap/>
          </w:tcPr>
          <w:p w14:paraId="10A7A52E" w14:textId="5DF249D3" w:rsidR="00021F61" w:rsidRPr="00467EF2" w:rsidRDefault="00021F61" w:rsidP="00021F61">
            <w:pPr>
              <w:spacing w:before="0" w:after="0"/>
              <w:rPr>
                <w:rFonts w:ascii="Calibri" w:eastAsia="Times New Roman" w:hAnsi="Calibri" w:cs="Calibri"/>
                <w:b/>
                <w:bCs/>
                <w:color w:val="000000"/>
                <w:sz w:val="16"/>
                <w:szCs w:val="16"/>
                <w:lang w:eastAsia="de-DE"/>
              </w:rPr>
            </w:pPr>
          </w:p>
        </w:tc>
        <w:tc>
          <w:tcPr>
            <w:tcW w:w="425" w:type="dxa"/>
            <w:tcBorders>
              <w:left w:val="nil"/>
              <w:right w:val="nil"/>
            </w:tcBorders>
            <w:shd w:val="clear" w:color="auto" w:fill="D9D9D9" w:themeFill="background1" w:themeFillShade="D9"/>
            <w:vAlign w:val="bottom"/>
          </w:tcPr>
          <w:p w14:paraId="422DCAAE" w14:textId="14D38B07"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bCs/>
                <w:color w:val="000000"/>
                <w:sz w:val="16"/>
                <w:szCs w:val="16"/>
                <w:lang w:eastAsia="de-DE"/>
              </w:rPr>
              <w:t>3c</w:t>
            </w:r>
          </w:p>
        </w:tc>
        <w:tc>
          <w:tcPr>
            <w:tcW w:w="3201" w:type="dxa"/>
            <w:gridSpan w:val="3"/>
            <w:tcBorders>
              <w:top w:val="nil"/>
              <w:left w:val="nil"/>
              <w:bottom w:val="nil"/>
              <w:right w:val="nil"/>
            </w:tcBorders>
            <w:shd w:val="clear" w:color="000000" w:fill="D9D9D9"/>
            <w:noWrap/>
            <w:vAlign w:val="bottom"/>
            <w:hideMark/>
          </w:tcPr>
          <w:p w14:paraId="0A789089" w14:textId="777D61A4"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Strategies used</w:t>
            </w:r>
          </w:p>
        </w:tc>
        <w:tc>
          <w:tcPr>
            <w:tcW w:w="342" w:type="dxa"/>
            <w:tcBorders>
              <w:top w:val="nil"/>
              <w:left w:val="nil"/>
              <w:bottom w:val="nil"/>
              <w:right w:val="nil"/>
            </w:tcBorders>
            <w:shd w:val="clear" w:color="auto" w:fill="auto"/>
            <w:noWrap/>
            <w:vAlign w:val="bottom"/>
            <w:hideMark/>
          </w:tcPr>
          <w:p w14:paraId="4E4D7B6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0D853CD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4B7C1D6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7381110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3977D346"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44F0FD1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6C2970C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0CD983C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0FA217C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587711F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6AFA4245"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1DCD3AB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65525CD0"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23BF8BB4"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065F40B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0F41D15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6B09E1C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75279F4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0C1751A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75A50155"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56310F84"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gridSpan w:val="2"/>
            <w:tcBorders>
              <w:top w:val="nil"/>
              <w:left w:val="nil"/>
              <w:bottom w:val="nil"/>
              <w:right w:val="nil"/>
            </w:tcBorders>
            <w:shd w:val="clear" w:color="auto" w:fill="auto"/>
            <w:noWrap/>
            <w:vAlign w:val="bottom"/>
            <w:hideMark/>
          </w:tcPr>
          <w:p w14:paraId="332D1BB0"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512" w:type="dxa"/>
            <w:tcBorders>
              <w:top w:val="nil"/>
              <w:left w:val="nil"/>
              <w:bottom w:val="nil"/>
              <w:right w:val="nil"/>
            </w:tcBorders>
            <w:shd w:val="clear" w:color="auto" w:fill="auto"/>
            <w:noWrap/>
            <w:vAlign w:val="bottom"/>
            <w:hideMark/>
          </w:tcPr>
          <w:p w14:paraId="648BF585" w14:textId="5E9A3BBA" w:rsidR="00021F61" w:rsidRPr="00467EF2" w:rsidRDefault="00021F61" w:rsidP="00021F61">
            <w:pPr>
              <w:spacing w:before="0" w:after="0"/>
              <w:jc w:val="right"/>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6</w:t>
            </w:r>
          </w:p>
        </w:tc>
      </w:tr>
      <w:tr w:rsidR="00021F61" w:rsidRPr="000F1A58" w14:paraId="56037204" w14:textId="77777777" w:rsidTr="00021F61">
        <w:trPr>
          <w:gridAfter w:val="1"/>
          <w:wAfter w:w="2029" w:type="dxa"/>
          <w:trHeight w:val="20"/>
        </w:trPr>
        <w:tc>
          <w:tcPr>
            <w:tcW w:w="1560" w:type="dxa"/>
            <w:gridSpan w:val="2"/>
            <w:tcBorders>
              <w:top w:val="nil"/>
              <w:left w:val="nil"/>
              <w:right w:val="nil"/>
            </w:tcBorders>
            <w:shd w:val="clear" w:color="auto" w:fill="auto"/>
            <w:noWrap/>
          </w:tcPr>
          <w:p w14:paraId="650B0E38" w14:textId="113FFB59" w:rsidR="00021F61" w:rsidRPr="00467EF2" w:rsidRDefault="00021F61" w:rsidP="00021F61">
            <w:pPr>
              <w:spacing w:before="0" w:after="0"/>
              <w:rPr>
                <w:rFonts w:ascii="Calibri" w:eastAsia="Times New Roman" w:hAnsi="Calibri" w:cs="Calibri"/>
                <w:b/>
                <w:bCs/>
                <w:color w:val="000000"/>
                <w:sz w:val="16"/>
                <w:szCs w:val="16"/>
                <w:lang w:eastAsia="de-DE"/>
              </w:rPr>
            </w:pPr>
          </w:p>
        </w:tc>
        <w:tc>
          <w:tcPr>
            <w:tcW w:w="425" w:type="dxa"/>
            <w:tcBorders>
              <w:left w:val="nil"/>
              <w:right w:val="nil"/>
            </w:tcBorders>
            <w:shd w:val="clear" w:color="auto" w:fill="A6A6A6" w:themeFill="background1" w:themeFillShade="A6"/>
            <w:vAlign w:val="bottom"/>
          </w:tcPr>
          <w:p w14:paraId="0C4AD013" w14:textId="35DBF925" w:rsidR="00021F61" w:rsidRPr="000F1A58"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bCs/>
                <w:color w:val="000000"/>
                <w:sz w:val="16"/>
                <w:szCs w:val="16"/>
                <w:lang w:eastAsia="de-DE"/>
              </w:rPr>
              <w:t>3d</w:t>
            </w:r>
          </w:p>
        </w:tc>
        <w:tc>
          <w:tcPr>
            <w:tcW w:w="3201" w:type="dxa"/>
            <w:gridSpan w:val="3"/>
            <w:tcBorders>
              <w:top w:val="nil"/>
              <w:left w:val="nil"/>
              <w:right w:val="nil"/>
            </w:tcBorders>
            <w:shd w:val="clear" w:color="000000" w:fill="A6A6A6"/>
            <w:noWrap/>
            <w:vAlign w:val="bottom"/>
            <w:hideMark/>
          </w:tcPr>
          <w:p w14:paraId="742D5B5F" w14:textId="653143AC" w:rsidR="00021F61" w:rsidRPr="000F1A58" w:rsidRDefault="00021F61" w:rsidP="00021F61">
            <w:pPr>
              <w:spacing w:before="0" w:after="0"/>
              <w:rPr>
                <w:rFonts w:ascii="Calibri" w:eastAsia="Times New Roman" w:hAnsi="Calibri" w:cs="Calibri"/>
                <w:color w:val="000000"/>
                <w:sz w:val="16"/>
                <w:szCs w:val="16"/>
                <w:lang w:eastAsia="de-DE"/>
              </w:rPr>
            </w:pPr>
            <w:r w:rsidRPr="000F1A58">
              <w:rPr>
                <w:rFonts w:ascii="Calibri" w:eastAsia="Times New Roman" w:hAnsi="Calibri" w:cs="Calibri"/>
                <w:color w:val="000000"/>
                <w:sz w:val="16"/>
                <w:szCs w:val="16"/>
                <w:lang w:eastAsia="de-DE"/>
              </w:rPr>
              <w:t>Online-data processing and artifact control</w:t>
            </w:r>
          </w:p>
        </w:tc>
        <w:tc>
          <w:tcPr>
            <w:tcW w:w="342" w:type="dxa"/>
            <w:tcBorders>
              <w:top w:val="nil"/>
              <w:left w:val="nil"/>
              <w:right w:val="nil"/>
            </w:tcBorders>
            <w:shd w:val="clear" w:color="auto" w:fill="auto"/>
            <w:noWrap/>
            <w:vAlign w:val="bottom"/>
            <w:hideMark/>
          </w:tcPr>
          <w:p w14:paraId="0B175456"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190B0E6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58356BB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1472894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09091FF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3E1B2E6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33CFF4B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4BEB0AE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130D5F1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03069B4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2F80A28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74E8E34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2564D6E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2895B60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127547B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384E210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2855338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67A687C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7AB4A16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7EA1F09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2598E0C0"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gridSpan w:val="2"/>
            <w:tcBorders>
              <w:top w:val="nil"/>
              <w:left w:val="nil"/>
              <w:right w:val="nil"/>
            </w:tcBorders>
            <w:shd w:val="clear" w:color="auto" w:fill="auto"/>
            <w:noWrap/>
            <w:vAlign w:val="bottom"/>
            <w:hideMark/>
          </w:tcPr>
          <w:p w14:paraId="74F2E94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512" w:type="dxa"/>
            <w:tcBorders>
              <w:top w:val="nil"/>
              <w:left w:val="nil"/>
              <w:right w:val="nil"/>
            </w:tcBorders>
            <w:shd w:val="clear" w:color="auto" w:fill="auto"/>
            <w:noWrap/>
            <w:vAlign w:val="bottom"/>
            <w:hideMark/>
          </w:tcPr>
          <w:p w14:paraId="25EB7C11" w14:textId="5C7BB79D" w:rsidR="00021F61" w:rsidRPr="00467EF2" w:rsidRDefault="00021F61" w:rsidP="00021F61">
            <w:pPr>
              <w:spacing w:before="0" w:after="0"/>
              <w:jc w:val="right"/>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18</w:t>
            </w:r>
          </w:p>
        </w:tc>
      </w:tr>
      <w:tr w:rsidR="00021F61" w:rsidRPr="000F1A58" w14:paraId="57E84BA5" w14:textId="77777777" w:rsidTr="00021F61">
        <w:trPr>
          <w:gridAfter w:val="1"/>
          <w:wAfter w:w="2029" w:type="dxa"/>
          <w:trHeight w:val="20"/>
        </w:trPr>
        <w:tc>
          <w:tcPr>
            <w:tcW w:w="1560" w:type="dxa"/>
            <w:gridSpan w:val="2"/>
            <w:tcBorders>
              <w:top w:val="nil"/>
              <w:left w:val="nil"/>
              <w:bottom w:val="single" w:sz="4" w:space="0" w:color="auto"/>
              <w:right w:val="nil"/>
            </w:tcBorders>
            <w:shd w:val="clear" w:color="auto" w:fill="auto"/>
            <w:noWrap/>
          </w:tcPr>
          <w:p w14:paraId="5D39D520" w14:textId="78151962" w:rsidR="00021F61" w:rsidRPr="00467EF2" w:rsidRDefault="00021F61" w:rsidP="00021F61">
            <w:pPr>
              <w:spacing w:before="0" w:after="0"/>
              <w:rPr>
                <w:rFonts w:ascii="Calibri" w:eastAsia="Times New Roman" w:hAnsi="Calibri" w:cs="Calibri"/>
                <w:b/>
                <w:bCs/>
                <w:color w:val="000000"/>
                <w:sz w:val="16"/>
                <w:szCs w:val="16"/>
                <w:lang w:eastAsia="de-DE"/>
              </w:rPr>
            </w:pPr>
          </w:p>
        </w:tc>
        <w:tc>
          <w:tcPr>
            <w:tcW w:w="425" w:type="dxa"/>
            <w:tcBorders>
              <w:left w:val="nil"/>
              <w:bottom w:val="single" w:sz="4" w:space="0" w:color="auto"/>
              <w:right w:val="nil"/>
            </w:tcBorders>
            <w:shd w:val="clear" w:color="auto" w:fill="D9D9D9" w:themeFill="background1" w:themeFillShade="D9"/>
            <w:vAlign w:val="bottom"/>
          </w:tcPr>
          <w:p w14:paraId="7062BA02" w14:textId="227B1766"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bCs/>
                <w:color w:val="000000"/>
                <w:sz w:val="16"/>
                <w:szCs w:val="16"/>
                <w:lang w:eastAsia="de-DE"/>
              </w:rPr>
              <w:t>3e</w:t>
            </w:r>
          </w:p>
        </w:tc>
        <w:tc>
          <w:tcPr>
            <w:tcW w:w="3201" w:type="dxa"/>
            <w:gridSpan w:val="3"/>
            <w:tcBorders>
              <w:top w:val="nil"/>
              <w:left w:val="nil"/>
              <w:bottom w:val="single" w:sz="4" w:space="0" w:color="auto"/>
              <w:right w:val="nil"/>
            </w:tcBorders>
            <w:shd w:val="clear" w:color="000000" w:fill="D9D9D9"/>
            <w:noWrap/>
            <w:vAlign w:val="bottom"/>
            <w:hideMark/>
          </w:tcPr>
          <w:p w14:paraId="0EB20605" w14:textId="23C4830B"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 xml:space="preserve">Effects of artifacts </w:t>
            </w:r>
          </w:p>
        </w:tc>
        <w:tc>
          <w:tcPr>
            <w:tcW w:w="342" w:type="dxa"/>
            <w:tcBorders>
              <w:top w:val="nil"/>
              <w:left w:val="nil"/>
              <w:bottom w:val="single" w:sz="4" w:space="0" w:color="auto"/>
              <w:right w:val="nil"/>
            </w:tcBorders>
            <w:shd w:val="clear" w:color="auto" w:fill="auto"/>
            <w:noWrap/>
            <w:vAlign w:val="bottom"/>
            <w:hideMark/>
          </w:tcPr>
          <w:p w14:paraId="5E9D95A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5E83FFF6"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08FF72B6"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4AE06AA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1E67C3B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0DCCD8F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06AB60A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77A6DA7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571859E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5C3ED09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70D5BFA5"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5326080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750E4AA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4052FAA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4A65C60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3D6B0F0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4F2D400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15FD8836"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3A5F404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7331DAA0"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5A9D2F7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gridSpan w:val="2"/>
            <w:tcBorders>
              <w:top w:val="nil"/>
              <w:left w:val="nil"/>
              <w:bottom w:val="single" w:sz="4" w:space="0" w:color="auto"/>
              <w:right w:val="nil"/>
            </w:tcBorders>
            <w:shd w:val="clear" w:color="auto" w:fill="auto"/>
            <w:noWrap/>
            <w:vAlign w:val="bottom"/>
            <w:hideMark/>
          </w:tcPr>
          <w:p w14:paraId="5B331ED4"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512" w:type="dxa"/>
            <w:tcBorders>
              <w:top w:val="nil"/>
              <w:left w:val="nil"/>
              <w:bottom w:val="single" w:sz="4" w:space="0" w:color="auto"/>
              <w:right w:val="nil"/>
            </w:tcBorders>
            <w:shd w:val="clear" w:color="auto" w:fill="auto"/>
            <w:noWrap/>
            <w:vAlign w:val="bottom"/>
            <w:hideMark/>
          </w:tcPr>
          <w:p w14:paraId="53329E1B" w14:textId="6B7EBC92" w:rsidR="00021F61" w:rsidRPr="00467EF2" w:rsidRDefault="00021F61" w:rsidP="00021F61">
            <w:pPr>
              <w:spacing w:before="0" w:after="0"/>
              <w:jc w:val="right"/>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r>
      <w:tr w:rsidR="00021F61" w:rsidRPr="000F1A58" w14:paraId="334C5A21" w14:textId="77777777" w:rsidTr="00021F61">
        <w:trPr>
          <w:gridAfter w:val="1"/>
          <w:wAfter w:w="2029" w:type="dxa"/>
          <w:trHeight w:val="20"/>
        </w:trPr>
        <w:tc>
          <w:tcPr>
            <w:tcW w:w="1560" w:type="dxa"/>
            <w:gridSpan w:val="2"/>
            <w:vMerge w:val="restart"/>
            <w:tcBorders>
              <w:top w:val="single" w:sz="4" w:space="0" w:color="auto"/>
              <w:left w:val="nil"/>
              <w:right w:val="nil"/>
            </w:tcBorders>
            <w:shd w:val="clear" w:color="auto" w:fill="auto"/>
            <w:noWrap/>
          </w:tcPr>
          <w:p w14:paraId="0CBC51CD" w14:textId="77777777" w:rsidR="00021F61" w:rsidRPr="00467EF2" w:rsidRDefault="00021F61" w:rsidP="00021F61">
            <w:pPr>
              <w:spacing w:before="0" w:after="0"/>
              <w:rPr>
                <w:rFonts w:ascii="Calibri" w:eastAsia="Times New Roman" w:hAnsi="Calibri" w:cs="Calibri"/>
                <w:b/>
                <w:color w:val="000000"/>
                <w:sz w:val="16"/>
                <w:szCs w:val="16"/>
                <w:lang w:eastAsia="de-DE"/>
              </w:rPr>
            </w:pPr>
            <w:r w:rsidRPr="00467EF2">
              <w:rPr>
                <w:rFonts w:ascii="Calibri" w:eastAsia="Times New Roman" w:hAnsi="Calibri" w:cs="Calibri"/>
                <w:b/>
                <w:color w:val="000000"/>
                <w:sz w:val="16"/>
                <w:szCs w:val="16"/>
                <w:lang w:eastAsia="de-DE"/>
              </w:rPr>
              <w:t>Feedback specifications</w:t>
            </w:r>
          </w:p>
          <w:p w14:paraId="2F9AEA2F" w14:textId="43F0F154" w:rsidR="00021F61" w:rsidRPr="00467EF2" w:rsidRDefault="00021F61" w:rsidP="00021F61">
            <w:pPr>
              <w:spacing w:before="0" w:after="0"/>
              <w:rPr>
                <w:rFonts w:ascii="Calibri" w:eastAsia="Times New Roman" w:hAnsi="Calibri" w:cs="Calibri"/>
                <w:b/>
                <w:bCs/>
                <w:color w:val="000000"/>
                <w:sz w:val="16"/>
                <w:szCs w:val="16"/>
                <w:lang w:eastAsia="de-DE"/>
              </w:rPr>
            </w:pPr>
          </w:p>
          <w:p w14:paraId="6516D634" w14:textId="24434669" w:rsidR="00021F61" w:rsidRPr="00467EF2" w:rsidRDefault="00021F61" w:rsidP="00021F61">
            <w:pPr>
              <w:spacing w:before="0" w:after="0"/>
              <w:rPr>
                <w:rFonts w:ascii="Calibri" w:eastAsia="Times New Roman" w:hAnsi="Calibri" w:cs="Calibri"/>
                <w:b/>
                <w:bCs/>
                <w:color w:val="000000"/>
                <w:sz w:val="16"/>
                <w:szCs w:val="16"/>
                <w:lang w:eastAsia="de-DE"/>
              </w:rPr>
            </w:pPr>
          </w:p>
          <w:p w14:paraId="05AAF0FB" w14:textId="289A0729" w:rsidR="00021F61" w:rsidRPr="00467EF2" w:rsidRDefault="00021F61" w:rsidP="00021F61">
            <w:pPr>
              <w:spacing w:before="0" w:after="0"/>
              <w:rPr>
                <w:rFonts w:ascii="Calibri" w:eastAsia="Times New Roman" w:hAnsi="Calibri" w:cs="Calibri"/>
                <w:b/>
                <w:color w:val="000000"/>
                <w:sz w:val="16"/>
                <w:szCs w:val="16"/>
                <w:lang w:eastAsia="de-DE"/>
              </w:rPr>
            </w:pPr>
          </w:p>
        </w:tc>
        <w:tc>
          <w:tcPr>
            <w:tcW w:w="425" w:type="dxa"/>
            <w:tcBorders>
              <w:top w:val="single" w:sz="4" w:space="0" w:color="auto"/>
              <w:left w:val="nil"/>
              <w:right w:val="nil"/>
            </w:tcBorders>
            <w:shd w:val="clear" w:color="auto" w:fill="A6A6A6" w:themeFill="background1" w:themeFillShade="A6"/>
            <w:vAlign w:val="bottom"/>
          </w:tcPr>
          <w:p w14:paraId="016E3907" w14:textId="3CB79001"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bCs/>
                <w:color w:val="000000"/>
                <w:sz w:val="16"/>
                <w:szCs w:val="16"/>
                <w:lang w:eastAsia="de-DE"/>
              </w:rPr>
              <w:t>4a</w:t>
            </w:r>
          </w:p>
        </w:tc>
        <w:tc>
          <w:tcPr>
            <w:tcW w:w="3201" w:type="dxa"/>
            <w:gridSpan w:val="3"/>
            <w:tcBorders>
              <w:top w:val="single" w:sz="4" w:space="0" w:color="auto"/>
              <w:left w:val="nil"/>
              <w:bottom w:val="nil"/>
              <w:right w:val="nil"/>
            </w:tcBorders>
            <w:shd w:val="clear" w:color="000000" w:fill="A6A6A6"/>
            <w:noWrap/>
            <w:vAlign w:val="bottom"/>
            <w:hideMark/>
          </w:tcPr>
          <w:p w14:paraId="09EB8037" w14:textId="253054FE"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Online feature extraction</w:t>
            </w:r>
          </w:p>
        </w:tc>
        <w:tc>
          <w:tcPr>
            <w:tcW w:w="342" w:type="dxa"/>
            <w:tcBorders>
              <w:top w:val="single" w:sz="4" w:space="0" w:color="auto"/>
              <w:left w:val="nil"/>
              <w:bottom w:val="nil"/>
              <w:right w:val="nil"/>
            </w:tcBorders>
            <w:shd w:val="clear" w:color="auto" w:fill="auto"/>
            <w:noWrap/>
            <w:vAlign w:val="bottom"/>
            <w:hideMark/>
          </w:tcPr>
          <w:p w14:paraId="2AA265D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3329DB3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67CBE5A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14374B76"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28569C06"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1DAC67D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7A17D4B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7F48E3E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2A5CB46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41824510"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3DA048A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490F562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6C69E8B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3610C12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3BCF53A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1BC82C7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695FB1E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17395D8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0EC63075"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643DAA4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2CB970D5"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gridSpan w:val="2"/>
            <w:tcBorders>
              <w:top w:val="single" w:sz="4" w:space="0" w:color="auto"/>
              <w:left w:val="nil"/>
              <w:bottom w:val="nil"/>
              <w:right w:val="nil"/>
            </w:tcBorders>
            <w:shd w:val="clear" w:color="auto" w:fill="auto"/>
            <w:noWrap/>
            <w:vAlign w:val="bottom"/>
            <w:hideMark/>
          </w:tcPr>
          <w:p w14:paraId="612A6076"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512" w:type="dxa"/>
            <w:tcBorders>
              <w:top w:val="single" w:sz="4" w:space="0" w:color="auto"/>
              <w:left w:val="nil"/>
              <w:bottom w:val="nil"/>
              <w:right w:val="nil"/>
            </w:tcBorders>
            <w:shd w:val="clear" w:color="auto" w:fill="auto"/>
            <w:noWrap/>
            <w:vAlign w:val="bottom"/>
            <w:hideMark/>
          </w:tcPr>
          <w:p w14:paraId="31C37AD7" w14:textId="23D0C6CD" w:rsidR="00021F61" w:rsidRPr="00467EF2" w:rsidRDefault="00021F61" w:rsidP="00021F61">
            <w:pPr>
              <w:spacing w:before="0" w:after="0"/>
              <w:jc w:val="right"/>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21</w:t>
            </w:r>
          </w:p>
        </w:tc>
      </w:tr>
      <w:tr w:rsidR="00021F61" w:rsidRPr="000F1A58" w14:paraId="1F3AF63C" w14:textId="77777777" w:rsidTr="00021F61">
        <w:trPr>
          <w:gridAfter w:val="1"/>
          <w:wAfter w:w="2029" w:type="dxa"/>
          <w:trHeight w:val="20"/>
        </w:trPr>
        <w:tc>
          <w:tcPr>
            <w:tcW w:w="1560" w:type="dxa"/>
            <w:gridSpan w:val="2"/>
            <w:vMerge/>
            <w:tcBorders>
              <w:left w:val="nil"/>
              <w:right w:val="nil"/>
            </w:tcBorders>
            <w:shd w:val="clear" w:color="auto" w:fill="auto"/>
            <w:noWrap/>
          </w:tcPr>
          <w:p w14:paraId="132A7D88" w14:textId="7716BFB4" w:rsidR="00021F61" w:rsidRPr="00467EF2" w:rsidRDefault="00021F61" w:rsidP="00021F61">
            <w:pPr>
              <w:spacing w:before="0" w:after="0"/>
              <w:rPr>
                <w:rFonts w:ascii="Calibri" w:eastAsia="Times New Roman" w:hAnsi="Calibri" w:cs="Calibri"/>
                <w:b/>
                <w:bCs/>
                <w:color w:val="000000"/>
                <w:sz w:val="16"/>
                <w:szCs w:val="16"/>
                <w:lang w:eastAsia="de-DE"/>
              </w:rPr>
            </w:pPr>
          </w:p>
        </w:tc>
        <w:tc>
          <w:tcPr>
            <w:tcW w:w="425" w:type="dxa"/>
            <w:tcBorders>
              <w:left w:val="nil"/>
              <w:right w:val="nil"/>
            </w:tcBorders>
            <w:shd w:val="clear" w:color="auto" w:fill="A6A6A6" w:themeFill="background1" w:themeFillShade="A6"/>
            <w:vAlign w:val="bottom"/>
          </w:tcPr>
          <w:p w14:paraId="79ECA422" w14:textId="7AF09295"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bCs/>
                <w:color w:val="000000"/>
                <w:sz w:val="16"/>
                <w:szCs w:val="16"/>
                <w:lang w:eastAsia="de-DE"/>
              </w:rPr>
              <w:t>4b*</w:t>
            </w:r>
          </w:p>
        </w:tc>
        <w:tc>
          <w:tcPr>
            <w:tcW w:w="3201" w:type="dxa"/>
            <w:gridSpan w:val="3"/>
            <w:tcBorders>
              <w:top w:val="nil"/>
              <w:left w:val="nil"/>
              <w:bottom w:val="nil"/>
              <w:right w:val="nil"/>
            </w:tcBorders>
            <w:shd w:val="clear" w:color="000000" w:fill="A6A6A6"/>
            <w:noWrap/>
            <w:vAlign w:val="bottom"/>
            <w:hideMark/>
          </w:tcPr>
          <w:p w14:paraId="601E8034" w14:textId="116BB029"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Reinforcement schedule</w:t>
            </w:r>
          </w:p>
        </w:tc>
        <w:tc>
          <w:tcPr>
            <w:tcW w:w="342" w:type="dxa"/>
            <w:tcBorders>
              <w:top w:val="nil"/>
              <w:left w:val="nil"/>
              <w:bottom w:val="nil"/>
              <w:right w:val="nil"/>
            </w:tcBorders>
            <w:shd w:val="clear" w:color="auto" w:fill="auto"/>
            <w:noWrap/>
            <w:vAlign w:val="bottom"/>
            <w:hideMark/>
          </w:tcPr>
          <w:p w14:paraId="0D2934C5"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00DA0FE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48A1F74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089916A6"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74069CC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3CBA045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474478E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28DF422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17FAE01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0E74869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275CF2D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33DD696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5021E7A4"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3FC05A24"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514EEF9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5C497B5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0A0EC25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7342E48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684666E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6FE6DE5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06EBDC4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gridSpan w:val="2"/>
            <w:tcBorders>
              <w:top w:val="nil"/>
              <w:left w:val="nil"/>
              <w:bottom w:val="nil"/>
              <w:right w:val="nil"/>
            </w:tcBorders>
            <w:shd w:val="clear" w:color="auto" w:fill="auto"/>
            <w:noWrap/>
            <w:vAlign w:val="bottom"/>
            <w:hideMark/>
          </w:tcPr>
          <w:p w14:paraId="216EB6F6"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512" w:type="dxa"/>
            <w:tcBorders>
              <w:top w:val="nil"/>
              <w:left w:val="nil"/>
              <w:bottom w:val="nil"/>
              <w:right w:val="nil"/>
            </w:tcBorders>
            <w:shd w:val="clear" w:color="auto" w:fill="auto"/>
            <w:noWrap/>
            <w:vAlign w:val="bottom"/>
            <w:hideMark/>
          </w:tcPr>
          <w:p w14:paraId="2F6DB80F" w14:textId="115A6331" w:rsidR="00021F61" w:rsidRPr="00467EF2" w:rsidRDefault="00021F61" w:rsidP="00021F61">
            <w:pPr>
              <w:spacing w:before="0" w:after="0"/>
              <w:jc w:val="right"/>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16</w:t>
            </w:r>
          </w:p>
        </w:tc>
      </w:tr>
      <w:tr w:rsidR="00021F61" w:rsidRPr="000F1A58" w14:paraId="5FD98671" w14:textId="77777777" w:rsidTr="00021F61">
        <w:trPr>
          <w:gridAfter w:val="1"/>
          <w:wAfter w:w="2029" w:type="dxa"/>
          <w:trHeight w:val="20"/>
        </w:trPr>
        <w:tc>
          <w:tcPr>
            <w:tcW w:w="1560" w:type="dxa"/>
            <w:gridSpan w:val="2"/>
            <w:vMerge/>
            <w:tcBorders>
              <w:left w:val="nil"/>
              <w:right w:val="nil"/>
            </w:tcBorders>
            <w:shd w:val="clear" w:color="auto" w:fill="auto"/>
            <w:noWrap/>
          </w:tcPr>
          <w:p w14:paraId="34052D05" w14:textId="3B3D1C60" w:rsidR="00021F61" w:rsidRPr="00467EF2" w:rsidRDefault="00021F61" w:rsidP="00021F61">
            <w:pPr>
              <w:spacing w:before="0" w:after="0"/>
              <w:rPr>
                <w:rFonts w:ascii="Calibri" w:eastAsia="Times New Roman" w:hAnsi="Calibri" w:cs="Calibri"/>
                <w:b/>
                <w:bCs/>
                <w:color w:val="000000"/>
                <w:sz w:val="16"/>
                <w:szCs w:val="16"/>
                <w:lang w:eastAsia="de-DE"/>
              </w:rPr>
            </w:pPr>
          </w:p>
        </w:tc>
        <w:tc>
          <w:tcPr>
            <w:tcW w:w="425" w:type="dxa"/>
            <w:tcBorders>
              <w:left w:val="nil"/>
              <w:right w:val="nil"/>
            </w:tcBorders>
            <w:shd w:val="clear" w:color="auto" w:fill="A6A6A6" w:themeFill="background1" w:themeFillShade="A6"/>
            <w:vAlign w:val="bottom"/>
          </w:tcPr>
          <w:p w14:paraId="2557280F" w14:textId="439B5114"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bCs/>
                <w:color w:val="000000"/>
                <w:sz w:val="16"/>
                <w:szCs w:val="16"/>
                <w:lang w:eastAsia="de-DE"/>
              </w:rPr>
              <w:t>4c</w:t>
            </w:r>
          </w:p>
        </w:tc>
        <w:tc>
          <w:tcPr>
            <w:tcW w:w="3201" w:type="dxa"/>
            <w:gridSpan w:val="3"/>
            <w:tcBorders>
              <w:top w:val="nil"/>
              <w:left w:val="nil"/>
              <w:bottom w:val="nil"/>
              <w:right w:val="nil"/>
            </w:tcBorders>
            <w:shd w:val="clear" w:color="000000" w:fill="A6A6A6"/>
            <w:noWrap/>
            <w:vAlign w:val="bottom"/>
            <w:hideMark/>
          </w:tcPr>
          <w:p w14:paraId="459CEEC2" w14:textId="25EE2B46"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Feedback modality and content</w:t>
            </w:r>
          </w:p>
        </w:tc>
        <w:tc>
          <w:tcPr>
            <w:tcW w:w="342" w:type="dxa"/>
            <w:tcBorders>
              <w:top w:val="nil"/>
              <w:left w:val="nil"/>
              <w:bottom w:val="nil"/>
              <w:right w:val="nil"/>
            </w:tcBorders>
            <w:shd w:val="clear" w:color="auto" w:fill="auto"/>
            <w:noWrap/>
            <w:vAlign w:val="bottom"/>
            <w:hideMark/>
          </w:tcPr>
          <w:p w14:paraId="30806F6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4A3F987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04C8EE5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2B6C42A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73466366"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6E60329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7B82CD4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6409528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54B051D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0B3FCF64"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2A03EA9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734BBD0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3BA0BB3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203C2EC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3FDBB920"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6B59CDE0"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6F3BEEA0"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693E71D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1BA195A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20F7E88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619FBB2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gridSpan w:val="2"/>
            <w:tcBorders>
              <w:top w:val="nil"/>
              <w:left w:val="nil"/>
              <w:bottom w:val="nil"/>
              <w:right w:val="nil"/>
            </w:tcBorders>
            <w:shd w:val="clear" w:color="auto" w:fill="auto"/>
            <w:noWrap/>
            <w:vAlign w:val="bottom"/>
            <w:hideMark/>
          </w:tcPr>
          <w:p w14:paraId="47DCF2D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512" w:type="dxa"/>
            <w:tcBorders>
              <w:top w:val="nil"/>
              <w:left w:val="nil"/>
              <w:bottom w:val="nil"/>
              <w:right w:val="nil"/>
            </w:tcBorders>
            <w:shd w:val="clear" w:color="auto" w:fill="auto"/>
            <w:noWrap/>
            <w:vAlign w:val="bottom"/>
            <w:hideMark/>
          </w:tcPr>
          <w:p w14:paraId="025DB446" w14:textId="1E48B859" w:rsidR="00021F61" w:rsidRPr="00467EF2" w:rsidRDefault="00021F61" w:rsidP="00021F61">
            <w:pPr>
              <w:spacing w:before="0" w:after="0"/>
              <w:jc w:val="right"/>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22</w:t>
            </w:r>
          </w:p>
        </w:tc>
      </w:tr>
      <w:tr w:rsidR="00021F61" w:rsidRPr="000F1A58" w14:paraId="6A860ED3" w14:textId="77777777" w:rsidTr="00021F61">
        <w:trPr>
          <w:gridAfter w:val="1"/>
          <w:wAfter w:w="2029" w:type="dxa"/>
          <w:trHeight w:val="20"/>
        </w:trPr>
        <w:tc>
          <w:tcPr>
            <w:tcW w:w="1560" w:type="dxa"/>
            <w:gridSpan w:val="2"/>
            <w:vMerge/>
            <w:tcBorders>
              <w:left w:val="nil"/>
              <w:right w:val="nil"/>
            </w:tcBorders>
            <w:shd w:val="clear" w:color="auto" w:fill="auto"/>
            <w:noWrap/>
          </w:tcPr>
          <w:p w14:paraId="370792EB" w14:textId="243E0C8C" w:rsidR="00021F61" w:rsidRPr="00467EF2" w:rsidRDefault="00021F61" w:rsidP="00021F61">
            <w:pPr>
              <w:spacing w:before="0" w:after="0"/>
              <w:rPr>
                <w:rFonts w:ascii="Calibri" w:eastAsia="Times New Roman" w:hAnsi="Calibri" w:cs="Calibri"/>
                <w:b/>
                <w:bCs/>
                <w:color w:val="000000"/>
                <w:sz w:val="16"/>
                <w:szCs w:val="16"/>
                <w:lang w:eastAsia="de-DE"/>
              </w:rPr>
            </w:pPr>
          </w:p>
        </w:tc>
        <w:tc>
          <w:tcPr>
            <w:tcW w:w="425" w:type="dxa"/>
            <w:tcBorders>
              <w:left w:val="nil"/>
              <w:right w:val="nil"/>
            </w:tcBorders>
            <w:shd w:val="clear" w:color="auto" w:fill="A6A6A6" w:themeFill="background1" w:themeFillShade="A6"/>
            <w:vAlign w:val="bottom"/>
          </w:tcPr>
          <w:p w14:paraId="49651F56" w14:textId="77A8D869" w:rsidR="00021F61" w:rsidRPr="000F1A58"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bCs/>
                <w:color w:val="000000"/>
                <w:sz w:val="16"/>
                <w:szCs w:val="16"/>
                <w:lang w:eastAsia="de-DE"/>
              </w:rPr>
              <w:t>4d*</w:t>
            </w:r>
          </w:p>
        </w:tc>
        <w:tc>
          <w:tcPr>
            <w:tcW w:w="3201" w:type="dxa"/>
            <w:gridSpan w:val="3"/>
            <w:tcBorders>
              <w:top w:val="nil"/>
              <w:left w:val="nil"/>
              <w:bottom w:val="nil"/>
              <w:right w:val="nil"/>
            </w:tcBorders>
            <w:shd w:val="clear" w:color="000000" w:fill="A6A6A6"/>
            <w:noWrap/>
            <w:vAlign w:val="bottom"/>
            <w:hideMark/>
          </w:tcPr>
          <w:p w14:paraId="389C0123" w14:textId="4427C992" w:rsidR="00021F61" w:rsidRPr="000F1A58" w:rsidRDefault="00021F61" w:rsidP="00021F61">
            <w:pPr>
              <w:spacing w:before="0" w:after="0"/>
              <w:rPr>
                <w:rFonts w:ascii="Calibri" w:eastAsia="Times New Roman" w:hAnsi="Calibri" w:cs="Calibri"/>
                <w:color w:val="000000"/>
                <w:sz w:val="16"/>
                <w:szCs w:val="16"/>
                <w:lang w:eastAsia="de-DE"/>
              </w:rPr>
            </w:pPr>
            <w:r w:rsidRPr="000F1A58">
              <w:rPr>
                <w:rFonts w:ascii="Calibri" w:eastAsia="Times New Roman" w:hAnsi="Calibri" w:cs="Calibri"/>
                <w:color w:val="000000"/>
                <w:sz w:val="16"/>
                <w:szCs w:val="16"/>
                <w:lang w:eastAsia="de-DE"/>
              </w:rPr>
              <w:t>Brain activity variables used for feedback</w:t>
            </w:r>
          </w:p>
        </w:tc>
        <w:tc>
          <w:tcPr>
            <w:tcW w:w="342" w:type="dxa"/>
            <w:tcBorders>
              <w:top w:val="nil"/>
              <w:left w:val="nil"/>
              <w:bottom w:val="nil"/>
              <w:right w:val="nil"/>
            </w:tcBorders>
            <w:shd w:val="clear" w:color="auto" w:fill="auto"/>
            <w:noWrap/>
            <w:vAlign w:val="bottom"/>
            <w:hideMark/>
          </w:tcPr>
          <w:p w14:paraId="53E4654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7C0ED65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6040ED1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35D47B60"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338DDA8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64065AC4"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62D5019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20AB0FB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5D87B89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3AC1B7D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34B6D9B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65CC4D06"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69B3DAC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33DE2C2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6D510F7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59CC0C25"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03FACA4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472EA94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6422194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nil"/>
              <w:right w:val="nil"/>
            </w:tcBorders>
            <w:shd w:val="clear" w:color="auto" w:fill="auto"/>
            <w:noWrap/>
            <w:vAlign w:val="bottom"/>
            <w:hideMark/>
          </w:tcPr>
          <w:p w14:paraId="0B30DA5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nil"/>
              <w:right w:val="nil"/>
            </w:tcBorders>
            <w:shd w:val="clear" w:color="auto" w:fill="auto"/>
            <w:noWrap/>
            <w:vAlign w:val="bottom"/>
            <w:hideMark/>
          </w:tcPr>
          <w:p w14:paraId="6C3506C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gridSpan w:val="2"/>
            <w:tcBorders>
              <w:top w:val="nil"/>
              <w:left w:val="nil"/>
              <w:bottom w:val="nil"/>
              <w:right w:val="nil"/>
            </w:tcBorders>
            <w:shd w:val="clear" w:color="auto" w:fill="auto"/>
            <w:noWrap/>
            <w:vAlign w:val="bottom"/>
            <w:hideMark/>
          </w:tcPr>
          <w:p w14:paraId="4951216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512" w:type="dxa"/>
            <w:tcBorders>
              <w:top w:val="nil"/>
              <w:left w:val="nil"/>
              <w:bottom w:val="nil"/>
              <w:right w:val="nil"/>
            </w:tcBorders>
            <w:shd w:val="clear" w:color="auto" w:fill="auto"/>
            <w:noWrap/>
            <w:vAlign w:val="bottom"/>
            <w:hideMark/>
          </w:tcPr>
          <w:p w14:paraId="487C7AF6" w14:textId="747229F3" w:rsidR="00021F61" w:rsidRPr="00467EF2" w:rsidRDefault="00021F61" w:rsidP="00021F61">
            <w:pPr>
              <w:spacing w:before="0" w:after="0"/>
              <w:jc w:val="right"/>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18</w:t>
            </w:r>
          </w:p>
        </w:tc>
      </w:tr>
      <w:tr w:rsidR="00021F61" w:rsidRPr="000F1A58" w14:paraId="1D7BD700" w14:textId="77777777" w:rsidTr="00021F61">
        <w:trPr>
          <w:gridAfter w:val="1"/>
          <w:wAfter w:w="2029" w:type="dxa"/>
          <w:trHeight w:val="20"/>
        </w:trPr>
        <w:tc>
          <w:tcPr>
            <w:tcW w:w="1560" w:type="dxa"/>
            <w:gridSpan w:val="2"/>
            <w:vMerge/>
            <w:tcBorders>
              <w:left w:val="nil"/>
              <w:bottom w:val="single" w:sz="4" w:space="0" w:color="auto"/>
              <w:right w:val="nil"/>
            </w:tcBorders>
            <w:shd w:val="clear" w:color="auto" w:fill="auto"/>
            <w:noWrap/>
          </w:tcPr>
          <w:p w14:paraId="33F39E3A" w14:textId="60CBCA48" w:rsidR="00021F61" w:rsidRPr="00467EF2" w:rsidRDefault="00021F61" w:rsidP="00021F61">
            <w:pPr>
              <w:spacing w:before="0" w:after="0"/>
              <w:rPr>
                <w:rFonts w:ascii="Calibri" w:eastAsia="Times New Roman" w:hAnsi="Calibri" w:cs="Calibri"/>
                <w:b/>
                <w:bCs/>
                <w:color w:val="000000"/>
                <w:sz w:val="16"/>
                <w:szCs w:val="16"/>
                <w:lang w:eastAsia="de-DE"/>
              </w:rPr>
            </w:pPr>
          </w:p>
        </w:tc>
        <w:tc>
          <w:tcPr>
            <w:tcW w:w="425" w:type="dxa"/>
            <w:tcBorders>
              <w:left w:val="nil"/>
              <w:bottom w:val="single" w:sz="4" w:space="0" w:color="auto"/>
              <w:right w:val="nil"/>
            </w:tcBorders>
            <w:shd w:val="clear" w:color="auto" w:fill="A6A6A6" w:themeFill="background1" w:themeFillShade="A6"/>
            <w:vAlign w:val="bottom"/>
          </w:tcPr>
          <w:p w14:paraId="306602C7" w14:textId="79EF5DEC"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bCs/>
                <w:color w:val="000000"/>
                <w:sz w:val="16"/>
                <w:szCs w:val="16"/>
                <w:lang w:eastAsia="de-DE"/>
              </w:rPr>
              <w:t>4e</w:t>
            </w:r>
          </w:p>
        </w:tc>
        <w:tc>
          <w:tcPr>
            <w:tcW w:w="3201" w:type="dxa"/>
            <w:gridSpan w:val="3"/>
            <w:tcBorders>
              <w:top w:val="nil"/>
              <w:left w:val="nil"/>
              <w:bottom w:val="single" w:sz="4" w:space="0" w:color="auto"/>
              <w:right w:val="nil"/>
            </w:tcBorders>
            <w:shd w:val="clear" w:color="000000" w:fill="A6A6A6"/>
            <w:noWrap/>
            <w:vAlign w:val="bottom"/>
            <w:hideMark/>
          </w:tcPr>
          <w:p w14:paraId="2409EE4A" w14:textId="701AE719"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 xml:space="preserve">Hardware and </w:t>
            </w:r>
            <w:r w:rsidR="008E6B50" w:rsidRPr="00467EF2">
              <w:rPr>
                <w:rFonts w:ascii="Calibri" w:eastAsia="Times New Roman" w:hAnsi="Calibri" w:cs="Calibri"/>
                <w:color w:val="000000"/>
                <w:sz w:val="16"/>
                <w:szCs w:val="16"/>
                <w:lang w:eastAsia="de-DE"/>
              </w:rPr>
              <w:t>s</w:t>
            </w:r>
            <w:r w:rsidRPr="00467EF2">
              <w:rPr>
                <w:rFonts w:ascii="Calibri" w:eastAsia="Times New Roman" w:hAnsi="Calibri" w:cs="Calibri"/>
                <w:color w:val="000000"/>
                <w:sz w:val="16"/>
                <w:szCs w:val="16"/>
                <w:lang w:eastAsia="de-DE"/>
              </w:rPr>
              <w:t>oftware</w:t>
            </w:r>
          </w:p>
        </w:tc>
        <w:tc>
          <w:tcPr>
            <w:tcW w:w="342" w:type="dxa"/>
            <w:tcBorders>
              <w:top w:val="nil"/>
              <w:left w:val="nil"/>
              <w:bottom w:val="single" w:sz="4" w:space="0" w:color="auto"/>
              <w:right w:val="nil"/>
            </w:tcBorders>
            <w:shd w:val="clear" w:color="auto" w:fill="auto"/>
            <w:noWrap/>
            <w:vAlign w:val="bottom"/>
            <w:hideMark/>
          </w:tcPr>
          <w:p w14:paraId="2C0750D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2FB53EA5"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5731010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0E024A0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08DDF2F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45BF999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62743335"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1EDD740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30B959C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51B71A30"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787481E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28A9167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79CEF9D6"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14539290"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652A4FB0"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234007A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6A73518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650BDED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1371CC4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0FB6B3A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6F1620A5"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gridSpan w:val="2"/>
            <w:tcBorders>
              <w:top w:val="nil"/>
              <w:left w:val="nil"/>
              <w:bottom w:val="single" w:sz="4" w:space="0" w:color="auto"/>
              <w:right w:val="nil"/>
            </w:tcBorders>
            <w:shd w:val="clear" w:color="auto" w:fill="auto"/>
            <w:noWrap/>
            <w:vAlign w:val="bottom"/>
            <w:hideMark/>
          </w:tcPr>
          <w:p w14:paraId="3EEF4F2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512" w:type="dxa"/>
            <w:tcBorders>
              <w:top w:val="nil"/>
              <w:left w:val="nil"/>
              <w:bottom w:val="single" w:sz="4" w:space="0" w:color="auto"/>
              <w:right w:val="nil"/>
            </w:tcBorders>
            <w:shd w:val="clear" w:color="auto" w:fill="auto"/>
            <w:noWrap/>
            <w:vAlign w:val="bottom"/>
            <w:hideMark/>
          </w:tcPr>
          <w:p w14:paraId="7DBB821F" w14:textId="5271C807" w:rsidR="00021F61" w:rsidRPr="00467EF2" w:rsidRDefault="00021F61" w:rsidP="00021F61">
            <w:pPr>
              <w:spacing w:before="0" w:after="0"/>
              <w:jc w:val="right"/>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22</w:t>
            </w:r>
          </w:p>
        </w:tc>
      </w:tr>
      <w:tr w:rsidR="00021F61" w:rsidRPr="000F1A58" w14:paraId="5439B4C7" w14:textId="77777777" w:rsidTr="00021F61">
        <w:trPr>
          <w:gridAfter w:val="1"/>
          <w:wAfter w:w="2029" w:type="dxa"/>
          <w:trHeight w:val="20"/>
        </w:trPr>
        <w:tc>
          <w:tcPr>
            <w:tcW w:w="1560" w:type="dxa"/>
            <w:gridSpan w:val="2"/>
            <w:vMerge w:val="restart"/>
            <w:tcBorders>
              <w:top w:val="single" w:sz="4" w:space="0" w:color="auto"/>
              <w:left w:val="nil"/>
              <w:right w:val="nil"/>
            </w:tcBorders>
            <w:shd w:val="clear" w:color="auto" w:fill="auto"/>
            <w:noWrap/>
          </w:tcPr>
          <w:p w14:paraId="4ECADF8C" w14:textId="141E15F2" w:rsidR="00021F61" w:rsidRPr="00467EF2" w:rsidRDefault="00021F61" w:rsidP="00021F61">
            <w:pPr>
              <w:spacing w:before="0" w:after="0"/>
              <w:rPr>
                <w:rFonts w:ascii="Calibri" w:eastAsia="Times New Roman" w:hAnsi="Calibri" w:cs="Calibri"/>
                <w:b/>
                <w:color w:val="000000"/>
                <w:sz w:val="16"/>
                <w:szCs w:val="16"/>
                <w:lang w:eastAsia="de-DE"/>
              </w:rPr>
            </w:pPr>
            <w:r w:rsidRPr="00467EF2">
              <w:rPr>
                <w:rFonts w:ascii="Calibri" w:eastAsia="Times New Roman" w:hAnsi="Calibri" w:cs="Calibri"/>
                <w:b/>
                <w:color w:val="000000"/>
                <w:sz w:val="16"/>
                <w:szCs w:val="16"/>
                <w:lang w:eastAsia="de-DE"/>
              </w:rPr>
              <w:t>Outcome measures – Brain</w:t>
            </w:r>
          </w:p>
          <w:p w14:paraId="32F3D8AB" w14:textId="0F07F91E" w:rsidR="00021F61" w:rsidRPr="00467EF2" w:rsidRDefault="00021F61" w:rsidP="00021F61">
            <w:pPr>
              <w:spacing w:before="0" w:after="0"/>
              <w:rPr>
                <w:rFonts w:ascii="Calibri" w:eastAsia="Times New Roman" w:hAnsi="Calibri" w:cs="Calibri"/>
                <w:b/>
                <w:color w:val="000000"/>
                <w:sz w:val="16"/>
                <w:szCs w:val="16"/>
                <w:lang w:eastAsia="de-DE"/>
              </w:rPr>
            </w:pPr>
          </w:p>
        </w:tc>
        <w:tc>
          <w:tcPr>
            <w:tcW w:w="425" w:type="dxa"/>
            <w:tcBorders>
              <w:top w:val="single" w:sz="4" w:space="0" w:color="auto"/>
              <w:left w:val="nil"/>
              <w:right w:val="nil"/>
            </w:tcBorders>
            <w:shd w:val="clear" w:color="auto" w:fill="A6A6A6" w:themeFill="background1" w:themeFillShade="A6"/>
            <w:vAlign w:val="bottom"/>
          </w:tcPr>
          <w:p w14:paraId="44BE8FDE" w14:textId="0120F740"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bCs/>
                <w:color w:val="000000"/>
                <w:sz w:val="16"/>
                <w:szCs w:val="16"/>
                <w:lang w:eastAsia="de-DE"/>
              </w:rPr>
              <w:t>5a</w:t>
            </w:r>
          </w:p>
        </w:tc>
        <w:tc>
          <w:tcPr>
            <w:tcW w:w="3201" w:type="dxa"/>
            <w:gridSpan w:val="3"/>
            <w:tcBorders>
              <w:top w:val="single" w:sz="4" w:space="0" w:color="auto"/>
              <w:left w:val="nil"/>
              <w:bottom w:val="nil"/>
              <w:right w:val="nil"/>
            </w:tcBorders>
            <w:shd w:val="clear" w:color="000000" w:fill="A6A6A6"/>
            <w:noWrap/>
            <w:vAlign w:val="bottom"/>
            <w:hideMark/>
          </w:tcPr>
          <w:p w14:paraId="4FCBDE67" w14:textId="671E0761"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Neurofeedback regulation success</w:t>
            </w:r>
          </w:p>
        </w:tc>
        <w:tc>
          <w:tcPr>
            <w:tcW w:w="342" w:type="dxa"/>
            <w:tcBorders>
              <w:top w:val="single" w:sz="4" w:space="0" w:color="auto"/>
              <w:left w:val="nil"/>
              <w:bottom w:val="nil"/>
              <w:right w:val="nil"/>
            </w:tcBorders>
            <w:shd w:val="clear" w:color="auto" w:fill="auto"/>
            <w:noWrap/>
            <w:vAlign w:val="bottom"/>
            <w:hideMark/>
          </w:tcPr>
          <w:p w14:paraId="5B1FFDC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75582F8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5325607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5BF33F4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1DD0470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5A420AD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32A6F3D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49E60E45"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19BE549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35C10C4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4A013305"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2B0F333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012D7EA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495FCDA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7B61D12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72A23ED4"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55512D8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264D284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7910070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single" w:sz="4" w:space="0" w:color="auto"/>
              <w:left w:val="nil"/>
              <w:bottom w:val="nil"/>
              <w:right w:val="nil"/>
            </w:tcBorders>
            <w:shd w:val="clear" w:color="auto" w:fill="auto"/>
            <w:noWrap/>
            <w:vAlign w:val="bottom"/>
            <w:hideMark/>
          </w:tcPr>
          <w:p w14:paraId="76E9CD4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nil"/>
              <w:right w:val="nil"/>
            </w:tcBorders>
            <w:shd w:val="clear" w:color="auto" w:fill="auto"/>
            <w:noWrap/>
            <w:vAlign w:val="bottom"/>
            <w:hideMark/>
          </w:tcPr>
          <w:p w14:paraId="0275699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gridSpan w:val="2"/>
            <w:tcBorders>
              <w:top w:val="single" w:sz="4" w:space="0" w:color="auto"/>
              <w:left w:val="nil"/>
              <w:bottom w:val="nil"/>
              <w:right w:val="nil"/>
            </w:tcBorders>
            <w:shd w:val="clear" w:color="auto" w:fill="auto"/>
            <w:noWrap/>
            <w:vAlign w:val="bottom"/>
            <w:hideMark/>
          </w:tcPr>
          <w:p w14:paraId="6D5FF036"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512" w:type="dxa"/>
            <w:tcBorders>
              <w:top w:val="single" w:sz="4" w:space="0" w:color="auto"/>
              <w:left w:val="nil"/>
              <w:bottom w:val="nil"/>
              <w:right w:val="nil"/>
            </w:tcBorders>
            <w:shd w:val="clear" w:color="auto" w:fill="auto"/>
            <w:noWrap/>
            <w:vAlign w:val="bottom"/>
            <w:hideMark/>
          </w:tcPr>
          <w:p w14:paraId="148F3039" w14:textId="79CF98B9" w:rsidR="00021F61" w:rsidRPr="00467EF2" w:rsidRDefault="00021F61" w:rsidP="00021F61">
            <w:pPr>
              <w:spacing w:before="0" w:after="0"/>
              <w:jc w:val="right"/>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18</w:t>
            </w:r>
          </w:p>
        </w:tc>
      </w:tr>
      <w:tr w:rsidR="00021F61" w:rsidRPr="000F1A58" w14:paraId="6E428C08" w14:textId="77777777" w:rsidTr="00021F61">
        <w:trPr>
          <w:gridAfter w:val="1"/>
          <w:wAfter w:w="2029" w:type="dxa"/>
          <w:trHeight w:val="20"/>
        </w:trPr>
        <w:tc>
          <w:tcPr>
            <w:tcW w:w="1560" w:type="dxa"/>
            <w:gridSpan w:val="2"/>
            <w:vMerge/>
            <w:tcBorders>
              <w:left w:val="nil"/>
              <w:right w:val="nil"/>
            </w:tcBorders>
            <w:shd w:val="clear" w:color="auto" w:fill="auto"/>
            <w:noWrap/>
          </w:tcPr>
          <w:p w14:paraId="44D9075E" w14:textId="1B9207D1" w:rsidR="00021F61" w:rsidRPr="00467EF2" w:rsidRDefault="00021F61" w:rsidP="00021F61">
            <w:pPr>
              <w:spacing w:before="0" w:after="0"/>
              <w:rPr>
                <w:rFonts w:ascii="Calibri" w:eastAsia="Times New Roman" w:hAnsi="Calibri" w:cs="Calibri"/>
                <w:b/>
                <w:bCs/>
                <w:color w:val="000000"/>
                <w:sz w:val="16"/>
                <w:szCs w:val="16"/>
                <w:lang w:eastAsia="de-DE"/>
              </w:rPr>
            </w:pPr>
          </w:p>
        </w:tc>
        <w:tc>
          <w:tcPr>
            <w:tcW w:w="425" w:type="dxa"/>
            <w:tcBorders>
              <w:left w:val="nil"/>
              <w:right w:val="nil"/>
            </w:tcBorders>
            <w:shd w:val="clear" w:color="auto" w:fill="A6A6A6" w:themeFill="background1" w:themeFillShade="A6"/>
            <w:vAlign w:val="bottom"/>
          </w:tcPr>
          <w:p w14:paraId="04C38258" w14:textId="45466D8D" w:rsidR="00021F61" w:rsidRPr="000F1A58"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bCs/>
                <w:color w:val="000000"/>
                <w:sz w:val="16"/>
                <w:szCs w:val="16"/>
                <w:lang w:eastAsia="de-DE"/>
              </w:rPr>
              <w:t>5b*</w:t>
            </w:r>
          </w:p>
        </w:tc>
        <w:tc>
          <w:tcPr>
            <w:tcW w:w="3201" w:type="dxa"/>
            <w:gridSpan w:val="3"/>
            <w:tcBorders>
              <w:top w:val="nil"/>
              <w:left w:val="nil"/>
              <w:right w:val="nil"/>
            </w:tcBorders>
            <w:shd w:val="clear" w:color="000000" w:fill="A6A6A6"/>
            <w:noWrap/>
            <w:vAlign w:val="bottom"/>
            <w:hideMark/>
          </w:tcPr>
          <w:p w14:paraId="54FC6927" w14:textId="578DBC23" w:rsidR="00021F61" w:rsidRPr="000F1A58" w:rsidRDefault="00021F61" w:rsidP="00021F61">
            <w:pPr>
              <w:spacing w:before="0" w:after="0"/>
              <w:rPr>
                <w:rFonts w:ascii="Calibri" w:eastAsia="Times New Roman" w:hAnsi="Calibri" w:cs="Calibri"/>
                <w:color w:val="000000"/>
                <w:sz w:val="16"/>
                <w:szCs w:val="16"/>
                <w:lang w:eastAsia="de-DE"/>
              </w:rPr>
            </w:pPr>
            <w:r w:rsidRPr="000F1A58">
              <w:rPr>
                <w:rFonts w:ascii="Calibri" w:eastAsia="Times New Roman" w:hAnsi="Calibri" w:cs="Calibri"/>
                <w:color w:val="000000"/>
                <w:sz w:val="16"/>
                <w:szCs w:val="16"/>
                <w:lang w:eastAsia="de-DE"/>
              </w:rPr>
              <w:t>Plots of feedback variable(s)</w:t>
            </w:r>
          </w:p>
        </w:tc>
        <w:tc>
          <w:tcPr>
            <w:tcW w:w="342" w:type="dxa"/>
            <w:tcBorders>
              <w:top w:val="nil"/>
              <w:left w:val="nil"/>
              <w:right w:val="nil"/>
            </w:tcBorders>
            <w:shd w:val="clear" w:color="auto" w:fill="auto"/>
            <w:noWrap/>
            <w:vAlign w:val="bottom"/>
            <w:hideMark/>
          </w:tcPr>
          <w:p w14:paraId="725AEC5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252A748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68C5BA5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048B284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6995D36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33DB4665"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7E286AD4"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6F97348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16C8415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1B8090E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2E4310D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5DEA8AD5"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09DCEF1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7BCCF36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00A3DE5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2996652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09B2B0E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2739744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622FC97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5E5186E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78B04C6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gridSpan w:val="2"/>
            <w:tcBorders>
              <w:top w:val="nil"/>
              <w:left w:val="nil"/>
              <w:right w:val="nil"/>
            </w:tcBorders>
            <w:shd w:val="clear" w:color="auto" w:fill="auto"/>
            <w:noWrap/>
            <w:vAlign w:val="bottom"/>
            <w:hideMark/>
          </w:tcPr>
          <w:p w14:paraId="1E6F6C5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512" w:type="dxa"/>
            <w:tcBorders>
              <w:top w:val="nil"/>
              <w:left w:val="nil"/>
              <w:right w:val="nil"/>
            </w:tcBorders>
            <w:shd w:val="clear" w:color="auto" w:fill="auto"/>
            <w:noWrap/>
            <w:vAlign w:val="bottom"/>
            <w:hideMark/>
          </w:tcPr>
          <w:p w14:paraId="339B7775" w14:textId="3FB968FB" w:rsidR="00021F61" w:rsidRPr="00467EF2" w:rsidRDefault="00021F61" w:rsidP="00021F61">
            <w:pPr>
              <w:spacing w:before="0" w:after="0"/>
              <w:jc w:val="right"/>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10</w:t>
            </w:r>
          </w:p>
        </w:tc>
      </w:tr>
      <w:tr w:rsidR="00021F61" w:rsidRPr="000F1A58" w14:paraId="147FA29E" w14:textId="77777777" w:rsidTr="00021F61">
        <w:trPr>
          <w:gridAfter w:val="1"/>
          <w:wAfter w:w="2029" w:type="dxa"/>
          <w:trHeight w:val="20"/>
        </w:trPr>
        <w:tc>
          <w:tcPr>
            <w:tcW w:w="1560" w:type="dxa"/>
            <w:gridSpan w:val="2"/>
            <w:vMerge/>
            <w:tcBorders>
              <w:left w:val="nil"/>
              <w:bottom w:val="single" w:sz="4" w:space="0" w:color="auto"/>
              <w:right w:val="nil"/>
            </w:tcBorders>
            <w:shd w:val="clear" w:color="auto" w:fill="auto"/>
            <w:noWrap/>
          </w:tcPr>
          <w:p w14:paraId="0A030885" w14:textId="5D12267A" w:rsidR="00021F61" w:rsidRPr="00467EF2" w:rsidRDefault="00021F61" w:rsidP="00021F61">
            <w:pPr>
              <w:spacing w:before="0" w:after="0"/>
              <w:rPr>
                <w:rFonts w:ascii="Calibri" w:eastAsia="Times New Roman" w:hAnsi="Calibri" w:cs="Calibri"/>
                <w:b/>
                <w:bCs/>
                <w:color w:val="000000"/>
                <w:sz w:val="16"/>
                <w:szCs w:val="16"/>
                <w:lang w:eastAsia="de-DE"/>
              </w:rPr>
            </w:pPr>
          </w:p>
        </w:tc>
        <w:tc>
          <w:tcPr>
            <w:tcW w:w="425" w:type="dxa"/>
            <w:tcBorders>
              <w:left w:val="nil"/>
              <w:bottom w:val="single" w:sz="4" w:space="0" w:color="auto"/>
              <w:right w:val="nil"/>
            </w:tcBorders>
            <w:shd w:val="clear" w:color="auto" w:fill="A6A6A6" w:themeFill="background1" w:themeFillShade="A6"/>
            <w:vAlign w:val="bottom"/>
          </w:tcPr>
          <w:p w14:paraId="7D78F9FC" w14:textId="380094E4"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bCs/>
                <w:color w:val="000000"/>
                <w:sz w:val="16"/>
                <w:szCs w:val="16"/>
                <w:lang w:eastAsia="de-DE"/>
              </w:rPr>
              <w:t>5c</w:t>
            </w:r>
          </w:p>
        </w:tc>
        <w:tc>
          <w:tcPr>
            <w:tcW w:w="3201" w:type="dxa"/>
            <w:gridSpan w:val="3"/>
            <w:tcBorders>
              <w:top w:val="nil"/>
              <w:left w:val="nil"/>
              <w:bottom w:val="single" w:sz="4" w:space="0" w:color="auto"/>
              <w:right w:val="nil"/>
            </w:tcBorders>
            <w:shd w:val="clear" w:color="000000" w:fill="A6A6A6"/>
            <w:noWrap/>
            <w:vAlign w:val="bottom"/>
            <w:hideMark/>
          </w:tcPr>
          <w:p w14:paraId="316A824D" w14:textId="59105CC0"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Group comparison</w:t>
            </w:r>
          </w:p>
        </w:tc>
        <w:tc>
          <w:tcPr>
            <w:tcW w:w="342" w:type="dxa"/>
            <w:tcBorders>
              <w:top w:val="nil"/>
              <w:left w:val="nil"/>
              <w:bottom w:val="single" w:sz="4" w:space="0" w:color="auto"/>
              <w:right w:val="nil"/>
            </w:tcBorders>
            <w:shd w:val="clear" w:color="auto" w:fill="auto"/>
            <w:noWrap/>
            <w:vAlign w:val="bottom"/>
            <w:hideMark/>
          </w:tcPr>
          <w:p w14:paraId="5E158F5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7C293F3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556A304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65CB598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4536774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558B5DA0"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5E9393B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5E97F14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0611454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5F9ABB7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4E175AF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7109842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1520B95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2374314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3B933A60"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1A33369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39C1FDC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623244C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3D84DBE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2CF44E4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336C108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gridSpan w:val="2"/>
            <w:tcBorders>
              <w:top w:val="nil"/>
              <w:left w:val="nil"/>
              <w:bottom w:val="single" w:sz="4" w:space="0" w:color="auto"/>
              <w:right w:val="nil"/>
            </w:tcBorders>
            <w:shd w:val="clear" w:color="auto" w:fill="auto"/>
            <w:noWrap/>
            <w:vAlign w:val="bottom"/>
            <w:hideMark/>
          </w:tcPr>
          <w:p w14:paraId="53C3B66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512" w:type="dxa"/>
            <w:tcBorders>
              <w:top w:val="nil"/>
              <w:left w:val="nil"/>
              <w:bottom w:val="single" w:sz="4" w:space="0" w:color="auto"/>
              <w:right w:val="nil"/>
            </w:tcBorders>
            <w:shd w:val="clear" w:color="auto" w:fill="auto"/>
            <w:noWrap/>
            <w:vAlign w:val="bottom"/>
            <w:hideMark/>
          </w:tcPr>
          <w:p w14:paraId="16389A2E" w14:textId="2244EDA9" w:rsidR="00021F61" w:rsidRPr="00467EF2" w:rsidRDefault="00021F61" w:rsidP="00021F61">
            <w:pPr>
              <w:spacing w:before="0" w:after="0"/>
              <w:jc w:val="right"/>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7</w:t>
            </w:r>
          </w:p>
        </w:tc>
      </w:tr>
      <w:tr w:rsidR="00021F61" w:rsidRPr="000F1A58" w14:paraId="593190F0" w14:textId="77777777" w:rsidTr="00021F61">
        <w:trPr>
          <w:gridAfter w:val="1"/>
          <w:wAfter w:w="2029" w:type="dxa"/>
          <w:trHeight w:val="57"/>
        </w:trPr>
        <w:tc>
          <w:tcPr>
            <w:tcW w:w="1560" w:type="dxa"/>
            <w:gridSpan w:val="2"/>
            <w:vMerge w:val="restart"/>
            <w:tcBorders>
              <w:top w:val="single" w:sz="4" w:space="0" w:color="auto"/>
              <w:left w:val="nil"/>
              <w:right w:val="nil"/>
            </w:tcBorders>
            <w:shd w:val="clear" w:color="auto" w:fill="auto"/>
            <w:noWrap/>
          </w:tcPr>
          <w:p w14:paraId="7F8E3AF2" w14:textId="38983A2A" w:rsidR="00021F61" w:rsidRPr="00467EF2" w:rsidRDefault="00021F61" w:rsidP="00021F61">
            <w:pPr>
              <w:spacing w:before="0" w:after="0"/>
              <w:rPr>
                <w:rFonts w:ascii="Calibri" w:eastAsia="Times New Roman" w:hAnsi="Calibri" w:cs="Calibri"/>
                <w:b/>
                <w:bCs/>
                <w:color w:val="000000"/>
                <w:sz w:val="16"/>
                <w:szCs w:val="16"/>
                <w:lang w:eastAsia="de-DE"/>
              </w:rPr>
            </w:pPr>
            <w:r w:rsidRPr="00467EF2">
              <w:rPr>
                <w:rFonts w:ascii="Calibri" w:eastAsia="Times New Roman" w:hAnsi="Calibri" w:cs="Calibri"/>
                <w:b/>
                <w:color w:val="000000"/>
                <w:sz w:val="16"/>
                <w:szCs w:val="16"/>
                <w:lang w:eastAsia="de-DE"/>
              </w:rPr>
              <w:t>Outcome measures - Behavior</w:t>
            </w:r>
          </w:p>
        </w:tc>
        <w:tc>
          <w:tcPr>
            <w:tcW w:w="425" w:type="dxa"/>
            <w:tcBorders>
              <w:top w:val="single" w:sz="4" w:space="0" w:color="auto"/>
              <w:left w:val="nil"/>
              <w:right w:val="nil"/>
            </w:tcBorders>
            <w:shd w:val="clear" w:color="auto" w:fill="A6A6A6" w:themeFill="background1" w:themeFillShade="A6"/>
            <w:vAlign w:val="bottom"/>
          </w:tcPr>
          <w:p w14:paraId="490E9E10" w14:textId="3CA44389"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bCs/>
                <w:color w:val="000000"/>
                <w:sz w:val="16"/>
                <w:szCs w:val="16"/>
                <w:lang w:eastAsia="de-DE"/>
              </w:rPr>
              <w:t>6a</w:t>
            </w:r>
          </w:p>
        </w:tc>
        <w:tc>
          <w:tcPr>
            <w:tcW w:w="3201" w:type="dxa"/>
            <w:gridSpan w:val="3"/>
            <w:tcBorders>
              <w:top w:val="single" w:sz="4" w:space="0" w:color="auto"/>
              <w:left w:val="nil"/>
              <w:right w:val="nil"/>
            </w:tcBorders>
            <w:shd w:val="clear" w:color="000000" w:fill="A6A6A6"/>
            <w:noWrap/>
            <w:vAlign w:val="bottom"/>
            <w:hideMark/>
          </w:tcPr>
          <w:p w14:paraId="0E7854EC" w14:textId="1DF3429F"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Clinical or behavioral significance</w:t>
            </w:r>
          </w:p>
        </w:tc>
        <w:tc>
          <w:tcPr>
            <w:tcW w:w="342" w:type="dxa"/>
            <w:tcBorders>
              <w:top w:val="single" w:sz="4" w:space="0" w:color="auto"/>
              <w:left w:val="nil"/>
              <w:right w:val="nil"/>
            </w:tcBorders>
            <w:shd w:val="clear" w:color="auto" w:fill="auto"/>
            <w:noWrap/>
            <w:vAlign w:val="bottom"/>
            <w:hideMark/>
          </w:tcPr>
          <w:p w14:paraId="395E90B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right w:val="nil"/>
            </w:tcBorders>
            <w:shd w:val="clear" w:color="auto" w:fill="auto"/>
            <w:noWrap/>
            <w:vAlign w:val="bottom"/>
            <w:hideMark/>
          </w:tcPr>
          <w:p w14:paraId="7BE2920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right w:val="nil"/>
            </w:tcBorders>
            <w:shd w:val="clear" w:color="auto" w:fill="auto"/>
            <w:noWrap/>
            <w:vAlign w:val="bottom"/>
            <w:hideMark/>
          </w:tcPr>
          <w:p w14:paraId="3E09C0D5"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right w:val="nil"/>
            </w:tcBorders>
            <w:shd w:val="clear" w:color="auto" w:fill="auto"/>
            <w:noWrap/>
            <w:vAlign w:val="bottom"/>
            <w:hideMark/>
          </w:tcPr>
          <w:p w14:paraId="1737899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right w:val="nil"/>
            </w:tcBorders>
            <w:shd w:val="clear" w:color="auto" w:fill="auto"/>
            <w:noWrap/>
            <w:vAlign w:val="bottom"/>
            <w:hideMark/>
          </w:tcPr>
          <w:p w14:paraId="48A53F84"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right w:val="nil"/>
            </w:tcBorders>
            <w:shd w:val="clear" w:color="auto" w:fill="auto"/>
            <w:noWrap/>
            <w:vAlign w:val="bottom"/>
            <w:hideMark/>
          </w:tcPr>
          <w:p w14:paraId="06827B8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right w:val="nil"/>
            </w:tcBorders>
            <w:shd w:val="clear" w:color="auto" w:fill="auto"/>
            <w:noWrap/>
            <w:vAlign w:val="bottom"/>
            <w:hideMark/>
          </w:tcPr>
          <w:p w14:paraId="56C8C174"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right w:val="nil"/>
            </w:tcBorders>
            <w:shd w:val="clear" w:color="auto" w:fill="auto"/>
            <w:noWrap/>
            <w:vAlign w:val="bottom"/>
            <w:hideMark/>
          </w:tcPr>
          <w:p w14:paraId="6EB264D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right w:val="nil"/>
            </w:tcBorders>
            <w:shd w:val="clear" w:color="auto" w:fill="auto"/>
            <w:noWrap/>
            <w:vAlign w:val="bottom"/>
            <w:hideMark/>
          </w:tcPr>
          <w:p w14:paraId="4CD2926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right w:val="nil"/>
            </w:tcBorders>
            <w:shd w:val="clear" w:color="auto" w:fill="auto"/>
            <w:noWrap/>
            <w:vAlign w:val="bottom"/>
            <w:hideMark/>
          </w:tcPr>
          <w:p w14:paraId="454813A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right w:val="nil"/>
            </w:tcBorders>
            <w:shd w:val="clear" w:color="auto" w:fill="auto"/>
            <w:noWrap/>
            <w:vAlign w:val="bottom"/>
            <w:hideMark/>
          </w:tcPr>
          <w:p w14:paraId="7927908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right w:val="nil"/>
            </w:tcBorders>
            <w:shd w:val="clear" w:color="auto" w:fill="auto"/>
            <w:noWrap/>
            <w:vAlign w:val="bottom"/>
            <w:hideMark/>
          </w:tcPr>
          <w:p w14:paraId="7DE0DCE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right w:val="nil"/>
            </w:tcBorders>
            <w:shd w:val="clear" w:color="auto" w:fill="auto"/>
            <w:noWrap/>
            <w:vAlign w:val="bottom"/>
            <w:hideMark/>
          </w:tcPr>
          <w:p w14:paraId="3687F4A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right w:val="nil"/>
            </w:tcBorders>
            <w:shd w:val="clear" w:color="auto" w:fill="auto"/>
            <w:noWrap/>
            <w:vAlign w:val="bottom"/>
            <w:hideMark/>
          </w:tcPr>
          <w:p w14:paraId="18C2211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right w:val="nil"/>
            </w:tcBorders>
            <w:shd w:val="clear" w:color="auto" w:fill="auto"/>
            <w:noWrap/>
            <w:vAlign w:val="bottom"/>
            <w:hideMark/>
          </w:tcPr>
          <w:p w14:paraId="6A7CF29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right w:val="nil"/>
            </w:tcBorders>
            <w:shd w:val="clear" w:color="auto" w:fill="auto"/>
            <w:noWrap/>
            <w:vAlign w:val="bottom"/>
            <w:hideMark/>
          </w:tcPr>
          <w:p w14:paraId="5674106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right w:val="nil"/>
            </w:tcBorders>
            <w:shd w:val="clear" w:color="auto" w:fill="auto"/>
            <w:noWrap/>
            <w:vAlign w:val="bottom"/>
            <w:hideMark/>
          </w:tcPr>
          <w:p w14:paraId="3DA729E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right w:val="nil"/>
            </w:tcBorders>
            <w:shd w:val="clear" w:color="auto" w:fill="auto"/>
            <w:noWrap/>
            <w:vAlign w:val="bottom"/>
            <w:hideMark/>
          </w:tcPr>
          <w:p w14:paraId="5100140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right w:val="nil"/>
            </w:tcBorders>
            <w:shd w:val="clear" w:color="auto" w:fill="auto"/>
            <w:noWrap/>
            <w:vAlign w:val="bottom"/>
            <w:hideMark/>
          </w:tcPr>
          <w:p w14:paraId="0B0D53D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right w:val="nil"/>
            </w:tcBorders>
            <w:shd w:val="clear" w:color="auto" w:fill="auto"/>
            <w:noWrap/>
            <w:vAlign w:val="bottom"/>
            <w:hideMark/>
          </w:tcPr>
          <w:p w14:paraId="19555BC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right w:val="nil"/>
            </w:tcBorders>
            <w:shd w:val="clear" w:color="auto" w:fill="auto"/>
            <w:noWrap/>
            <w:vAlign w:val="bottom"/>
            <w:hideMark/>
          </w:tcPr>
          <w:p w14:paraId="7AADEB5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gridSpan w:val="2"/>
            <w:tcBorders>
              <w:top w:val="single" w:sz="4" w:space="0" w:color="auto"/>
              <w:left w:val="nil"/>
              <w:right w:val="nil"/>
            </w:tcBorders>
            <w:shd w:val="clear" w:color="auto" w:fill="auto"/>
            <w:noWrap/>
            <w:vAlign w:val="bottom"/>
            <w:hideMark/>
          </w:tcPr>
          <w:p w14:paraId="7D2ADFA4"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512" w:type="dxa"/>
            <w:tcBorders>
              <w:top w:val="single" w:sz="4" w:space="0" w:color="auto"/>
              <w:left w:val="nil"/>
              <w:right w:val="nil"/>
            </w:tcBorders>
            <w:shd w:val="clear" w:color="auto" w:fill="auto"/>
            <w:noWrap/>
            <w:vAlign w:val="bottom"/>
            <w:hideMark/>
          </w:tcPr>
          <w:p w14:paraId="70D291D5" w14:textId="176B837D" w:rsidR="00021F61" w:rsidRPr="00467EF2" w:rsidRDefault="00021F61" w:rsidP="00021F61">
            <w:pPr>
              <w:spacing w:before="0" w:after="0"/>
              <w:jc w:val="right"/>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r>
      <w:tr w:rsidR="00021F61" w:rsidRPr="000F1A58" w14:paraId="0917E8E1" w14:textId="77777777" w:rsidTr="00021F61">
        <w:trPr>
          <w:gridAfter w:val="1"/>
          <w:wAfter w:w="2029" w:type="dxa"/>
          <w:trHeight w:val="57"/>
        </w:trPr>
        <w:tc>
          <w:tcPr>
            <w:tcW w:w="1560" w:type="dxa"/>
            <w:gridSpan w:val="2"/>
            <w:vMerge/>
            <w:tcBorders>
              <w:left w:val="nil"/>
              <w:bottom w:val="single" w:sz="4" w:space="0" w:color="auto"/>
              <w:right w:val="nil"/>
            </w:tcBorders>
            <w:shd w:val="clear" w:color="auto" w:fill="auto"/>
            <w:noWrap/>
          </w:tcPr>
          <w:p w14:paraId="5D922B11" w14:textId="13574995" w:rsidR="00021F61" w:rsidRPr="00467EF2" w:rsidRDefault="00021F61" w:rsidP="00021F61">
            <w:pPr>
              <w:spacing w:before="0" w:after="0"/>
              <w:rPr>
                <w:rFonts w:ascii="Calibri" w:eastAsia="Times New Roman" w:hAnsi="Calibri" w:cs="Calibri"/>
                <w:b/>
                <w:bCs/>
                <w:color w:val="000000"/>
                <w:sz w:val="16"/>
                <w:szCs w:val="16"/>
                <w:lang w:eastAsia="de-DE"/>
              </w:rPr>
            </w:pPr>
          </w:p>
        </w:tc>
        <w:tc>
          <w:tcPr>
            <w:tcW w:w="425" w:type="dxa"/>
            <w:tcBorders>
              <w:left w:val="nil"/>
              <w:bottom w:val="single" w:sz="4" w:space="0" w:color="auto"/>
              <w:right w:val="nil"/>
            </w:tcBorders>
            <w:shd w:val="clear" w:color="auto" w:fill="A6A6A6" w:themeFill="background1" w:themeFillShade="A6"/>
            <w:vAlign w:val="bottom"/>
          </w:tcPr>
          <w:p w14:paraId="55048AEC" w14:textId="2EE11C0C"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bCs/>
                <w:color w:val="000000"/>
                <w:sz w:val="16"/>
                <w:szCs w:val="16"/>
                <w:lang w:eastAsia="de-DE"/>
              </w:rPr>
              <w:t>6b</w:t>
            </w:r>
          </w:p>
        </w:tc>
        <w:tc>
          <w:tcPr>
            <w:tcW w:w="3201" w:type="dxa"/>
            <w:gridSpan w:val="3"/>
            <w:tcBorders>
              <w:top w:val="nil"/>
              <w:left w:val="nil"/>
              <w:bottom w:val="single" w:sz="4" w:space="0" w:color="auto"/>
              <w:right w:val="nil"/>
            </w:tcBorders>
            <w:shd w:val="clear" w:color="000000" w:fill="A6A6A6"/>
            <w:noWrap/>
            <w:vAlign w:val="bottom"/>
            <w:hideMark/>
          </w:tcPr>
          <w:p w14:paraId="4B8B09E2" w14:textId="0D33B4C9"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Correlation with behavioral outcomes</w:t>
            </w:r>
          </w:p>
        </w:tc>
        <w:tc>
          <w:tcPr>
            <w:tcW w:w="342" w:type="dxa"/>
            <w:tcBorders>
              <w:top w:val="nil"/>
              <w:left w:val="nil"/>
              <w:bottom w:val="single" w:sz="4" w:space="0" w:color="auto"/>
              <w:right w:val="nil"/>
            </w:tcBorders>
            <w:shd w:val="clear" w:color="auto" w:fill="auto"/>
            <w:noWrap/>
            <w:vAlign w:val="bottom"/>
            <w:hideMark/>
          </w:tcPr>
          <w:p w14:paraId="300713B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1A8C53E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147BD1D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6D2EB1F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336D86A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0BD28FC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27E19A9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14F50EB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184162B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1F75963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7D11C174"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2D3785C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4614599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15BDF370"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3330D3A6"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7334577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3A0CCAC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17CCC81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26257F0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bottom w:val="single" w:sz="4" w:space="0" w:color="auto"/>
              <w:right w:val="nil"/>
            </w:tcBorders>
            <w:shd w:val="clear" w:color="auto" w:fill="auto"/>
            <w:noWrap/>
            <w:vAlign w:val="bottom"/>
            <w:hideMark/>
          </w:tcPr>
          <w:p w14:paraId="0787643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bottom w:val="single" w:sz="4" w:space="0" w:color="auto"/>
              <w:right w:val="nil"/>
            </w:tcBorders>
            <w:shd w:val="clear" w:color="auto" w:fill="auto"/>
            <w:noWrap/>
            <w:vAlign w:val="bottom"/>
            <w:hideMark/>
          </w:tcPr>
          <w:p w14:paraId="701BA98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gridSpan w:val="2"/>
            <w:tcBorders>
              <w:top w:val="nil"/>
              <w:left w:val="nil"/>
              <w:bottom w:val="single" w:sz="4" w:space="0" w:color="auto"/>
              <w:right w:val="nil"/>
            </w:tcBorders>
            <w:shd w:val="clear" w:color="auto" w:fill="auto"/>
            <w:noWrap/>
            <w:vAlign w:val="bottom"/>
            <w:hideMark/>
          </w:tcPr>
          <w:p w14:paraId="7043984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512" w:type="dxa"/>
            <w:tcBorders>
              <w:top w:val="nil"/>
              <w:left w:val="nil"/>
              <w:bottom w:val="single" w:sz="4" w:space="0" w:color="auto"/>
              <w:right w:val="nil"/>
            </w:tcBorders>
            <w:shd w:val="clear" w:color="auto" w:fill="auto"/>
            <w:noWrap/>
            <w:vAlign w:val="bottom"/>
            <w:hideMark/>
          </w:tcPr>
          <w:p w14:paraId="6C36B057" w14:textId="046CE250" w:rsidR="00021F61" w:rsidRPr="00467EF2" w:rsidRDefault="00021F61" w:rsidP="00021F61">
            <w:pPr>
              <w:spacing w:before="0" w:after="0"/>
              <w:jc w:val="right"/>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8</w:t>
            </w:r>
          </w:p>
        </w:tc>
      </w:tr>
      <w:tr w:rsidR="00021F61" w:rsidRPr="000F1A58" w14:paraId="24663EC8" w14:textId="77777777" w:rsidTr="00021F61">
        <w:trPr>
          <w:gridAfter w:val="1"/>
          <w:wAfter w:w="2029" w:type="dxa"/>
          <w:trHeight w:val="20"/>
        </w:trPr>
        <w:tc>
          <w:tcPr>
            <w:tcW w:w="1560" w:type="dxa"/>
            <w:gridSpan w:val="2"/>
            <w:tcBorders>
              <w:top w:val="single" w:sz="4" w:space="0" w:color="auto"/>
              <w:left w:val="nil"/>
              <w:bottom w:val="single" w:sz="4" w:space="0" w:color="auto"/>
              <w:right w:val="nil"/>
            </w:tcBorders>
            <w:shd w:val="clear" w:color="auto" w:fill="auto"/>
            <w:noWrap/>
          </w:tcPr>
          <w:p w14:paraId="754DA92C" w14:textId="496A0C76" w:rsidR="00021F61" w:rsidRPr="00467EF2" w:rsidRDefault="00021F61" w:rsidP="00021F61">
            <w:pPr>
              <w:spacing w:before="0" w:after="0"/>
              <w:rPr>
                <w:rFonts w:ascii="Calibri" w:eastAsia="Times New Roman" w:hAnsi="Calibri" w:cs="Calibri"/>
                <w:b/>
                <w:bCs/>
                <w:color w:val="000000"/>
                <w:sz w:val="16"/>
                <w:szCs w:val="16"/>
                <w:lang w:eastAsia="de-DE"/>
              </w:rPr>
            </w:pPr>
            <w:r w:rsidRPr="00467EF2">
              <w:rPr>
                <w:rFonts w:ascii="Calibri" w:eastAsia="Times New Roman" w:hAnsi="Calibri" w:cs="Calibri"/>
                <w:b/>
                <w:color w:val="000000"/>
                <w:sz w:val="16"/>
                <w:szCs w:val="16"/>
                <w:lang w:eastAsia="de-DE"/>
              </w:rPr>
              <w:t>Data storage</w:t>
            </w:r>
          </w:p>
        </w:tc>
        <w:tc>
          <w:tcPr>
            <w:tcW w:w="425" w:type="dxa"/>
            <w:tcBorders>
              <w:top w:val="single" w:sz="4" w:space="0" w:color="auto"/>
              <w:left w:val="nil"/>
              <w:bottom w:val="single" w:sz="4" w:space="0" w:color="auto"/>
              <w:right w:val="nil"/>
            </w:tcBorders>
            <w:shd w:val="clear" w:color="auto" w:fill="D9D9D9" w:themeFill="background1" w:themeFillShade="D9"/>
            <w:vAlign w:val="bottom"/>
          </w:tcPr>
          <w:p w14:paraId="6E1D7F31" w14:textId="7E95B5CB"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bCs/>
                <w:color w:val="000000"/>
                <w:sz w:val="16"/>
                <w:szCs w:val="16"/>
                <w:lang w:eastAsia="de-DE"/>
              </w:rPr>
              <w:t>7a</w:t>
            </w:r>
          </w:p>
        </w:tc>
        <w:tc>
          <w:tcPr>
            <w:tcW w:w="3201" w:type="dxa"/>
            <w:gridSpan w:val="3"/>
            <w:tcBorders>
              <w:top w:val="single" w:sz="4" w:space="0" w:color="auto"/>
              <w:left w:val="nil"/>
              <w:bottom w:val="single" w:sz="4" w:space="0" w:color="auto"/>
              <w:right w:val="nil"/>
            </w:tcBorders>
            <w:shd w:val="clear" w:color="000000" w:fill="D9D9D9"/>
            <w:noWrap/>
            <w:vAlign w:val="bottom"/>
            <w:hideMark/>
          </w:tcPr>
          <w:p w14:paraId="3F5FE7FB" w14:textId="7E7255F9" w:rsidR="00021F61" w:rsidRPr="00467EF2" w:rsidRDefault="00021F61" w:rsidP="00021F61">
            <w:pPr>
              <w:spacing w:before="0" w:after="0"/>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Data storage</w:t>
            </w:r>
          </w:p>
        </w:tc>
        <w:tc>
          <w:tcPr>
            <w:tcW w:w="342" w:type="dxa"/>
            <w:tcBorders>
              <w:top w:val="single" w:sz="4" w:space="0" w:color="auto"/>
              <w:left w:val="nil"/>
              <w:bottom w:val="single" w:sz="4" w:space="0" w:color="auto"/>
              <w:right w:val="nil"/>
            </w:tcBorders>
            <w:shd w:val="clear" w:color="auto" w:fill="auto"/>
            <w:noWrap/>
            <w:vAlign w:val="bottom"/>
            <w:hideMark/>
          </w:tcPr>
          <w:p w14:paraId="5D5370B5"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single" w:sz="4" w:space="0" w:color="auto"/>
              <w:right w:val="nil"/>
            </w:tcBorders>
            <w:shd w:val="clear" w:color="auto" w:fill="auto"/>
            <w:noWrap/>
            <w:vAlign w:val="bottom"/>
            <w:hideMark/>
          </w:tcPr>
          <w:p w14:paraId="6517B880"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single" w:sz="4" w:space="0" w:color="auto"/>
              <w:right w:val="nil"/>
            </w:tcBorders>
            <w:shd w:val="clear" w:color="auto" w:fill="auto"/>
            <w:noWrap/>
            <w:vAlign w:val="bottom"/>
            <w:hideMark/>
          </w:tcPr>
          <w:p w14:paraId="5A0E042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single" w:sz="4" w:space="0" w:color="auto"/>
              <w:right w:val="nil"/>
            </w:tcBorders>
            <w:shd w:val="clear" w:color="auto" w:fill="auto"/>
            <w:noWrap/>
            <w:vAlign w:val="bottom"/>
            <w:hideMark/>
          </w:tcPr>
          <w:p w14:paraId="66C23D75"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single" w:sz="4" w:space="0" w:color="auto"/>
              <w:right w:val="nil"/>
            </w:tcBorders>
            <w:shd w:val="clear" w:color="auto" w:fill="auto"/>
            <w:noWrap/>
            <w:vAlign w:val="bottom"/>
            <w:hideMark/>
          </w:tcPr>
          <w:p w14:paraId="44BCA3E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single" w:sz="4" w:space="0" w:color="auto"/>
              <w:right w:val="nil"/>
            </w:tcBorders>
            <w:shd w:val="clear" w:color="auto" w:fill="auto"/>
            <w:noWrap/>
            <w:vAlign w:val="bottom"/>
            <w:hideMark/>
          </w:tcPr>
          <w:p w14:paraId="13E9563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single" w:sz="4" w:space="0" w:color="auto"/>
              <w:right w:val="nil"/>
            </w:tcBorders>
            <w:shd w:val="clear" w:color="auto" w:fill="auto"/>
            <w:noWrap/>
            <w:vAlign w:val="bottom"/>
            <w:hideMark/>
          </w:tcPr>
          <w:p w14:paraId="799D991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single" w:sz="4" w:space="0" w:color="auto"/>
              <w:right w:val="nil"/>
            </w:tcBorders>
            <w:shd w:val="clear" w:color="auto" w:fill="auto"/>
            <w:noWrap/>
            <w:vAlign w:val="bottom"/>
            <w:hideMark/>
          </w:tcPr>
          <w:p w14:paraId="2E0776D4"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single" w:sz="4" w:space="0" w:color="auto"/>
              <w:right w:val="nil"/>
            </w:tcBorders>
            <w:shd w:val="clear" w:color="auto" w:fill="auto"/>
            <w:noWrap/>
            <w:vAlign w:val="bottom"/>
            <w:hideMark/>
          </w:tcPr>
          <w:p w14:paraId="6F666A9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single" w:sz="4" w:space="0" w:color="auto"/>
              <w:right w:val="nil"/>
            </w:tcBorders>
            <w:shd w:val="clear" w:color="auto" w:fill="auto"/>
            <w:noWrap/>
            <w:vAlign w:val="bottom"/>
            <w:hideMark/>
          </w:tcPr>
          <w:p w14:paraId="47134EC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single" w:sz="4" w:space="0" w:color="auto"/>
              <w:right w:val="nil"/>
            </w:tcBorders>
            <w:shd w:val="clear" w:color="auto" w:fill="auto"/>
            <w:noWrap/>
            <w:vAlign w:val="bottom"/>
            <w:hideMark/>
          </w:tcPr>
          <w:p w14:paraId="4AC256A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single" w:sz="4" w:space="0" w:color="auto"/>
              <w:right w:val="nil"/>
            </w:tcBorders>
            <w:shd w:val="clear" w:color="auto" w:fill="auto"/>
            <w:noWrap/>
            <w:vAlign w:val="bottom"/>
            <w:hideMark/>
          </w:tcPr>
          <w:p w14:paraId="1C831225"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single" w:sz="4" w:space="0" w:color="auto"/>
              <w:right w:val="nil"/>
            </w:tcBorders>
            <w:shd w:val="clear" w:color="auto" w:fill="auto"/>
            <w:noWrap/>
            <w:vAlign w:val="bottom"/>
            <w:hideMark/>
          </w:tcPr>
          <w:p w14:paraId="6B5BE83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single" w:sz="4" w:space="0" w:color="auto"/>
              <w:right w:val="nil"/>
            </w:tcBorders>
            <w:shd w:val="clear" w:color="auto" w:fill="auto"/>
            <w:noWrap/>
            <w:vAlign w:val="bottom"/>
            <w:hideMark/>
          </w:tcPr>
          <w:p w14:paraId="3FE93AF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single" w:sz="4" w:space="0" w:color="auto"/>
              <w:right w:val="nil"/>
            </w:tcBorders>
            <w:shd w:val="clear" w:color="auto" w:fill="auto"/>
            <w:noWrap/>
            <w:vAlign w:val="bottom"/>
            <w:hideMark/>
          </w:tcPr>
          <w:p w14:paraId="7188B2A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single" w:sz="4" w:space="0" w:color="auto"/>
              <w:right w:val="nil"/>
            </w:tcBorders>
            <w:shd w:val="clear" w:color="auto" w:fill="auto"/>
            <w:noWrap/>
            <w:vAlign w:val="bottom"/>
            <w:hideMark/>
          </w:tcPr>
          <w:p w14:paraId="243BB4F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single" w:sz="4" w:space="0" w:color="auto"/>
              <w:right w:val="nil"/>
            </w:tcBorders>
            <w:shd w:val="clear" w:color="auto" w:fill="auto"/>
            <w:noWrap/>
            <w:vAlign w:val="bottom"/>
            <w:hideMark/>
          </w:tcPr>
          <w:p w14:paraId="21998BF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single" w:sz="4" w:space="0" w:color="auto"/>
              <w:right w:val="nil"/>
            </w:tcBorders>
            <w:shd w:val="clear" w:color="auto" w:fill="auto"/>
            <w:noWrap/>
            <w:vAlign w:val="bottom"/>
            <w:hideMark/>
          </w:tcPr>
          <w:p w14:paraId="1A9A893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single" w:sz="4" w:space="0" w:color="auto"/>
              <w:right w:val="nil"/>
            </w:tcBorders>
            <w:shd w:val="clear" w:color="auto" w:fill="auto"/>
            <w:noWrap/>
            <w:vAlign w:val="bottom"/>
            <w:hideMark/>
          </w:tcPr>
          <w:p w14:paraId="358E2B8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single" w:sz="4" w:space="0" w:color="auto"/>
              <w:right w:val="nil"/>
            </w:tcBorders>
            <w:shd w:val="clear" w:color="auto" w:fill="auto"/>
            <w:noWrap/>
            <w:vAlign w:val="bottom"/>
            <w:hideMark/>
          </w:tcPr>
          <w:p w14:paraId="2A2927F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single" w:sz="4" w:space="0" w:color="auto"/>
              <w:left w:val="nil"/>
              <w:bottom w:val="single" w:sz="4" w:space="0" w:color="auto"/>
              <w:right w:val="nil"/>
            </w:tcBorders>
            <w:shd w:val="clear" w:color="auto" w:fill="auto"/>
            <w:noWrap/>
            <w:vAlign w:val="bottom"/>
            <w:hideMark/>
          </w:tcPr>
          <w:p w14:paraId="07EE4E74"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gridSpan w:val="2"/>
            <w:tcBorders>
              <w:top w:val="single" w:sz="4" w:space="0" w:color="auto"/>
              <w:left w:val="nil"/>
              <w:bottom w:val="single" w:sz="4" w:space="0" w:color="auto"/>
              <w:right w:val="nil"/>
            </w:tcBorders>
            <w:shd w:val="clear" w:color="auto" w:fill="auto"/>
            <w:noWrap/>
            <w:vAlign w:val="bottom"/>
            <w:hideMark/>
          </w:tcPr>
          <w:p w14:paraId="5C445BF4"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512" w:type="dxa"/>
            <w:tcBorders>
              <w:top w:val="single" w:sz="4" w:space="0" w:color="auto"/>
              <w:left w:val="nil"/>
              <w:bottom w:val="single" w:sz="4" w:space="0" w:color="auto"/>
              <w:right w:val="nil"/>
            </w:tcBorders>
            <w:shd w:val="clear" w:color="auto" w:fill="auto"/>
            <w:noWrap/>
            <w:vAlign w:val="bottom"/>
            <w:hideMark/>
          </w:tcPr>
          <w:p w14:paraId="45889919" w14:textId="72412D0C" w:rsidR="00021F61" w:rsidRPr="00467EF2" w:rsidRDefault="00021F61" w:rsidP="00021F61">
            <w:pPr>
              <w:spacing w:before="0" w:after="0"/>
              <w:jc w:val="right"/>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r>
      <w:tr w:rsidR="00021F61" w:rsidRPr="000F1A58" w14:paraId="7CCA28B3" w14:textId="77777777" w:rsidTr="00021F61">
        <w:trPr>
          <w:gridAfter w:val="1"/>
          <w:wAfter w:w="2029" w:type="dxa"/>
          <w:trHeight w:val="20"/>
        </w:trPr>
        <w:tc>
          <w:tcPr>
            <w:tcW w:w="1536" w:type="dxa"/>
            <w:tcBorders>
              <w:top w:val="single" w:sz="4" w:space="0" w:color="auto"/>
              <w:left w:val="nil"/>
              <w:bottom w:val="nil"/>
              <w:right w:val="nil"/>
            </w:tcBorders>
          </w:tcPr>
          <w:p w14:paraId="2CFFA0FE" w14:textId="3A588DB5" w:rsidR="00021F61" w:rsidRPr="00467EF2" w:rsidRDefault="00021F61" w:rsidP="00021F61">
            <w:pPr>
              <w:spacing w:before="0" w:after="0"/>
              <w:rPr>
                <w:rFonts w:ascii="Calibri" w:eastAsia="Times New Roman" w:hAnsi="Calibri" w:cs="Calibri"/>
                <w:b/>
                <w:bCs/>
                <w:color w:val="000000"/>
                <w:sz w:val="16"/>
                <w:szCs w:val="16"/>
                <w:lang w:eastAsia="de-DE"/>
              </w:rPr>
            </w:pPr>
          </w:p>
        </w:tc>
        <w:tc>
          <w:tcPr>
            <w:tcW w:w="449" w:type="dxa"/>
            <w:gridSpan w:val="2"/>
            <w:tcBorders>
              <w:top w:val="single" w:sz="4" w:space="0" w:color="auto"/>
              <w:left w:val="nil"/>
              <w:bottom w:val="nil"/>
              <w:right w:val="nil"/>
            </w:tcBorders>
            <w:shd w:val="clear" w:color="auto" w:fill="A6A6A6" w:themeFill="background1" w:themeFillShade="A6"/>
          </w:tcPr>
          <w:p w14:paraId="679175C4" w14:textId="77777777" w:rsidR="00021F61" w:rsidRPr="00467EF2" w:rsidRDefault="00021F61" w:rsidP="00021F61">
            <w:pPr>
              <w:spacing w:before="0" w:after="0"/>
              <w:rPr>
                <w:rFonts w:ascii="Calibri" w:eastAsia="Times New Roman" w:hAnsi="Calibri" w:cs="Calibri"/>
                <w:b/>
                <w:bCs/>
                <w:color w:val="000000"/>
                <w:sz w:val="16"/>
                <w:szCs w:val="16"/>
                <w:lang w:eastAsia="de-DE"/>
              </w:rPr>
            </w:pPr>
          </w:p>
        </w:tc>
        <w:tc>
          <w:tcPr>
            <w:tcW w:w="3201" w:type="dxa"/>
            <w:gridSpan w:val="3"/>
            <w:tcBorders>
              <w:top w:val="single" w:sz="4" w:space="0" w:color="auto"/>
              <w:left w:val="nil"/>
              <w:bottom w:val="nil"/>
              <w:right w:val="nil"/>
            </w:tcBorders>
            <w:shd w:val="clear" w:color="000000" w:fill="A6A6A6"/>
            <w:hideMark/>
          </w:tcPr>
          <w:p w14:paraId="01834B50" w14:textId="3B1B922B" w:rsidR="00021F61" w:rsidRPr="00467EF2" w:rsidRDefault="00021F61" w:rsidP="00021F61">
            <w:pPr>
              <w:spacing w:before="0" w:after="0"/>
              <w:rPr>
                <w:rFonts w:ascii="Calibri" w:eastAsia="Times New Roman" w:hAnsi="Calibri" w:cs="Calibri"/>
                <w:b/>
                <w:bCs/>
                <w:color w:val="000000"/>
                <w:sz w:val="16"/>
                <w:szCs w:val="16"/>
                <w:lang w:eastAsia="de-DE"/>
              </w:rPr>
            </w:pPr>
            <w:r w:rsidRPr="00467EF2">
              <w:rPr>
                <w:rFonts w:ascii="Calibri" w:eastAsia="Times New Roman" w:hAnsi="Calibri" w:cs="Calibri"/>
                <w:b/>
                <w:bCs/>
                <w:color w:val="000000"/>
                <w:sz w:val="16"/>
                <w:szCs w:val="16"/>
                <w:lang w:eastAsia="de-DE"/>
              </w:rPr>
              <w:t>CRED-</w:t>
            </w:r>
            <w:proofErr w:type="spellStart"/>
            <w:r w:rsidRPr="00467EF2">
              <w:rPr>
                <w:rFonts w:ascii="Calibri" w:eastAsia="Times New Roman" w:hAnsi="Calibri" w:cs="Calibri"/>
                <w:b/>
                <w:bCs/>
                <w:color w:val="000000"/>
                <w:sz w:val="16"/>
                <w:szCs w:val="16"/>
                <w:lang w:eastAsia="de-DE"/>
              </w:rPr>
              <w:t>nf</w:t>
            </w:r>
            <w:proofErr w:type="spellEnd"/>
            <w:r w:rsidRPr="00467EF2">
              <w:rPr>
                <w:rFonts w:ascii="Calibri" w:eastAsia="Times New Roman" w:hAnsi="Calibri" w:cs="Calibri"/>
                <w:b/>
                <w:bCs/>
                <w:color w:val="000000"/>
                <w:sz w:val="16"/>
                <w:szCs w:val="16"/>
                <w:lang w:eastAsia="de-DE"/>
              </w:rPr>
              <w:t xml:space="preserve"> </w:t>
            </w:r>
            <w:r w:rsidR="008E6B50" w:rsidRPr="00467EF2">
              <w:rPr>
                <w:rFonts w:ascii="Calibri" w:eastAsia="Times New Roman" w:hAnsi="Calibri" w:cs="Calibri"/>
                <w:b/>
                <w:bCs/>
                <w:color w:val="000000"/>
                <w:sz w:val="16"/>
                <w:szCs w:val="16"/>
                <w:lang w:eastAsia="de-DE"/>
              </w:rPr>
              <w:t>e</w:t>
            </w:r>
            <w:r w:rsidRPr="00467EF2">
              <w:rPr>
                <w:rFonts w:ascii="Calibri" w:eastAsia="Times New Roman" w:hAnsi="Calibri" w:cs="Calibri"/>
                <w:b/>
                <w:bCs/>
                <w:color w:val="000000"/>
                <w:sz w:val="16"/>
                <w:szCs w:val="16"/>
                <w:lang w:eastAsia="de-DE"/>
              </w:rPr>
              <w:t>ssential</w:t>
            </w:r>
          </w:p>
        </w:tc>
        <w:tc>
          <w:tcPr>
            <w:tcW w:w="342" w:type="dxa"/>
            <w:tcBorders>
              <w:top w:val="single" w:sz="4" w:space="0" w:color="auto"/>
              <w:left w:val="nil"/>
              <w:bottom w:val="nil"/>
              <w:right w:val="nil"/>
            </w:tcBorders>
            <w:shd w:val="clear" w:color="auto" w:fill="auto"/>
            <w:noWrap/>
            <w:vAlign w:val="bottom"/>
            <w:hideMark/>
          </w:tcPr>
          <w:p w14:paraId="24ECE89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8</w:t>
            </w:r>
          </w:p>
        </w:tc>
        <w:tc>
          <w:tcPr>
            <w:tcW w:w="342" w:type="dxa"/>
            <w:tcBorders>
              <w:top w:val="single" w:sz="4" w:space="0" w:color="auto"/>
              <w:left w:val="nil"/>
              <w:bottom w:val="nil"/>
              <w:right w:val="nil"/>
            </w:tcBorders>
            <w:shd w:val="clear" w:color="auto" w:fill="auto"/>
            <w:noWrap/>
            <w:vAlign w:val="bottom"/>
            <w:hideMark/>
          </w:tcPr>
          <w:p w14:paraId="2FA2FED6"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7</w:t>
            </w:r>
          </w:p>
        </w:tc>
        <w:tc>
          <w:tcPr>
            <w:tcW w:w="342" w:type="dxa"/>
            <w:tcBorders>
              <w:top w:val="single" w:sz="4" w:space="0" w:color="auto"/>
              <w:left w:val="nil"/>
              <w:bottom w:val="nil"/>
              <w:right w:val="nil"/>
            </w:tcBorders>
            <w:shd w:val="clear" w:color="auto" w:fill="auto"/>
            <w:noWrap/>
            <w:vAlign w:val="bottom"/>
            <w:hideMark/>
          </w:tcPr>
          <w:p w14:paraId="1B1715E6"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12</w:t>
            </w:r>
          </w:p>
        </w:tc>
        <w:tc>
          <w:tcPr>
            <w:tcW w:w="342" w:type="dxa"/>
            <w:tcBorders>
              <w:top w:val="single" w:sz="4" w:space="0" w:color="auto"/>
              <w:left w:val="nil"/>
              <w:bottom w:val="nil"/>
              <w:right w:val="nil"/>
            </w:tcBorders>
            <w:shd w:val="clear" w:color="auto" w:fill="auto"/>
            <w:noWrap/>
            <w:vAlign w:val="bottom"/>
            <w:hideMark/>
          </w:tcPr>
          <w:p w14:paraId="5FAFD296"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12</w:t>
            </w:r>
          </w:p>
        </w:tc>
        <w:tc>
          <w:tcPr>
            <w:tcW w:w="342" w:type="dxa"/>
            <w:tcBorders>
              <w:top w:val="single" w:sz="4" w:space="0" w:color="auto"/>
              <w:left w:val="nil"/>
              <w:bottom w:val="nil"/>
              <w:right w:val="nil"/>
            </w:tcBorders>
            <w:shd w:val="clear" w:color="auto" w:fill="auto"/>
            <w:noWrap/>
            <w:vAlign w:val="bottom"/>
            <w:hideMark/>
          </w:tcPr>
          <w:p w14:paraId="772EA54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11</w:t>
            </w:r>
          </w:p>
        </w:tc>
        <w:tc>
          <w:tcPr>
            <w:tcW w:w="342" w:type="dxa"/>
            <w:tcBorders>
              <w:top w:val="single" w:sz="4" w:space="0" w:color="auto"/>
              <w:left w:val="nil"/>
              <w:bottom w:val="nil"/>
              <w:right w:val="nil"/>
            </w:tcBorders>
            <w:shd w:val="clear" w:color="auto" w:fill="auto"/>
            <w:noWrap/>
            <w:vAlign w:val="bottom"/>
            <w:hideMark/>
          </w:tcPr>
          <w:p w14:paraId="5386D88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7</w:t>
            </w:r>
          </w:p>
        </w:tc>
        <w:tc>
          <w:tcPr>
            <w:tcW w:w="342" w:type="dxa"/>
            <w:tcBorders>
              <w:top w:val="single" w:sz="4" w:space="0" w:color="auto"/>
              <w:left w:val="nil"/>
              <w:bottom w:val="nil"/>
              <w:right w:val="nil"/>
            </w:tcBorders>
            <w:shd w:val="clear" w:color="auto" w:fill="auto"/>
            <w:noWrap/>
            <w:vAlign w:val="bottom"/>
            <w:hideMark/>
          </w:tcPr>
          <w:p w14:paraId="772E718F"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7</w:t>
            </w:r>
          </w:p>
        </w:tc>
        <w:tc>
          <w:tcPr>
            <w:tcW w:w="342" w:type="dxa"/>
            <w:tcBorders>
              <w:top w:val="single" w:sz="4" w:space="0" w:color="auto"/>
              <w:left w:val="nil"/>
              <w:bottom w:val="nil"/>
              <w:right w:val="nil"/>
            </w:tcBorders>
            <w:shd w:val="clear" w:color="auto" w:fill="auto"/>
            <w:noWrap/>
            <w:vAlign w:val="bottom"/>
            <w:hideMark/>
          </w:tcPr>
          <w:p w14:paraId="4BC7811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8</w:t>
            </w:r>
          </w:p>
        </w:tc>
        <w:tc>
          <w:tcPr>
            <w:tcW w:w="342" w:type="dxa"/>
            <w:tcBorders>
              <w:top w:val="single" w:sz="4" w:space="0" w:color="auto"/>
              <w:left w:val="nil"/>
              <w:bottom w:val="nil"/>
              <w:right w:val="nil"/>
            </w:tcBorders>
            <w:shd w:val="clear" w:color="auto" w:fill="auto"/>
            <w:noWrap/>
            <w:vAlign w:val="bottom"/>
            <w:hideMark/>
          </w:tcPr>
          <w:p w14:paraId="3FAF6EC6"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10</w:t>
            </w:r>
          </w:p>
        </w:tc>
        <w:tc>
          <w:tcPr>
            <w:tcW w:w="342" w:type="dxa"/>
            <w:tcBorders>
              <w:top w:val="single" w:sz="4" w:space="0" w:color="auto"/>
              <w:left w:val="nil"/>
              <w:bottom w:val="nil"/>
              <w:right w:val="nil"/>
            </w:tcBorders>
            <w:shd w:val="clear" w:color="auto" w:fill="auto"/>
            <w:noWrap/>
            <w:vAlign w:val="bottom"/>
            <w:hideMark/>
          </w:tcPr>
          <w:p w14:paraId="4839769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12</w:t>
            </w:r>
          </w:p>
        </w:tc>
        <w:tc>
          <w:tcPr>
            <w:tcW w:w="342" w:type="dxa"/>
            <w:tcBorders>
              <w:top w:val="single" w:sz="4" w:space="0" w:color="auto"/>
              <w:left w:val="nil"/>
              <w:bottom w:val="nil"/>
              <w:right w:val="nil"/>
            </w:tcBorders>
            <w:shd w:val="clear" w:color="auto" w:fill="auto"/>
            <w:noWrap/>
            <w:vAlign w:val="bottom"/>
            <w:hideMark/>
          </w:tcPr>
          <w:p w14:paraId="5F87AF2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12</w:t>
            </w:r>
          </w:p>
        </w:tc>
        <w:tc>
          <w:tcPr>
            <w:tcW w:w="342" w:type="dxa"/>
            <w:tcBorders>
              <w:top w:val="single" w:sz="4" w:space="0" w:color="auto"/>
              <w:left w:val="nil"/>
              <w:bottom w:val="nil"/>
              <w:right w:val="nil"/>
            </w:tcBorders>
            <w:shd w:val="clear" w:color="auto" w:fill="auto"/>
            <w:noWrap/>
            <w:vAlign w:val="bottom"/>
            <w:hideMark/>
          </w:tcPr>
          <w:p w14:paraId="7357A11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8</w:t>
            </w:r>
          </w:p>
        </w:tc>
        <w:tc>
          <w:tcPr>
            <w:tcW w:w="342" w:type="dxa"/>
            <w:tcBorders>
              <w:top w:val="single" w:sz="4" w:space="0" w:color="auto"/>
              <w:left w:val="nil"/>
              <w:bottom w:val="nil"/>
              <w:right w:val="nil"/>
            </w:tcBorders>
            <w:shd w:val="clear" w:color="auto" w:fill="auto"/>
            <w:noWrap/>
            <w:vAlign w:val="bottom"/>
            <w:hideMark/>
          </w:tcPr>
          <w:p w14:paraId="03CBF076"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7</w:t>
            </w:r>
          </w:p>
        </w:tc>
        <w:tc>
          <w:tcPr>
            <w:tcW w:w="342" w:type="dxa"/>
            <w:tcBorders>
              <w:top w:val="single" w:sz="4" w:space="0" w:color="auto"/>
              <w:left w:val="nil"/>
              <w:bottom w:val="nil"/>
              <w:right w:val="nil"/>
            </w:tcBorders>
            <w:shd w:val="clear" w:color="auto" w:fill="auto"/>
            <w:noWrap/>
            <w:vAlign w:val="bottom"/>
            <w:hideMark/>
          </w:tcPr>
          <w:p w14:paraId="41D49125"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7</w:t>
            </w:r>
          </w:p>
        </w:tc>
        <w:tc>
          <w:tcPr>
            <w:tcW w:w="342" w:type="dxa"/>
            <w:tcBorders>
              <w:top w:val="single" w:sz="4" w:space="0" w:color="auto"/>
              <w:left w:val="nil"/>
              <w:bottom w:val="nil"/>
              <w:right w:val="nil"/>
            </w:tcBorders>
            <w:shd w:val="clear" w:color="auto" w:fill="auto"/>
            <w:noWrap/>
            <w:vAlign w:val="bottom"/>
            <w:hideMark/>
          </w:tcPr>
          <w:p w14:paraId="12D10DB6"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14</w:t>
            </w:r>
          </w:p>
        </w:tc>
        <w:tc>
          <w:tcPr>
            <w:tcW w:w="342" w:type="dxa"/>
            <w:tcBorders>
              <w:top w:val="single" w:sz="4" w:space="0" w:color="auto"/>
              <w:left w:val="nil"/>
              <w:bottom w:val="nil"/>
              <w:right w:val="nil"/>
            </w:tcBorders>
            <w:shd w:val="clear" w:color="auto" w:fill="auto"/>
            <w:noWrap/>
            <w:vAlign w:val="bottom"/>
            <w:hideMark/>
          </w:tcPr>
          <w:p w14:paraId="7907CDB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11</w:t>
            </w:r>
          </w:p>
        </w:tc>
        <w:tc>
          <w:tcPr>
            <w:tcW w:w="342" w:type="dxa"/>
            <w:tcBorders>
              <w:top w:val="single" w:sz="4" w:space="0" w:color="auto"/>
              <w:left w:val="nil"/>
              <w:bottom w:val="nil"/>
              <w:right w:val="nil"/>
            </w:tcBorders>
            <w:shd w:val="clear" w:color="auto" w:fill="auto"/>
            <w:noWrap/>
            <w:vAlign w:val="bottom"/>
            <w:hideMark/>
          </w:tcPr>
          <w:p w14:paraId="3B6BD413"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7</w:t>
            </w:r>
          </w:p>
        </w:tc>
        <w:tc>
          <w:tcPr>
            <w:tcW w:w="342" w:type="dxa"/>
            <w:tcBorders>
              <w:top w:val="single" w:sz="4" w:space="0" w:color="auto"/>
              <w:left w:val="nil"/>
              <w:bottom w:val="nil"/>
              <w:right w:val="nil"/>
            </w:tcBorders>
            <w:shd w:val="clear" w:color="auto" w:fill="auto"/>
            <w:noWrap/>
            <w:vAlign w:val="bottom"/>
            <w:hideMark/>
          </w:tcPr>
          <w:p w14:paraId="32B3BAA4"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11</w:t>
            </w:r>
          </w:p>
        </w:tc>
        <w:tc>
          <w:tcPr>
            <w:tcW w:w="342" w:type="dxa"/>
            <w:tcBorders>
              <w:top w:val="single" w:sz="4" w:space="0" w:color="auto"/>
              <w:left w:val="nil"/>
              <w:bottom w:val="nil"/>
              <w:right w:val="nil"/>
            </w:tcBorders>
            <w:shd w:val="clear" w:color="auto" w:fill="auto"/>
            <w:noWrap/>
            <w:vAlign w:val="bottom"/>
            <w:hideMark/>
          </w:tcPr>
          <w:p w14:paraId="340BE1F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14</w:t>
            </w:r>
          </w:p>
        </w:tc>
        <w:tc>
          <w:tcPr>
            <w:tcW w:w="342" w:type="dxa"/>
            <w:tcBorders>
              <w:top w:val="single" w:sz="4" w:space="0" w:color="auto"/>
              <w:left w:val="nil"/>
              <w:bottom w:val="nil"/>
              <w:right w:val="nil"/>
            </w:tcBorders>
            <w:shd w:val="clear" w:color="auto" w:fill="auto"/>
            <w:noWrap/>
            <w:vAlign w:val="bottom"/>
            <w:hideMark/>
          </w:tcPr>
          <w:p w14:paraId="46E8D05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3</w:t>
            </w:r>
          </w:p>
        </w:tc>
        <w:tc>
          <w:tcPr>
            <w:tcW w:w="342" w:type="dxa"/>
            <w:tcBorders>
              <w:top w:val="single" w:sz="4" w:space="0" w:color="auto"/>
              <w:left w:val="nil"/>
              <w:bottom w:val="nil"/>
              <w:right w:val="nil"/>
            </w:tcBorders>
            <w:shd w:val="clear" w:color="auto" w:fill="auto"/>
            <w:noWrap/>
            <w:vAlign w:val="bottom"/>
            <w:hideMark/>
          </w:tcPr>
          <w:p w14:paraId="6C8E87D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11</w:t>
            </w:r>
          </w:p>
        </w:tc>
        <w:tc>
          <w:tcPr>
            <w:tcW w:w="342" w:type="dxa"/>
            <w:gridSpan w:val="2"/>
            <w:tcBorders>
              <w:top w:val="single" w:sz="4" w:space="0" w:color="auto"/>
              <w:left w:val="nil"/>
              <w:bottom w:val="nil"/>
              <w:right w:val="nil"/>
            </w:tcBorders>
            <w:shd w:val="clear" w:color="auto" w:fill="auto"/>
            <w:noWrap/>
            <w:vAlign w:val="bottom"/>
            <w:hideMark/>
          </w:tcPr>
          <w:p w14:paraId="32FEB10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9</w:t>
            </w:r>
          </w:p>
        </w:tc>
        <w:tc>
          <w:tcPr>
            <w:tcW w:w="512" w:type="dxa"/>
            <w:tcBorders>
              <w:top w:val="single" w:sz="4" w:space="0" w:color="auto"/>
              <w:left w:val="nil"/>
              <w:bottom w:val="nil"/>
              <w:right w:val="nil"/>
            </w:tcBorders>
            <w:shd w:val="clear" w:color="auto" w:fill="auto"/>
            <w:noWrap/>
            <w:vAlign w:val="bottom"/>
            <w:hideMark/>
          </w:tcPr>
          <w:p w14:paraId="6FD9421C" w14:textId="2C93BA23" w:rsidR="00021F61" w:rsidRPr="00467EF2" w:rsidRDefault="00021F61" w:rsidP="00021F61">
            <w:pPr>
              <w:spacing w:before="0" w:after="0"/>
              <w:jc w:val="right"/>
              <w:rPr>
                <w:rFonts w:ascii="Calibri" w:eastAsia="Times New Roman" w:hAnsi="Calibri" w:cs="Calibri"/>
                <w:color w:val="000000"/>
                <w:sz w:val="16"/>
                <w:szCs w:val="16"/>
                <w:lang w:eastAsia="de-DE"/>
              </w:rPr>
            </w:pPr>
          </w:p>
        </w:tc>
      </w:tr>
      <w:tr w:rsidR="00021F61" w:rsidRPr="000F1A58" w14:paraId="03D623ED" w14:textId="77777777" w:rsidTr="00021F61">
        <w:trPr>
          <w:gridAfter w:val="1"/>
          <w:wAfter w:w="2029" w:type="dxa"/>
          <w:trHeight w:val="70"/>
        </w:trPr>
        <w:tc>
          <w:tcPr>
            <w:tcW w:w="1536" w:type="dxa"/>
            <w:tcBorders>
              <w:top w:val="nil"/>
              <w:left w:val="nil"/>
              <w:right w:val="nil"/>
            </w:tcBorders>
          </w:tcPr>
          <w:p w14:paraId="7233954C" w14:textId="134A8317" w:rsidR="00021F61" w:rsidRPr="00467EF2" w:rsidRDefault="00021F61" w:rsidP="00021F61">
            <w:pPr>
              <w:spacing w:before="0" w:after="0"/>
              <w:rPr>
                <w:rFonts w:ascii="Calibri" w:eastAsia="Times New Roman" w:hAnsi="Calibri" w:cs="Calibri"/>
                <w:b/>
                <w:bCs/>
                <w:color w:val="000000"/>
                <w:sz w:val="16"/>
                <w:szCs w:val="16"/>
                <w:lang w:eastAsia="de-DE"/>
              </w:rPr>
            </w:pPr>
          </w:p>
        </w:tc>
        <w:tc>
          <w:tcPr>
            <w:tcW w:w="449" w:type="dxa"/>
            <w:gridSpan w:val="2"/>
            <w:tcBorders>
              <w:top w:val="nil"/>
              <w:left w:val="nil"/>
              <w:right w:val="nil"/>
            </w:tcBorders>
            <w:shd w:val="clear" w:color="auto" w:fill="D9D9D9" w:themeFill="background1" w:themeFillShade="D9"/>
          </w:tcPr>
          <w:p w14:paraId="5C5EAE25" w14:textId="77777777" w:rsidR="00021F61" w:rsidRPr="00467EF2" w:rsidRDefault="00021F61" w:rsidP="00021F61">
            <w:pPr>
              <w:spacing w:before="0" w:after="0"/>
              <w:rPr>
                <w:rFonts w:ascii="Calibri" w:eastAsia="Times New Roman" w:hAnsi="Calibri" w:cs="Calibri"/>
                <w:b/>
                <w:bCs/>
                <w:color w:val="000000"/>
                <w:sz w:val="16"/>
                <w:szCs w:val="16"/>
                <w:lang w:eastAsia="de-DE"/>
              </w:rPr>
            </w:pPr>
          </w:p>
        </w:tc>
        <w:tc>
          <w:tcPr>
            <w:tcW w:w="3201" w:type="dxa"/>
            <w:gridSpan w:val="3"/>
            <w:tcBorders>
              <w:top w:val="nil"/>
              <w:left w:val="nil"/>
              <w:right w:val="nil"/>
            </w:tcBorders>
            <w:shd w:val="clear" w:color="000000" w:fill="D9D9D9"/>
            <w:vAlign w:val="bottom"/>
            <w:hideMark/>
          </w:tcPr>
          <w:p w14:paraId="72885708" w14:textId="5D195136" w:rsidR="00021F61" w:rsidRPr="00467EF2" w:rsidRDefault="00021F61" w:rsidP="00021F61">
            <w:pPr>
              <w:spacing w:before="0" w:after="0"/>
              <w:rPr>
                <w:rFonts w:ascii="Calibri" w:eastAsia="Times New Roman" w:hAnsi="Calibri" w:cs="Calibri"/>
                <w:b/>
                <w:bCs/>
                <w:color w:val="000000"/>
                <w:sz w:val="16"/>
                <w:szCs w:val="16"/>
                <w:lang w:eastAsia="de-DE"/>
              </w:rPr>
            </w:pPr>
            <w:r w:rsidRPr="00467EF2">
              <w:rPr>
                <w:rFonts w:ascii="Calibri" w:eastAsia="Times New Roman" w:hAnsi="Calibri" w:cs="Calibri"/>
                <w:b/>
                <w:bCs/>
                <w:color w:val="000000"/>
                <w:sz w:val="16"/>
                <w:szCs w:val="16"/>
                <w:lang w:eastAsia="de-DE"/>
              </w:rPr>
              <w:t>CRED-</w:t>
            </w:r>
            <w:proofErr w:type="spellStart"/>
            <w:r w:rsidRPr="00467EF2">
              <w:rPr>
                <w:rFonts w:ascii="Calibri" w:eastAsia="Times New Roman" w:hAnsi="Calibri" w:cs="Calibri"/>
                <w:b/>
                <w:bCs/>
                <w:color w:val="000000"/>
                <w:sz w:val="16"/>
                <w:szCs w:val="16"/>
                <w:lang w:eastAsia="de-DE"/>
              </w:rPr>
              <w:t>nf</w:t>
            </w:r>
            <w:proofErr w:type="spellEnd"/>
            <w:r w:rsidRPr="00467EF2">
              <w:rPr>
                <w:rFonts w:ascii="Calibri" w:eastAsia="Times New Roman" w:hAnsi="Calibri" w:cs="Calibri"/>
                <w:b/>
                <w:bCs/>
                <w:color w:val="000000"/>
                <w:sz w:val="16"/>
                <w:szCs w:val="16"/>
                <w:lang w:eastAsia="de-DE"/>
              </w:rPr>
              <w:t xml:space="preserve"> </w:t>
            </w:r>
            <w:r w:rsidR="008E6B50" w:rsidRPr="00467EF2">
              <w:rPr>
                <w:rFonts w:ascii="Calibri" w:eastAsia="Times New Roman" w:hAnsi="Calibri" w:cs="Calibri"/>
                <w:b/>
                <w:bCs/>
                <w:color w:val="000000"/>
                <w:sz w:val="16"/>
                <w:szCs w:val="16"/>
                <w:lang w:eastAsia="de-DE"/>
              </w:rPr>
              <w:t>e</w:t>
            </w:r>
            <w:r w:rsidRPr="00467EF2">
              <w:rPr>
                <w:rFonts w:ascii="Calibri" w:eastAsia="Times New Roman" w:hAnsi="Calibri" w:cs="Calibri"/>
                <w:b/>
                <w:bCs/>
                <w:color w:val="000000"/>
                <w:sz w:val="16"/>
                <w:szCs w:val="16"/>
                <w:lang w:eastAsia="de-DE"/>
              </w:rPr>
              <w:t>ncouraged</w:t>
            </w:r>
          </w:p>
        </w:tc>
        <w:tc>
          <w:tcPr>
            <w:tcW w:w="342" w:type="dxa"/>
            <w:tcBorders>
              <w:top w:val="nil"/>
              <w:left w:val="nil"/>
              <w:right w:val="nil"/>
            </w:tcBorders>
            <w:shd w:val="clear" w:color="auto" w:fill="auto"/>
            <w:noWrap/>
            <w:vAlign w:val="bottom"/>
            <w:hideMark/>
          </w:tcPr>
          <w:p w14:paraId="737FBF6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06DF7345"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4555DA3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09A2042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2786AD54"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74B442D5"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4274E4F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198157E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1216609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7F8507C6"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2D88459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5FE2AC10"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15EFC57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2A775666"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3F3A5DAC"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2</w:t>
            </w:r>
          </w:p>
        </w:tc>
        <w:tc>
          <w:tcPr>
            <w:tcW w:w="342" w:type="dxa"/>
            <w:tcBorders>
              <w:top w:val="nil"/>
              <w:left w:val="nil"/>
              <w:right w:val="nil"/>
            </w:tcBorders>
            <w:shd w:val="clear" w:color="auto" w:fill="auto"/>
            <w:noWrap/>
            <w:vAlign w:val="bottom"/>
            <w:hideMark/>
          </w:tcPr>
          <w:p w14:paraId="3D28686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523AE860"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2</w:t>
            </w:r>
          </w:p>
        </w:tc>
        <w:tc>
          <w:tcPr>
            <w:tcW w:w="342" w:type="dxa"/>
            <w:tcBorders>
              <w:top w:val="nil"/>
              <w:left w:val="nil"/>
              <w:right w:val="nil"/>
            </w:tcBorders>
            <w:shd w:val="clear" w:color="auto" w:fill="auto"/>
            <w:noWrap/>
            <w:vAlign w:val="bottom"/>
            <w:hideMark/>
          </w:tcPr>
          <w:p w14:paraId="38F18F5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w:t>
            </w:r>
          </w:p>
        </w:tc>
        <w:tc>
          <w:tcPr>
            <w:tcW w:w="342" w:type="dxa"/>
            <w:tcBorders>
              <w:top w:val="nil"/>
              <w:left w:val="nil"/>
              <w:right w:val="nil"/>
            </w:tcBorders>
            <w:shd w:val="clear" w:color="auto" w:fill="auto"/>
            <w:noWrap/>
            <w:vAlign w:val="bottom"/>
            <w:hideMark/>
          </w:tcPr>
          <w:p w14:paraId="26155FC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2</w:t>
            </w:r>
          </w:p>
        </w:tc>
        <w:tc>
          <w:tcPr>
            <w:tcW w:w="342" w:type="dxa"/>
            <w:tcBorders>
              <w:top w:val="nil"/>
              <w:left w:val="nil"/>
              <w:right w:val="nil"/>
            </w:tcBorders>
            <w:shd w:val="clear" w:color="auto" w:fill="auto"/>
            <w:noWrap/>
            <w:vAlign w:val="bottom"/>
            <w:hideMark/>
          </w:tcPr>
          <w:p w14:paraId="1D08980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0</w:t>
            </w:r>
          </w:p>
        </w:tc>
        <w:tc>
          <w:tcPr>
            <w:tcW w:w="342" w:type="dxa"/>
            <w:tcBorders>
              <w:top w:val="nil"/>
              <w:left w:val="nil"/>
              <w:right w:val="nil"/>
            </w:tcBorders>
            <w:shd w:val="clear" w:color="auto" w:fill="auto"/>
            <w:noWrap/>
            <w:vAlign w:val="bottom"/>
            <w:hideMark/>
          </w:tcPr>
          <w:p w14:paraId="6DBD47F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2</w:t>
            </w:r>
          </w:p>
        </w:tc>
        <w:tc>
          <w:tcPr>
            <w:tcW w:w="342" w:type="dxa"/>
            <w:gridSpan w:val="2"/>
            <w:tcBorders>
              <w:top w:val="nil"/>
              <w:left w:val="nil"/>
              <w:right w:val="nil"/>
            </w:tcBorders>
            <w:shd w:val="clear" w:color="auto" w:fill="auto"/>
            <w:noWrap/>
            <w:vAlign w:val="bottom"/>
            <w:hideMark/>
          </w:tcPr>
          <w:p w14:paraId="117EBF80"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2</w:t>
            </w:r>
          </w:p>
        </w:tc>
        <w:tc>
          <w:tcPr>
            <w:tcW w:w="512" w:type="dxa"/>
            <w:tcBorders>
              <w:top w:val="nil"/>
              <w:left w:val="nil"/>
              <w:right w:val="nil"/>
            </w:tcBorders>
            <w:shd w:val="clear" w:color="auto" w:fill="auto"/>
            <w:noWrap/>
            <w:vAlign w:val="bottom"/>
            <w:hideMark/>
          </w:tcPr>
          <w:p w14:paraId="46855336" w14:textId="590AED9D" w:rsidR="00021F61" w:rsidRPr="00467EF2" w:rsidRDefault="00021F61" w:rsidP="00021F61">
            <w:pPr>
              <w:spacing w:before="0" w:after="0"/>
              <w:jc w:val="right"/>
              <w:rPr>
                <w:rFonts w:ascii="Calibri" w:eastAsia="Times New Roman" w:hAnsi="Calibri" w:cs="Calibri"/>
                <w:color w:val="000000"/>
                <w:sz w:val="16"/>
                <w:szCs w:val="16"/>
                <w:lang w:eastAsia="de-DE"/>
              </w:rPr>
            </w:pPr>
          </w:p>
        </w:tc>
      </w:tr>
      <w:tr w:rsidR="00021F61" w:rsidRPr="000F1A58" w14:paraId="18838B5E" w14:textId="77777777" w:rsidTr="00021F61">
        <w:trPr>
          <w:gridAfter w:val="1"/>
          <w:wAfter w:w="2029" w:type="dxa"/>
          <w:trHeight w:val="20"/>
        </w:trPr>
        <w:tc>
          <w:tcPr>
            <w:tcW w:w="1536" w:type="dxa"/>
            <w:tcBorders>
              <w:top w:val="nil"/>
              <w:left w:val="nil"/>
              <w:bottom w:val="single" w:sz="4" w:space="0" w:color="auto"/>
              <w:right w:val="nil"/>
            </w:tcBorders>
          </w:tcPr>
          <w:p w14:paraId="4D6AFE3F" w14:textId="069D3BC7" w:rsidR="00021F61" w:rsidRPr="00467EF2" w:rsidRDefault="00021F61" w:rsidP="00021F61">
            <w:pPr>
              <w:spacing w:before="0" w:after="0"/>
              <w:rPr>
                <w:rFonts w:ascii="Calibri" w:eastAsia="Times New Roman" w:hAnsi="Calibri" w:cs="Calibri"/>
                <w:b/>
                <w:bCs/>
                <w:color w:val="000000"/>
                <w:sz w:val="16"/>
                <w:szCs w:val="16"/>
                <w:lang w:eastAsia="de-DE"/>
              </w:rPr>
            </w:pPr>
          </w:p>
        </w:tc>
        <w:tc>
          <w:tcPr>
            <w:tcW w:w="449" w:type="dxa"/>
            <w:gridSpan w:val="2"/>
            <w:tcBorders>
              <w:top w:val="nil"/>
              <w:left w:val="nil"/>
              <w:bottom w:val="single" w:sz="4" w:space="0" w:color="auto"/>
              <w:right w:val="nil"/>
            </w:tcBorders>
            <w:shd w:val="clear" w:color="auto" w:fill="auto"/>
          </w:tcPr>
          <w:p w14:paraId="1ADA9A6E" w14:textId="77777777" w:rsidR="00021F61" w:rsidRPr="00467EF2" w:rsidRDefault="00021F61" w:rsidP="00021F61">
            <w:pPr>
              <w:spacing w:before="0" w:after="0"/>
              <w:rPr>
                <w:rFonts w:ascii="Calibri" w:eastAsia="Times New Roman" w:hAnsi="Calibri" w:cs="Calibri"/>
                <w:b/>
                <w:bCs/>
                <w:color w:val="000000"/>
                <w:sz w:val="16"/>
                <w:szCs w:val="16"/>
                <w:lang w:eastAsia="de-DE"/>
              </w:rPr>
            </w:pPr>
          </w:p>
        </w:tc>
        <w:tc>
          <w:tcPr>
            <w:tcW w:w="3201" w:type="dxa"/>
            <w:gridSpan w:val="3"/>
            <w:tcBorders>
              <w:top w:val="nil"/>
              <w:left w:val="nil"/>
              <w:bottom w:val="single" w:sz="4" w:space="0" w:color="auto"/>
              <w:right w:val="nil"/>
            </w:tcBorders>
            <w:shd w:val="clear" w:color="auto" w:fill="auto"/>
            <w:vAlign w:val="bottom"/>
            <w:hideMark/>
          </w:tcPr>
          <w:p w14:paraId="492CDE63" w14:textId="2504B09C" w:rsidR="00021F61" w:rsidRPr="00467EF2" w:rsidRDefault="00021F61" w:rsidP="00021F61">
            <w:pPr>
              <w:spacing w:before="0" w:after="0"/>
              <w:rPr>
                <w:rFonts w:ascii="Calibri" w:eastAsia="Times New Roman" w:hAnsi="Calibri" w:cs="Calibri"/>
                <w:b/>
                <w:bCs/>
                <w:color w:val="000000"/>
                <w:sz w:val="16"/>
                <w:szCs w:val="16"/>
                <w:lang w:eastAsia="de-DE"/>
              </w:rPr>
            </w:pPr>
            <w:r w:rsidRPr="00467EF2">
              <w:rPr>
                <w:rFonts w:ascii="Calibri" w:eastAsia="Times New Roman" w:hAnsi="Calibri" w:cs="Calibri"/>
                <w:b/>
                <w:bCs/>
                <w:color w:val="000000"/>
                <w:sz w:val="16"/>
                <w:szCs w:val="16"/>
                <w:lang w:eastAsia="de-DE"/>
              </w:rPr>
              <w:t>CRED-</w:t>
            </w:r>
            <w:proofErr w:type="spellStart"/>
            <w:r w:rsidRPr="00467EF2">
              <w:rPr>
                <w:rFonts w:ascii="Calibri" w:eastAsia="Times New Roman" w:hAnsi="Calibri" w:cs="Calibri"/>
                <w:b/>
                <w:bCs/>
                <w:color w:val="000000"/>
                <w:sz w:val="16"/>
                <w:szCs w:val="16"/>
                <w:lang w:eastAsia="de-DE"/>
              </w:rPr>
              <w:t>nf</w:t>
            </w:r>
            <w:proofErr w:type="spellEnd"/>
            <w:r w:rsidRPr="00467EF2">
              <w:rPr>
                <w:rFonts w:ascii="Calibri" w:eastAsia="Times New Roman" w:hAnsi="Calibri" w:cs="Calibri"/>
                <w:b/>
                <w:bCs/>
                <w:color w:val="000000"/>
                <w:sz w:val="16"/>
                <w:szCs w:val="16"/>
                <w:lang w:eastAsia="de-DE"/>
              </w:rPr>
              <w:t xml:space="preserve"> total</w:t>
            </w:r>
          </w:p>
        </w:tc>
        <w:tc>
          <w:tcPr>
            <w:tcW w:w="342" w:type="dxa"/>
            <w:tcBorders>
              <w:top w:val="nil"/>
              <w:left w:val="nil"/>
              <w:bottom w:val="single" w:sz="4" w:space="0" w:color="auto"/>
              <w:right w:val="nil"/>
            </w:tcBorders>
            <w:shd w:val="clear" w:color="auto" w:fill="auto"/>
            <w:noWrap/>
            <w:vAlign w:val="bottom"/>
            <w:hideMark/>
          </w:tcPr>
          <w:p w14:paraId="595C6B0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9</w:t>
            </w:r>
          </w:p>
        </w:tc>
        <w:tc>
          <w:tcPr>
            <w:tcW w:w="342" w:type="dxa"/>
            <w:tcBorders>
              <w:top w:val="nil"/>
              <w:left w:val="nil"/>
              <w:bottom w:val="single" w:sz="4" w:space="0" w:color="auto"/>
              <w:right w:val="nil"/>
            </w:tcBorders>
            <w:shd w:val="clear" w:color="auto" w:fill="auto"/>
            <w:noWrap/>
            <w:vAlign w:val="bottom"/>
            <w:hideMark/>
          </w:tcPr>
          <w:p w14:paraId="49820CE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8</w:t>
            </w:r>
          </w:p>
        </w:tc>
        <w:tc>
          <w:tcPr>
            <w:tcW w:w="342" w:type="dxa"/>
            <w:tcBorders>
              <w:top w:val="nil"/>
              <w:left w:val="nil"/>
              <w:bottom w:val="single" w:sz="4" w:space="0" w:color="auto"/>
              <w:right w:val="nil"/>
            </w:tcBorders>
            <w:shd w:val="clear" w:color="auto" w:fill="auto"/>
            <w:noWrap/>
            <w:vAlign w:val="bottom"/>
            <w:hideMark/>
          </w:tcPr>
          <w:p w14:paraId="1D3610A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13</w:t>
            </w:r>
          </w:p>
        </w:tc>
        <w:tc>
          <w:tcPr>
            <w:tcW w:w="342" w:type="dxa"/>
            <w:tcBorders>
              <w:top w:val="nil"/>
              <w:left w:val="nil"/>
              <w:bottom w:val="single" w:sz="4" w:space="0" w:color="auto"/>
              <w:right w:val="nil"/>
            </w:tcBorders>
            <w:shd w:val="clear" w:color="auto" w:fill="auto"/>
            <w:noWrap/>
            <w:vAlign w:val="bottom"/>
            <w:hideMark/>
          </w:tcPr>
          <w:p w14:paraId="3E2A820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12</w:t>
            </w:r>
          </w:p>
        </w:tc>
        <w:tc>
          <w:tcPr>
            <w:tcW w:w="342" w:type="dxa"/>
            <w:tcBorders>
              <w:top w:val="nil"/>
              <w:left w:val="nil"/>
              <w:bottom w:val="single" w:sz="4" w:space="0" w:color="auto"/>
              <w:right w:val="nil"/>
            </w:tcBorders>
            <w:shd w:val="clear" w:color="auto" w:fill="auto"/>
            <w:noWrap/>
            <w:vAlign w:val="bottom"/>
            <w:hideMark/>
          </w:tcPr>
          <w:p w14:paraId="7FCA534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11</w:t>
            </w:r>
          </w:p>
        </w:tc>
        <w:tc>
          <w:tcPr>
            <w:tcW w:w="342" w:type="dxa"/>
            <w:tcBorders>
              <w:top w:val="nil"/>
              <w:left w:val="nil"/>
              <w:bottom w:val="single" w:sz="4" w:space="0" w:color="auto"/>
              <w:right w:val="nil"/>
            </w:tcBorders>
            <w:shd w:val="clear" w:color="auto" w:fill="auto"/>
            <w:noWrap/>
            <w:vAlign w:val="bottom"/>
            <w:hideMark/>
          </w:tcPr>
          <w:p w14:paraId="0FEAA33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8</w:t>
            </w:r>
          </w:p>
        </w:tc>
        <w:tc>
          <w:tcPr>
            <w:tcW w:w="342" w:type="dxa"/>
            <w:tcBorders>
              <w:top w:val="nil"/>
              <w:left w:val="nil"/>
              <w:bottom w:val="single" w:sz="4" w:space="0" w:color="auto"/>
              <w:right w:val="nil"/>
            </w:tcBorders>
            <w:shd w:val="clear" w:color="auto" w:fill="auto"/>
            <w:noWrap/>
            <w:vAlign w:val="bottom"/>
            <w:hideMark/>
          </w:tcPr>
          <w:p w14:paraId="37853526"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7</w:t>
            </w:r>
          </w:p>
        </w:tc>
        <w:tc>
          <w:tcPr>
            <w:tcW w:w="342" w:type="dxa"/>
            <w:tcBorders>
              <w:top w:val="nil"/>
              <w:left w:val="nil"/>
              <w:bottom w:val="single" w:sz="4" w:space="0" w:color="auto"/>
              <w:right w:val="nil"/>
            </w:tcBorders>
            <w:shd w:val="clear" w:color="auto" w:fill="auto"/>
            <w:noWrap/>
            <w:vAlign w:val="bottom"/>
            <w:hideMark/>
          </w:tcPr>
          <w:p w14:paraId="0C54D26B"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9</w:t>
            </w:r>
          </w:p>
        </w:tc>
        <w:tc>
          <w:tcPr>
            <w:tcW w:w="342" w:type="dxa"/>
            <w:tcBorders>
              <w:top w:val="nil"/>
              <w:left w:val="nil"/>
              <w:bottom w:val="single" w:sz="4" w:space="0" w:color="auto"/>
              <w:right w:val="nil"/>
            </w:tcBorders>
            <w:shd w:val="clear" w:color="auto" w:fill="auto"/>
            <w:noWrap/>
            <w:vAlign w:val="bottom"/>
            <w:hideMark/>
          </w:tcPr>
          <w:p w14:paraId="2D18FDA8"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11</w:t>
            </w:r>
          </w:p>
        </w:tc>
        <w:tc>
          <w:tcPr>
            <w:tcW w:w="342" w:type="dxa"/>
            <w:tcBorders>
              <w:top w:val="nil"/>
              <w:left w:val="nil"/>
              <w:bottom w:val="single" w:sz="4" w:space="0" w:color="auto"/>
              <w:right w:val="nil"/>
            </w:tcBorders>
            <w:shd w:val="clear" w:color="auto" w:fill="auto"/>
            <w:noWrap/>
            <w:vAlign w:val="bottom"/>
            <w:hideMark/>
          </w:tcPr>
          <w:p w14:paraId="32C7E50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12</w:t>
            </w:r>
          </w:p>
        </w:tc>
        <w:tc>
          <w:tcPr>
            <w:tcW w:w="342" w:type="dxa"/>
            <w:tcBorders>
              <w:top w:val="nil"/>
              <w:left w:val="nil"/>
              <w:bottom w:val="single" w:sz="4" w:space="0" w:color="auto"/>
              <w:right w:val="nil"/>
            </w:tcBorders>
            <w:shd w:val="clear" w:color="auto" w:fill="auto"/>
            <w:noWrap/>
            <w:vAlign w:val="bottom"/>
            <w:hideMark/>
          </w:tcPr>
          <w:p w14:paraId="39A94270"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13</w:t>
            </w:r>
          </w:p>
        </w:tc>
        <w:tc>
          <w:tcPr>
            <w:tcW w:w="342" w:type="dxa"/>
            <w:tcBorders>
              <w:top w:val="nil"/>
              <w:left w:val="nil"/>
              <w:bottom w:val="single" w:sz="4" w:space="0" w:color="auto"/>
              <w:right w:val="nil"/>
            </w:tcBorders>
            <w:shd w:val="clear" w:color="auto" w:fill="auto"/>
            <w:noWrap/>
            <w:vAlign w:val="bottom"/>
            <w:hideMark/>
          </w:tcPr>
          <w:p w14:paraId="2D668BD2"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8</w:t>
            </w:r>
          </w:p>
        </w:tc>
        <w:tc>
          <w:tcPr>
            <w:tcW w:w="342" w:type="dxa"/>
            <w:tcBorders>
              <w:top w:val="nil"/>
              <w:left w:val="nil"/>
              <w:bottom w:val="single" w:sz="4" w:space="0" w:color="auto"/>
              <w:right w:val="nil"/>
            </w:tcBorders>
            <w:shd w:val="clear" w:color="auto" w:fill="auto"/>
            <w:noWrap/>
            <w:vAlign w:val="bottom"/>
            <w:hideMark/>
          </w:tcPr>
          <w:p w14:paraId="520EB58E"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7</w:t>
            </w:r>
          </w:p>
        </w:tc>
        <w:tc>
          <w:tcPr>
            <w:tcW w:w="342" w:type="dxa"/>
            <w:tcBorders>
              <w:top w:val="nil"/>
              <w:left w:val="nil"/>
              <w:bottom w:val="single" w:sz="4" w:space="0" w:color="auto"/>
              <w:right w:val="nil"/>
            </w:tcBorders>
            <w:shd w:val="clear" w:color="auto" w:fill="auto"/>
            <w:noWrap/>
            <w:vAlign w:val="bottom"/>
            <w:hideMark/>
          </w:tcPr>
          <w:p w14:paraId="1957E04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7</w:t>
            </w:r>
          </w:p>
        </w:tc>
        <w:tc>
          <w:tcPr>
            <w:tcW w:w="342" w:type="dxa"/>
            <w:tcBorders>
              <w:top w:val="nil"/>
              <w:left w:val="nil"/>
              <w:bottom w:val="single" w:sz="4" w:space="0" w:color="auto"/>
              <w:right w:val="nil"/>
            </w:tcBorders>
            <w:shd w:val="clear" w:color="auto" w:fill="auto"/>
            <w:noWrap/>
            <w:vAlign w:val="bottom"/>
            <w:hideMark/>
          </w:tcPr>
          <w:p w14:paraId="5B42E505"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16</w:t>
            </w:r>
          </w:p>
        </w:tc>
        <w:tc>
          <w:tcPr>
            <w:tcW w:w="342" w:type="dxa"/>
            <w:tcBorders>
              <w:top w:val="nil"/>
              <w:left w:val="nil"/>
              <w:bottom w:val="single" w:sz="4" w:space="0" w:color="auto"/>
              <w:right w:val="nil"/>
            </w:tcBorders>
            <w:shd w:val="clear" w:color="auto" w:fill="auto"/>
            <w:noWrap/>
            <w:vAlign w:val="bottom"/>
            <w:hideMark/>
          </w:tcPr>
          <w:p w14:paraId="3058CEA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11</w:t>
            </w:r>
          </w:p>
        </w:tc>
        <w:tc>
          <w:tcPr>
            <w:tcW w:w="342" w:type="dxa"/>
            <w:tcBorders>
              <w:top w:val="nil"/>
              <w:left w:val="nil"/>
              <w:bottom w:val="single" w:sz="4" w:space="0" w:color="auto"/>
              <w:right w:val="nil"/>
            </w:tcBorders>
            <w:shd w:val="clear" w:color="auto" w:fill="auto"/>
            <w:noWrap/>
            <w:vAlign w:val="bottom"/>
            <w:hideMark/>
          </w:tcPr>
          <w:p w14:paraId="59FBB9D9"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9</w:t>
            </w:r>
          </w:p>
        </w:tc>
        <w:tc>
          <w:tcPr>
            <w:tcW w:w="342" w:type="dxa"/>
            <w:tcBorders>
              <w:top w:val="nil"/>
              <w:left w:val="nil"/>
              <w:bottom w:val="single" w:sz="4" w:space="0" w:color="auto"/>
              <w:right w:val="nil"/>
            </w:tcBorders>
            <w:shd w:val="clear" w:color="auto" w:fill="auto"/>
            <w:noWrap/>
            <w:vAlign w:val="bottom"/>
            <w:hideMark/>
          </w:tcPr>
          <w:p w14:paraId="29159EFD"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12</w:t>
            </w:r>
          </w:p>
        </w:tc>
        <w:tc>
          <w:tcPr>
            <w:tcW w:w="342" w:type="dxa"/>
            <w:tcBorders>
              <w:top w:val="nil"/>
              <w:left w:val="nil"/>
              <w:bottom w:val="single" w:sz="4" w:space="0" w:color="auto"/>
              <w:right w:val="nil"/>
            </w:tcBorders>
            <w:shd w:val="clear" w:color="auto" w:fill="auto"/>
            <w:noWrap/>
            <w:vAlign w:val="bottom"/>
            <w:hideMark/>
          </w:tcPr>
          <w:p w14:paraId="3D810BA1"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16</w:t>
            </w:r>
          </w:p>
        </w:tc>
        <w:tc>
          <w:tcPr>
            <w:tcW w:w="342" w:type="dxa"/>
            <w:tcBorders>
              <w:top w:val="nil"/>
              <w:left w:val="nil"/>
              <w:bottom w:val="single" w:sz="4" w:space="0" w:color="auto"/>
              <w:right w:val="nil"/>
            </w:tcBorders>
            <w:shd w:val="clear" w:color="auto" w:fill="auto"/>
            <w:noWrap/>
            <w:vAlign w:val="bottom"/>
            <w:hideMark/>
          </w:tcPr>
          <w:p w14:paraId="1AA7F06A"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3</w:t>
            </w:r>
          </w:p>
        </w:tc>
        <w:tc>
          <w:tcPr>
            <w:tcW w:w="342" w:type="dxa"/>
            <w:tcBorders>
              <w:top w:val="nil"/>
              <w:left w:val="nil"/>
              <w:bottom w:val="single" w:sz="4" w:space="0" w:color="auto"/>
              <w:right w:val="nil"/>
            </w:tcBorders>
            <w:shd w:val="clear" w:color="auto" w:fill="auto"/>
            <w:noWrap/>
            <w:vAlign w:val="bottom"/>
            <w:hideMark/>
          </w:tcPr>
          <w:p w14:paraId="37BECC94"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13</w:t>
            </w:r>
          </w:p>
        </w:tc>
        <w:tc>
          <w:tcPr>
            <w:tcW w:w="342" w:type="dxa"/>
            <w:gridSpan w:val="2"/>
            <w:tcBorders>
              <w:top w:val="nil"/>
              <w:left w:val="nil"/>
              <w:bottom w:val="single" w:sz="4" w:space="0" w:color="auto"/>
              <w:right w:val="nil"/>
            </w:tcBorders>
            <w:shd w:val="clear" w:color="auto" w:fill="auto"/>
            <w:noWrap/>
            <w:vAlign w:val="bottom"/>
            <w:hideMark/>
          </w:tcPr>
          <w:p w14:paraId="2DBB1AD7" w14:textId="77777777" w:rsidR="00021F61" w:rsidRPr="00467EF2" w:rsidRDefault="00021F61" w:rsidP="00021F61">
            <w:pPr>
              <w:spacing w:before="0" w:after="0"/>
              <w:jc w:val="center"/>
              <w:rPr>
                <w:rFonts w:ascii="Calibri" w:eastAsia="Times New Roman" w:hAnsi="Calibri" w:cs="Calibri"/>
                <w:color w:val="000000"/>
                <w:sz w:val="16"/>
                <w:szCs w:val="16"/>
                <w:lang w:eastAsia="de-DE"/>
              </w:rPr>
            </w:pPr>
            <w:r w:rsidRPr="00467EF2">
              <w:rPr>
                <w:rFonts w:ascii="Calibri" w:eastAsia="Times New Roman" w:hAnsi="Calibri" w:cs="Calibri"/>
                <w:color w:val="000000"/>
                <w:sz w:val="16"/>
                <w:szCs w:val="16"/>
                <w:lang w:eastAsia="de-DE"/>
              </w:rPr>
              <w:t>11</w:t>
            </w:r>
          </w:p>
        </w:tc>
        <w:tc>
          <w:tcPr>
            <w:tcW w:w="512" w:type="dxa"/>
            <w:tcBorders>
              <w:top w:val="nil"/>
              <w:left w:val="nil"/>
              <w:bottom w:val="single" w:sz="4" w:space="0" w:color="auto"/>
              <w:right w:val="nil"/>
            </w:tcBorders>
            <w:shd w:val="clear" w:color="auto" w:fill="auto"/>
            <w:noWrap/>
            <w:vAlign w:val="bottom"/>
            <w:hideMark/>
          </w:tcPr>
          <w:p w14:paraId="7E01721C" w14:textId="007E4156" w:rsidR="00021F61" w:rsidRPr="00467EF2" w:rsidRDefault="00021F61" w:rsidP="00021F61">
            <w:pPr>
              <w:spacing w:before="0" w:after="0"/>
              <w:jc w:val="right"/>
              <w:rPr>
                <w:rFonts w:ascii="Calibri" w:eastAsia="Times New Roman" w:hAnsi="Calibri" w:cs="Calibri"/>
                <w:color w:val="000000"/>
                <w:sz w:val="16"/>
                <w:szCs w:val="16"/>
                <w:lang w:eastAsia="de-DE"/>
              </w:rPr>
            </w:pPr>
          </w:p>
        </w:tc>
      </w:tr>
    </w:tbl>
    <w:p w14:paraId="02CD4F13" w14:textId="6799A64E" w:rsidR="00FD2AD8" w:rsidRPr="000F1A58" w:rsidRDefault="00FD2AD8" w:rsidP="00FD2AD8">
      <w:pPr>
        <w:rPr>
          <w:rFonts w:ascii="Calibri" w:hAnsi="Calibri" w:cs="Calibri"/>
          <w:sz w:val="16"/>
          <w:szCs w:val="16"/>
        </w:rPr>
        <w:sectPr w:rsidR="00FD2AD8" w:rsidRPr="000F1A58" w:rsidSect="00334CFE">
          <w:type w:val="continuous"/>
          <w:pgSz w:w="15840" w:h="12240" w:orient="landscape"/>
          <w:pgMar w:top="1282" w:right="1138" w:bottom="1181" w:left="1138" w:header="283" w:footer="510" w:gutter="0"/>
          <w:cols w:space="720"/>
          <w:titlePg/>
          <w:docGrid w:linePitch="360"/>
        </w:sectPr>
      </w:pPr>
      <w:r w:rsidRPr="000F1A58">
        <w:rPr>
          <w:rFonts w:asciiTheme="minorHAnsi" w:hAnsiTheme="minorHAnsi" w:cstheme="minorHAnsi"/>
          <w:sz w:val="16"/>
          <w:szCs w:val="16"/>
        </w:rPr>
        <w:t>CRED-</w:t>
      </w:r>
      <w:proofErr w:type="spellStart"/>
      <w:r w:rsidRPr="000F1A58">
        <w:rPr>
          <w:rFonts w:asciiTheme="minorHAnsi" w:hAnsiTheme="minorHAnsi" w:cstheme="minorHAnsi"/>
          <w:sz w:val="16"/>
          <w:szCs w:val="16"/>
        </w:rPr>
        <w:t>nf</w:t>
      </w:r>
      <w:proofErr w:type="spellEnd"/>
      <w:r w:rsidRPr="000F1A58">
        <w:rPr>
          <w:rFonts w:asciiTheme="minorHAnsi" w:hAnsiTheme="minorHAnsi" w:cstheme="minorHAnsi"/>
          <w:sz w:val="16"/>
          <w:szCs w:val="16"/>
        </w:rPr>
        <w:t>, Consensus on the reporting and experimental design of clinical and cognitive-</w:t>
      </w:r>
      <w:proofErr w:type="spellStart"/>
      <w:r w:rsidRPr="000F1A58">
        <w:rPr>
          <w:rFonts w:asciiTheme="minorHAnsi" w:hAnsiTheme="minorHAnsi" w:cstheme="minorHAnsi"/>
          <w:sz w:val="16"/>
          <w:szCs w:val="16"/>
        </w:rPr>
        <w:t>behavioural</w:t>
      </w:r>
      <w:proofErr w:type="spellEnd"/>
      <w:r w:rsidRPr="000F1A58">
        <w:rPr>
          <w:rFonts w:asciiTheme="minorHAnsi" w:hAnsiTheme="minorHAnsi" w:cstheme="minorHAnsi"/>
          <w:sz w:val="16"/>
          <w:szCs w:val="16"/>
        </w:rPr>
        <w:t xml:space="preserve"> neurofeedback studies checklist (Ros et al., 2019); 1 = reported; 0 = not reported. * </w:t>
      </w:r>
      <w:r w:rsidRPr="000F1A58">
        <w:rPr>
          <w:rFonts w:ascii="Calibri" w:hAnsi="Calibri" w:cs="Calibri"/>
          <w:sz w:val="16"/>
          <w:szCs w:val="16"/>
        </w:rPr>
        <w:t>We deviated from the original CRED-</w:t>
      </w:r>
      <w:proofErr w:type="spellStart"/>
      <w:r w:rsidRPr="000F1A58">
        <w:rPr>
          <w:rFonts w:ascii="Calibri" w:hAnsi="Calibri" w:cs="Calibri"/>
          <w:sz w:val="16"/>
          <w:szCs w:val="16"/>
        </w:rPr>
        <w:t>nf</w:t>
      </w:r>
      <w:proofErr w:type="spellEnd"/>
      <w:r w:rsidRPr="000F1A58">
        <w:rPr>
          <w:rFonts w:ascii="Calibri" w:hAnsi="Calibri" w:cs="Calibri"/>
          <w:sz w:val="16"/>
          <w:szCs w:val="16"/>
        </w:rPr>
        <w:t xml:space="preserve"> items and applied more lenient criteria (see</w:t>
      </w:r>
      <w:r w:rsidR="00FD137A" w:rsidRPr="000F1A58">
        <w:rPr>
          <w:rFonts w:ascii="Calibri" w:hAnsi="Calibri" w:cs="Calibri"/>
          <w:sz w:val="16"/>
          <w:szCs w:val="16"/>
        </w:rPr>
        <w:t xml:space="preserve"> text above</w:t>
      </w:r>
      <w:r w:rsidRPr="000F1A58">
        <w:rPr>
          <w:rFonts w:ascii="Calibri" w:hAnsi="Calibri" w:cs="Calibri"/>
          <w:sz w:val="16"/>
          <w:szCs w:val="16"/>
        </w:rPr>
        <w:t>).</w:t>
      </w:r>
    </w:p>
    <w:p w14:paraId="3BF9E76D" w14:textId="2AF11D29" w:rsidR="00286ABF" w:rsidRPr="000F1A58" w:rsidRDefault="00286ABF" w:rsidP="00FD2AD8">
      <w:pPr>
        <w:pStyle w:val="Heading1"/>
      </w:pPr>
      <w:r w:rsidRPr="000F1A58">
        <w:lastRenderedPageBreak/>
        <w:t>Sensitivity and statistical power</w:t>
      </w:r>
    </w:p>
    <w:p w14:paraId="10B24677" w14:textId="16A7D595" w:rsidR="00D74001" w:rsidRPr="000F1A58" w:rsidRDefault="004D1486" w:rsidP="004D1486">
      <w:r w:rsidRPr="000F1A58">
        <w:t>Here we provide detailed results of the analysis of statistical sensitivity and power o</w:t>
      </w:r>
      <w:r w:rsidR="006F7486">
        <w:t>f the included studies. Table S3</w:t>
      </w:r>
      <w:r w:rsidRPr="000F1A58">
        <w:t xml:space="preserve"> shows results for </w:t>
      </w:r>
      <w:r w:rsidR="00422A49" w:rsidRPr="000F1A58">
        <w:t>the analyse</w:t>
      </w:r>
      <w:r w:rsidRPr="000F1A58">
        <w:t>s</w:t>
      </w:r>
      <w:r w:rsidR="00422A49" w:rsidRPr="000F1A58">
        <w:t xml:space="preserve"> of</w:t>
      </w:r>
      <w:r w:rsidRPr="000F1A58">
        <w:t xml:space="preserve"> regulation performance </w:t>
      </w:r>
      <w:r w:rsidR="00422A49" w:rsidRPr="000F1A58">
        <w:t xml:space="preserve">and </w:t>
      </w:r>
      <w:r w:rsidRPr="000F1A58">
        <w:t>Table S</w:t>
      </w:r>
      <w:r w:rsidR="006F7486">
        <w:t>4</w:t>
      </w:r>
      <w:r w:rsidR="00422A49" w:rsidRPr="000F1A58">
        <w:t xml:space="preserve"> for the analyses of</w:t>
      </w:r>
      <w:r w:rsidRPr="000F1A58">
        <w:t xml:space="preserve"> behavioral effec</w:t>
      </w:r>
      <w:r w:rsidR="00422A49" w:rsidRPr="000F1A58">
        <w:t>ts reported by the individual studies.</w:t>
      </w:r>
      <w:r w:rsidR="00204F47" w:rsidRPr="000F1A58">
        <w:t xml:space="preserve"> </w:t>
      </w:r>
    </w:p>
    <w:p w14:paraId="7D302705" w14:textId="50144AA7" w:rsidR="00286ABF" w:rsidRPr="000F1A58" w:rsidRDefault="00286ABF" w:rsidP="00286ABF">
      <w:pPr>
        <w:pStyle w:val="Caption"/>
      </w:pPr>
      <w:r w:rsidRPr="000F1A58">
        <w:t>Table S</w:t>
      </w:r>
      <w:r w:rsidR="00B21E62" w:rsidRPr="000F1A58">
        <w:t>3</w:t>
      </w:r>
      <w:r w:rsidR="005D6324" w:rsidRPr="000F1A58">
        <w:t>.</w:t>
      </w:r>
      <w:r w:rsidRPr="000F1A58">
        <w:t xml:space="preserve"> </w:t>
      </w:r>
      <w:r w:rsidRPr="000F1A58">
        <w:rPr>
          <w:b w:val="0"/>
        </w:rPr>
        <w:t>Sensitivity and statistical power for reported analysis of regulation performance</w:t>
      </w:r>
      <w:r w:rsidR="005D6324" w:rsidRPr="000F1A58">
        <w:rPr>
          <w:b w:val="0"/>
        </w:rPr>
        <w:t>.</w:t>
      </w:r>
    </w:p>
    <w:tbl>
      <w:tblPr>
        <w:tblW w:w="9775" w:type="dxa"/>
        <w:tblCellMar>
          <w:left w:w="70" w:type="dxa"/>
          <w:right w:w="70" w:type="dxa"/>
        </w:tblCellMar>
        <w:tblLook w:val="04A0" w:firstRow="1" w:lastRow="0" w:firstColumn="1" w:lastColumn="0" w:noHBand="0" w:noVBand="1"/>
      </w:tblPr>
      <w:tblGrid>
        <w:gridCol w:w="1114"/>
        <w:gridCol w:w="787"/>
        <w:gridCol w:w="1023"/>
        <w:gridCol w:w="2389"/>
        <w:gridCol w:w="892"/>
        <w:gridCol w:w="893"/>
        <w:gridCol w:w="892"/>
        <w:gridCol w:w="892"/>
        <w:gridCol w:w="893"/>
      </w:tblGrid>
      <w:tr w:rsidR="00286ABF" w:rsidRPr="000F1A58" w14:paraId="269D39CE" w14:textId="77777777" w:rsidTr="00204F47">
        <w:trPr>
          <w:trHeight w:val="280"/>
        </w:trPr>
        <w:tc>
          <w:tcPr>
            <w:tcW w:w="1114" w:type="dxa"/>
            <w:vMerge w:val="restart"/>
            <w:shd w:val="clear" w:color="auto" w:fill="auto"/>
            <w:noWrap/>
            <w:vAlign w:val="center"/>
            <w:hideMark/>
          </w:tcPr>
          <w:p w14:paraId="3B55F6A2" w14:textId="77777777" w:rsidR="00286ABF" w:rsidRPr="000F1A58" w:rsidRDefault="00286ABF" w:rsidP="00633EF1">
            <w:pPr>
              <w:spacing w:before="0" w:after="0"/>
              <w:jc w:val="center"/>
              <w:rPr>
                <w:rFonts w:eastAsia="Times New Roman" w:cs="Times New Roman"/>
                <w:sz w:val="18"/>
                <w:szCs w:val="18"/>
                <w:lang w:eastAsia="de-DE"/>
              </w:rPr>
            </w:pPr>
            <w:r w:rsidRPr="000F1A58">
              <w:rPr>
                <w:rFonts w:ascii="Calibri" w:eastAsia="Times New Roman" w:hAnsi="Calibri" w:cs="Calibri"/>
                <w:b/>
                <w:bCs/>
                <w:color w:val="000000"/>
                <w:sz w:val="18"/>
                <w:szCs w:val="18"/>
                <w:lang w:eastAsia="de-DE"/>
              </w:rPr>
              <w:t>Study</w:t>
            </w:r>
          </w:p>
        </w:tc>
        <w:tc>
          <w:tcPr>
            <w:tcW w:w="787" w:type="dxa"/>
            <w:vMerge w:val="restart"/>
            <w:shd w:val="clear" w:color="auto" w:fill="auto"/>
            <w:noWrap/>
            <w:vAlign w:val="center"/>
            <w:hideMark/>
          </w:tcPr>
          <w:p w14:paraId="6BE37C97" w14:textId="77777777" w:rsidR="00286ABF" w:rsidRPr="000F1A58" w:rsidRDefault="00286ABF" w:rsidP="00633EF1">
            <w:pPr>
              <w:spacing w:before="0" w:after="0"/>
              <w:jc w:val="center"/>
              <w:rPr>
                <w:rFonts w:eastAsia="Times New Roman" w:cs="Times New Roman"/>
                <w:sz w:val="18"/>
                <w:szCs w:val="18"/>
                <w:lang w:eastAsia="de-DE"/>
              </w:rPr>
            </w:pPr>
            <w:r w:rsidRPr="000F1A58">
              <w:rPr>
                <w:rFonts w:ascii="Calibri" w:eastAsia="Times New Roman" w:hAnsi="Calibri" w:cs="Calibri"/>
                <w:b/>
                <w:bCs/>
                <w:color w:val="000000"/>
                <w:sz w:val="18"/>
                <w:szCs w:val="18"/>
                <w:lang w:eastAsia="de-DE"/>
              </w:rPr>
              <w:t>N</w:t>
            </w:r>
          </w:p>
        </w:tc>
        <w:tc>
          <w:tcPr>
            <w:tcW w:w="1023" w:type="dxa"/>
            <w:vMerge w:val="restart"/>
            <w:shd w:val="clear" w:color="auto" w:fill="auto"/>
            <w:noWrap/>
            <w:vAlign w:val="center"/>
            <w:hideMark/>
          </w:tcPr>
          <w:p w14:paraId="112FA199" w14:textId="182301ED" w:rsidR="00286ABF" w:rsidRPr="000F1A58" w:rsidRDefault="00204F47" w:rsidP="00633EF1">
            <w:pPr>
              <w:spacing w:before="0" w:after="0"/>
              <w:jc w:val="center"/>
              <w:rPr>
                <w:rFonts w:ascii="Calibri" w:eastAsia="Times New Roman" w:hAnsi="Calibri" w:cs="Calibri"/>
                <w:b/>
                <w:bCs/>
                <w:color w:val="000000"/>
                <w:sz w:val="18"/>
                <w:szCs w:val="18"/>
                <w:lang w:eastAsia="de-DE"/>
              </w:rPr>
            </w:pPr>
            <w:r w:rsidRPr="000F1A58">
              <w:rPr>
                <w:rFonts w:ascii="Calibri" w:eastAsia="Times New Roman" w:hAnsi="Calibri" w:cs="Calibri"/>
                <w:b/>
                <w:bCs/>
                <w:color w:val="000000"/>
                <w:sz w:val="18"/>
                <w:szCs w:val="18"/>
                <w:lang w:eastAsia="de-DE"/>
              </w:rPr>
              <w:t>Sample size</w:t>
            </w:r>
            <w:r w:rsidR="00286ABF" w:rsidRPr="000F1A58">
              <w:rPr>
                <w:rFonts w:ascii="Calibri" w:eastAsia="Times New Roman" w:hAnsi="Calibri" w:cs="Calibri"/>
                <w:b/>
                <w:bCs/>
                <w:color w:val="000000"/>
                <w:sz w:val="18"/>
                <w:szCs w:val="18"/>
                <w:lang w:eastAsia="de-DE"/>
              </w:rPr>
              <w:t xml:space="preserve"> for test</w:t>
            </w:r>
          </w:p>
        </w:tc>
        <w:tc>
          <w:tcPr>
            <w:tcW w:w="4174" w:type="dxa"/>
            <w:gridSpan w:val="3"/>
            <w:tcBorders>
              <w:bottom w:val="single" w:sz="4" w:space="0" w:color="auto"/>
            </w:tcBorders>
            <w:shd w:val="clear" w:color="auto" w:fill="auto"/>
            <w:vAlign w:val="bottom"/>
          </w:tcPr>
          <w:p w14:paraId="6B571E0E" w14:textId="77777777" w:rsidR="00286ABF" w:rsidRPr="000F1A58" w:rsidRDefault="00286ABF" w:rsidP="00633EF1">
            <w:pPr>
              <w:spacing w:before="0" w:after="0"/>
              <w:jc w:val="center"/>
              <w:rPr>
                <w:rFonts w:ascii="Calibri" w:eastAsia="Times New Roman" w:hAnsi="Calibri" w:cs="Calibri"/>
                <w:b/>
                <w:bCs/>
                <w:color w:val="000000"/>
                <w:sz w:val="18"/>
                <w:szCs w:val="18"/>
                <w:lang w:eastAsia="de-DE"/>
              </w:rPr>
            </w:pPr>
            <w:r w:rsidRPr="000F1A58">
              <w:rPr>
                <w:rFonts w:ascii="Calibri" w:eastAsia="Times New Roman" w:hAnsi="Calibri" w:cs="Calibri"/>
                <w:b/>
                <w:bCs/>
                <w:color w:val="000000"/>
                <w:sz w:val="18"/>
                <w:szCs w:val="18"/>
                <w:lang w:eastAsia="de-DE"/>
              </w:rPr>
              <w:t>Sensitivity</w:t>
            </w:r>
          </w:p>
        </w:tc>
        <w:tc>
          <w:tcPr>
            <w:tcW w:w="2677" w:type="dxa"/>
            <w:gridSpan w:val="3"/>
            <w:tcBorders>
              <w:bottom w:val="single" w:sz="4" w:space="0" w:color="auto"/>
            </w:tcBorders>
            <w:shd w:val="clear" w:color="auto" w:fill="auto"/>
            <w:vAlign w:val="bottom"/>
          </w:tcPr>
          <w:p w14:paraId="0828F720" w14:textId="77777777" w:rsidR="00286ABF" w:rsidRPr="000F1A58" w:rsidRDefault="00286ABF" w:rsidP="00633EF1">
            <w:pPr>
              <w:spacing w:before="0" w:after="0"/>
              <w:jc w:val="center"/>
              <w:rPr>
                <w:rFonts w:ascii="Calibri" w:eastAsia="Times New Roman" w:hAnsi="Calibri" w:cs="Calibri"/>
                <w:b/>
                <w:bCs/>
                <w:color w:val="000000"/>
                <w:sz w:val="18"/>
                <w:szCs w:val="18"/>
                <w:lang w:eastAsia="de-DE"/>
              </w:rPr>
            </w:pPr>
            <w:r w:rsidRPr="000F1A58">
              <w:rPr>
                <w:rFonts w:ascii="Calibri" w:eastAsia="Times New Roman" w:hAnsi="Calibri" w:cs="Calibri"/>
                <w:b/>
                <w:bCs/>
                <w:color w:val="000000"/>
                <w:sz w:val="18"/>
                <w:szCs w:val="18"/>
                <w:lang w:eastAsia="de-DE"/>
              </w:rPr>
              <w:t>Power to detect</w:t>
            </w:r>
          </w:p>
        </w:tc>
      </w:tr>
      <w:tr w:rsidR="00286ABF" w:rsidRPr="000F1A58" w14:paraId="3B91B6CE" w14:textId="77777777" w:rsidTr="00204F47">
        <w:trPr>
          <w:trHeight w:val="672"/>
        </w:trPr>
        <w:tc>
          <w:tcPr>
            <w:tcW w:w="1114" w:type="dxa"/>
            <w:vMerge/>
            <w:tcBorders>
              <w:bottom w:val="single" w:sz="4" w:space="0" w:color="auto"/>
            </w:tcBorders>
            <w:shd w:val="clear" w:color="auto" w:fill="auto"/>
            <w:noWrap/>
            <w:vAlign w:val="center"/>
            <w:hideMark/>
          </w:tcPr>
          <w:p w14:paraId="78BF49A2" w14:textId="77777777" w:rsidR="00286ABF" w:rsidRPr="000F1A58" w:rsidRDefault="00286ABF" w:rsidP="00633EF1">
            <w:pPr>
              <w:spacing w:before="0" w:after="0"/>
              <w:jc w:val="center"/>
              <w:rPr>
                <w:rFonts w:ascii="Calibri" w:eastAsia="Times New Roman" w:hAnsi="Calibri" w:cs="Calibri"/>
                <w:b/>
                <w:bCs/>
                <w:color w:val="000000"/>
                <w:sz w:val="18"/>
                <w:szCs w:val="18"/>
                <w:lang w:eastAsia="de-DE"/>
              </w:rPr>
            </w:pPr>
          </w:p>
        </w:tc>
        <w:tc>
          <w:tcPr>
            <w:tcW w:w="787" w:type="dxa"/>
            <w:vMerge/>
            <w:tcBorders>
              <w:bottom w:val="single" w:sz="4" w:space="0" w:color="auto"/>
            </w:tcBorders>
            <w:shd w:val="clear" w:color="auto" w:fill="auto"/>
            <w:noWrap/>
            <w:vAlign w:val="center"/>
            <w:hideMark/>
          </w:tcPr>
          <w:p w14:paraId="5D78B5B9" w14:textId="77777777" w:rsidR="00286ABF" w:rsidRPr="000F1A58" w:rsidRDefault="00286ABF" w:rsidP="00633EF1">
            <w:pPr>
              <w:spacing w:before="0" w:after="0"/>
              <w:jc w:val="center"/>
              <w:rPr>
                <w:rFonts w:ascii="Calibri" w:eastAsia="Times New Roman" w:hAnsi="Calibri" w:cs="Calibri"/>
                <w:b/>
                <w:bCs/>
                <w:color w:val="000000"/>
                <w:sz w:val="18"/>
                <w:szCs w:val="18"/>
                <w:lang w:eastAsia="de-DE"/>
              </w:rPr>
            </w:pPr>
          </w:p>
        </w:tc>
        <w:tc>
          <w:tcPr>
            <w:tcW w:w="1023" w:type="dxa"/>
            <w:vMerge/>
            <w:tcBorders>
              <w:bottom w:val="single" w:sz="4" w:space="0" w:color="auto"/>
            </w:tcBorders>
            <w:shd w:val="clear" w:color="auto" w:fill="auto"/>
            <w:noWrap/>
            <w:vAlign w:val="center"/>
            <w:hideMark/>
          </w:tcPr>
          <w:p w14:paraId="7AE06D5E" w14:textId="77777777" w:rsidR="00286ABF" w:rsidRPr="000F1A58" w:rsidRDefault="00286ABF" w:rsidP="00633EF1">
            <w:pPr>
              <w:spacing w:before="0" w:after="0"/>
              <w:jc w:val="center"/>
              <w:rPr>
                <w:rFonts w:ascii="Calibri" w:eastAsia="Times New Roman" w:hAnsi="Calibri" w:cs="Calibri"/>
                <w:b/>
                <w:bCs/>
                <w:color w:val="000000"/>
                <w:sz w:val="18"/>
                <w:szCs w:val="18"/>
                <w:lang w:eastAsia="de-DE"/>
              </w:rPr>
            </w:pPr>
          </w:p>
        </w:tc>
        <w:tc>
          <w:tcPr>
            <w:tcW w:w="2389" w:type="dxa"/>
            <w:tcBorders>
              <w:top w:val="single" w:sz="4" w:space="0" w:color="auto"/>
              <w:bottom w:val="single" w:sz="4" w:space="0" w:color="auto"/>
            </w:tcBorders>
            <w:shd w:val="clear" w:color="auto" w:fill="auto"/>
            <w:noWrap/>
            <w:vAlign w:val="center"/>
            <w:hideMark/>
          </w:tcPr>
          <w:p w14:paraId="0ED0B653" w14:textId="77777777" w:rsidR="00286ABF" w:rsidRPr="000F1A58" w:rsidRDefault="00286ABF" w:rsidP="00633EF1">
            <w:pPr>
              <w:spacing w:before="0" w:after="0"/>
              <w:jc w:val="center"/>
              <w:rPr>
                <w:rFonts w:ascii="Calibri" w:eastAsia="Times New Roman" w:hAnsi="Calibri" w:cs="Calibri"/>
                <w:b/>
                <w:bCs/>
                <w:color w:val="000000"/>
                <w:sz w:val="18"/>
                <w:szCs w:val="18"/>
                <w:lang w:eastAsia="de-DE"/>
              </w:rPr>
            </w:pPr>
            <w:r w:rsidRPr="000F1A58">
              <w:rPr>
                <w:rFonts w:ascii="Calibri" w:eastAsia="Times New Roman" w:hAnsi="Calibri" w:cs="Calibri"/>
                <w:b/>
                <w:bCs/>
                <w:color w:val="000000"/>
                <w:sz w:val="18"/>
                <w:szCs w:val="18"/>
                <w:lang w:eastAsia="de-DE"/>
              </w:rPr>
              <w:t>Test applied</w:t>
            </w:r>
          </w:p>
        </w:tc>
        <w:tc>
          <w:tcPr>
            <w:tcW w:w="892" w:type="dxa"/>
            <w:tcBorders>
              <w:top w:val="single" w:sz="4" w:space="0" w:color="auto"/>
              <w:bottom w:val="single" w:sz="4" w:space="0" w:color="auto"/>
            </w:tcBorders>
            <w:shd w:val="clear" w:color="auto" w:fill="auto"/>
            <w:noWrap/>
            <w:vAlign w:val="center"/>
            <w:hideMark/>
          </w:tcPr>
          <w:p w14:paraId="77EF3556" w14:textId="77777777" w:rsidR="00286ABF" w:rsidRPr="000F1A58" w:rsidRDefault="00286ABF" w:rsidP="00633EF1">
            <w:pPr>
              <w:spacing w:before="0" w:after="0"/>
              <w:jc w:val="center"/>
              <w:rPr>
                <w:rFonts w:ascii="Calibri" w:eastAsia="Times New Roman" w:hAnsi="Calibri" w:cs="Calibri"/>
                <w:b/>
                <w:bCs/>
                <w:color w:val="000000"/>
                <w:sz w:val="18"/>
                <w:szCs w:val="18"/>
                <w:lang w:eastAsia="de-DE"/>
              </w:rPr>
            </w:pPr>
            <w:r w:rsidRPr="000F1A58">
              <w:rPr>
                <w:rFonts w:ascii="Calibri" w:eastAsia="Times New Roman" w:hAnsi="Calibri" w:cs="Calibri"/>
                <w:b/>
                <w:bCs/>
                <w:color w:val="000000"/>
                <w:sz w:val="18"/>
                <w:szCs w:val="18"/>
                <w:lang w:eastAsia="de-DE"/>
              </w:rPr>
              <w:t xml:space="preserve">80% </w:t>
            </w:r>
          </w:p>
        </w:tc>
        <w:tc>
          <w:tcPr>
            <w:tcW w:w="892" w:type="dxa"/>
            <w:tcBorders>
              <w:top w:val="single" w:sz="4" w:space="0" w:color="auto"/>
              <w:bottom w:val="single" w:sz="4" w:space="0" w:color="auto"/>
            </w:tcBorders>
            <w:shd w:val="clear" w:color="auto" w:fill="auto"/>
            <w:noWrap/>
            <w:vAlign w:val="center"/>
            <w:hideMark/>
          </w:tcPr>
          <w:p w14:paraId="2EDE245F" w14:textId="77777777" w:rsidR="00286ABF" w:rsidRPr="000F1A58" w:rsidRDefault="00286ABF" w:rsidP="00633EF1">
            <w:pPr>
              <w:spacing w:before="0" w:after="0"/>
              <w:jc w:val="center"/>
              <w:rPr>
                <w:rFonts w:ascii="Calibri" w:eastAsia="Times New Roman" w:hAnsi="Calibri" w:cs="Calibri"/>
                <w:b/>
                <w:bCs/>
                <w:color w:val="000000"/>
                <w:sz w:val="18"/>
                <w:szCs w:val="18"/>
                <w:lang w:eastAsia="de-DE"/>
              </w:rPr>
            </w:pPr>
            <w:r w:rsidRPr="000F1A58">
              <w:rPr>
                <w:rFonts w:ascii="Calibri" w:eastAsia="Times New Roman" w:hAnsi="Calibri" w:cs="Calibri"/>
                <w:b/>
                <w:bCs/>
                <w:color w:val="000000"/>
                <w:sz w:val="18"/>
                <w:szCs w:val="18"/>
                <w:lang w:eastAsia="de-DE"/>
              </w:rPr>
              <w:t xml:space="preserve">95% </w:t>
            </w:r>
          </w:p>
        </w:tc>
        <w:tc>
          <w:tcPr>
            <w:tcW w:w="892" w:type="dxa"/>
            <w:tcBorders>
              <w:top w:val="single" w:sz="4" w:space="0" w:color="auto"/>
              <w:bottom w:val="single" w:sz="4" w:space="0" w:color="auto"/>
            </w:tcBorders>
            <w:shd w:val="clear" w:color="auto" w:fill="auto"/>
            <w:noWrap/>
            <w:vAlign w:val="center"/>
            <w:hideMark/>
          </w:tcPr>
          <w:p w14:paraId="1B261B5E" w14:textId="77777777" w:rsidR="00286ABF" w:rsidRPr="000F1A58" w:rsidRDefault="00286ABF" w:rsidP="00633EF1">
            <w:pPr>
              <w:spacing w:before="0" w:after="0"/>
              <w:rPr>
                <w:rFonts w:ascii="Calibri" w:eastAsia="Times New Roman" w:hAnsi="Calibri" w:cs="Calibri"/>
                <w:b/>
                <w:bCs/>
                <w:color w:val="000000"/>
                <w:sz w:val="18"/>
                <w:szCs w:val="18"/>
                <w:lang w:eastAsia="de-DE"/>
              </w:rPr>
            </w:pPr>
            <w:r w:rsidRPr="000F1A58">
              <w:rPr>
                <w:rFonts w:ascii="Calibri" w:eastAsia="Times New Roman" w:hAnsi="Calibri" w:cs="Calibri"/>
                <w:b/>
                <w:bCs/>
                <w:color w:val="000000"/>
                <w:sz w:val="18"/>
                <w:szCs w:val="18"/>
                <w:lang w:eastAsia="de-DE"/>
              </w:rPr>
              <w:t>d = 0.2</w:t>
            </w:r>
          </w:p>
        </w:tc>
        <w:tc>
          <w:tcPr>
            <w:tcW w:w="892" w:type="dxa"/>
            <w:tcBorders>
              <w:top w:val="single" w:sz="4" w:space="0" w:color="auto"/>
              <w:bottom w:val="single" w:sz="4" w:space="0" w:color="auto"/>
            </w:tcBorders>
            <w:shd w:val="clear" w:color="auto" w:fill="auto"/>
            <w:noWrap/>
            <w:vAlign w:val="center"/>
            <w:hideMark/>
          </w:tcPr>
          <w:p w14:paraId="1FF4AA3C" w14:textId="77777777" w:rsidR="00286ABF" w:rsidRPr="000F1A58" w:rsidRDefault="00286ABF" w:rsidP="00633EF1">
            <w:pPr>
              <w:spacing w:before="0" w:after="0"/>
              <w:rPr>
                <w:rFonts w:ascii="Calibri" w:eastAsia="Times New Roman" w:hAnsi="Calibri" w:cs="Calibri"/>
                <w:b/>
                <w:bCs/>
                <w:color w:val="000000"/>
                <w:sz w:val="18"/>
                <w:szCs w:val="18"/>
                <w:lang w:eastAsia="de-DE"/>
              </w:rPr>
            </w:pPr>
            <w:r w:rsidRPr="000F1A58">
              <w:rPr>
                <w:rFonts w:ascii="Calibri" w:eastAsia="Times New Roman" w:hAnsi="Calibri" w:cs="Calibri"/>
                <w:b/>
                <w:bCs/>
                <w:color w:val="000000"/>
                <w:sz w:val="18"/>
                <w:szCs w:val="18"/>
                <w:lang w:eastAsia="de-DE"/>
              </w:rPr>
              <w:t>d = 0.5</w:t>
            </w:r>
          </w:p>
        </w:tc>
        <w:tc>
          <w:tcPr>
            <w:tcW w:w="892" w:type="dxa"/>
            <w:tcBorders>
              <w:top w:val="single" w:sz="4" w:space="0" w:color="auto"/>
              <w:bottom w:val="single" w:sz="4" w:space="0" w:color="auto"/>
            </w:tcBorders>
            <w:shd w:val="clear" w:color="auto" w:fill="auto"/>
            <w:noWrap/>
            <w:vAlign w:val="center"/>
            <w:hideMark/>
          </w:tcPr>
          <w:p w14:paraId="08338569" w14:textId="77777777" w:rsidR="00286ABF" w:rsidRPr="000F1A58" w:rsidRDefault="00286ABF" w:rsidP="00633EF1">
            <w:pPr>
              <w:spacing w:before="0" w:after="0"/>
              <w:rPr>
                <w:rFonts w:ascii="Calibri" w:eastAsia="Times New Roman" w:hAnsi="Calibri" w:cs="Calibri"/>
                <w:b/>
                <w:bCs/>
                <w:color w:val="000000"/>
                <w:sz w:val="18"/>
                <w:szCs w:val="18"/>
                <w:lang w:eastAsia="de-DE"/>
              </w:rPr>
            </w:pPr>
            <w:r w:rsidRPr="000F1A58">
              <w:rPr>
                <w:rFonts w:ascii="Calibri" w:eastAsia="Times New Roman" w:hAnsi="Calibri" w:cs="Calibri"/>
                <w:b/>
                <w:bCs/>
                <w:color w:val="000000"/>
                <w:sz w:val="18"/>
                <w:szCs w:val="18"/>
                <w:lang w:eastAsia="de-DE"/>
              </w:rPr>
              <w:t>d = 0.8</w:t>
            </w:r>
          </w:p>
        </w:tc>
      </w:tr>
      <w:tr w:rsidR="00286ABF" w:rsidRPr="000F1A58" w14:paraId="1D63AD40" w14:textId="77777777" w:rsidTr="00204F47">
        <w:trPr>
          <w:trHeight w:val="453"/>
        </w:trPr>
        <w:tc>
          <w:tcPr>
            <w:tcW w:w="1114" w:type="dxa"/>
            <w:tcBorders>
              <w:top w:val="single" w:sz="4" w:space="0" w:color="auto"/>
            </w:tcBorders>
            <w:shd w:val="clear" w:color="auto" w:fill="auto"/>
            <w:noWrap/>
            <w:hideMark/>
          </w:tcPr>
          <w:p w14:paraId="601ED660" w14:textId="77777777" w:rsidR="00286ABF" w:rsidRPr="000F1A58" w:rsidRDefault="00286ABF" w:rsidP="00633EF1">
            <w:pPr>
              <w:spacing w:before="0" w:after="0"/>
              <w:rPr>
                <w:rFonts w:ascii="Calibri" w:eastAsia="Times New Roman" w:hAnsi="Calibri" w:cs="Calibri"/>
                <w:color w:val="000000"/>
                <w:sz w:val="18"/>
                <w:szCs w:val="18"/>
                <w:lang w:eastAsia="de-DE"/>
              </w:rPr>
            </w:pPr>
            <w:proofErr w:type="spellStart"/>
            <w:r w:rsidRPr="000F1A58">
              <w:rPr>
                <w:rFonts w:ascii="Calibri" w:eastAsia="Times New Roman" w:hAnsi="Calibri" w:cs="Calibri"/>
                <w:color w:val="000000"/>
                <w:sz w:val="18"/>
                <w:szCs w:val="18"/>
                <w:lang w:eastAsia="de-DE"/>
              </w:rPr>
              <w:t>Aranyi</w:t>
            </w:r>
            <w:proofErr w:type="spellEnd"/>
            <w:r w:rsidRPr="000F1A58">
              <w:rPr>
                <w:rFonts w:ascii="Calibri" w:eastAsia="Times New Roman" w:hAnsi="Calibri" w:cs="Calibri"/>
                <w:color w:val="000000"/>
                <w:sz w:val="18"/>
                <w:szCs w:val="18"/>
                <w:lang w:eastAsia="de-DE"/>
              </w:rPr>
              <w:t xml:space="preserve"> et al. (2016)</w:t>
            </w:r>
          </w:p>
        </w:tc>
        <w:tc>
          <w:tcPr>
            <w:tcW w:w="787" w:type="dxa"/>
            <w:tcBorders>
              <w:top w:val="single" w:sz="4" w:space="0" w:color="auto"/>
            </w:tcBorders>
            <w:shd w:val="clear" w:color="auto" w:fill="auto"/>
            <w:noWrap/>
            <w:hideMark/>
          </w:tcPr>
          <w:p w14:paraId="1A12FD0A"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18</w:t>
            </w:r>
          </w:p>
        </w:tc>
        <w:tc>
          <w:tcPr>
            <w:tcW w:w="1023" w:type="dxa"/>
            <w:tcBorders>
              <w:top w:val="single" w:sz="4" w:space="0" w:color="auto"/>
            </w:tcBorders>
            <w:shd w:val="clear" w:color="auto" w:fill="auto"/>
            <w:noWrap/>
            <w:hideMark/>
          </w:tcPr>
          <w:p w14:paraId="65822C24"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17</w:t>
            </w:r>
          </w:p>
        </w:tc>
        <w:tc>
          <w:tcPr>
            <w:tcW w:w="2389" w:type="dxa"/>
            <w:tcBorders>
              <w:top w:val="single" w:sz="4" w:space="0" w:color="auto"/>
            </w:tcBorders>
            <w:shd w:val="clear" w:color="auto" w:fill="auto"/>
            <w:noWrap/>
            <w:hideMark/>
          </w:tcPr>
          <w:p w14:paraId="4DE4542B" w14:textId="77777777" w:rsidR="00286ABF" w:rsidRPr="000F1A58" w:rsidRDefault="00286ABF" w:rsidP="00633EF1">
            <w:pPr>
              <w:spacing w:before="0" w:after="0"/>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biserial correlation</w:t>
            </w:r>
          </w:p>
        </w:tc>
        <w:tc>
          <w:tcPr>
            <w:tcW w:w="892" w:type="dxa"/>
            <w:tcBorders>
              <w:top w:val="single" w:sz="4" w:space="0" w:color="auto"/>
            </w:tcBorders>
            <w:shd w:val="clear" w:color="auto" w:fill="auto"/>
            <w:noWrap/>
            <w:hideMark/>
          </w:tcPr>
          <w:p w14:paraId="4B7DCF76"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1.26</w:t>
            </w:r>
          </w:p>
        </w:tc>
        <w:tc>
          <w:tcPr>
            <w:tcW w:w="892" w:type="dxa"/>
            <w:tcBorders>
              <w:top w:val="single" w:sz="4" w:space="0" w:color="auto"/>
            </w:tcBorders>
            <w:shd w:val="clear" w:color="auto" w:fill="auto"/>
            <w:noWrap/>
            <w:hideMark/>
          </w:tcPr>
          <w:p w14:paraId="348CB38A"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1.67</w:t>
            </w:r>
          </w:p>
        </w:tc>
        <w:tc>
          <w:tcPr>
            <w:tcW w:w="892" w:type="dxa"/>
            <w:tcBorders>
              <w:top w:val="single" w:sz="4" w:space="0" w:color="auto"/>
            </w:tcBorders>
            <w:shd w:val="clear" w:color="auto" w:fill="auto"/>
            <w:noWrap/>
            <w:hideMark/>
          </w:tcPr>
          <w:p w14:paraId="14D08E86"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0.11</w:t>
            </w:r>
          </w:p>
        </w:tc>
        <w:tc>
          <w:tcPr>
            <w:tcW w:w="892" w:type="dxa"/>
            <w:tcBorders>
              <w:top w:val="single" w:sz="4" w:space="0" w:color="auto"/>
            </w:tcBorders>
            <w:shd w:val="clear" w:color="auto" w:fill="auto"/>
            <w:noWrap/>
            <w:hideMark/>
          </w:tcPr>
          <w:p w14:paraId="1FF878E8"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0.26</w:t>
            </w:r>
          </w:p>
        </w:tc>
        <w:tc>
          <w:tcPr>
            <w:tcW w:w="892" w:type="dxa"/>
            <w:tcBorders>
              <w:top w:val="single" w:sz="4" w:space="0" w:color="auto"/>
            </w:tcBorders>
            <w:shd w:val="clear" w:color="auto" w:fill="auto"/>
            <w:noWrap/>
            <w:hideMark/>
          </w:tcPr>
          <w:p w14:paraId="1A432809"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0.47</w:t>
            </w:r>
          </w:p>
        </w:tc>
      </w:tr>
      <w:tr w:rsidR="00286ABF" w:rsidRPr="000F1A58" w14:paraId="21264E53" w14:textId="77777777" w:rsidTr="00204F47">
        <w:trPr>
          <w:trHeight w:val="453"/>
        </w:trPr>
        <w:tc>
          <w:tcPr>
            <w:tcW w:w="1114" w:type="dxa"/>
            <w:shd w:val="clear" w:color="auto" w:fill="auto"/>
            <w:hideMark/>
          </w:tcPr>
          <w:p w14:paraId="13FA2AC6" w14:textId="77777777" w:rsidR="00286ABF" w:rsidRPr="000F1A58" w:rsidRDefault="00286ABF" w:rsidP="00633EF1">
            <w:pPr>
              <w:spacing w:before="0" w:after="0"/>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Barth et al. (2016)</w:t>
            </w:r>
          </w:p>
        </w:tc>
        <w:tc>
          <w:tcPr>
            <w:tcW w:w="787" w:type="dxa"/>
            <w:shd w:val="clear" w:color="auto" w:fill="auto"/>
            <w:hideMark/>
          </w:tcPr>
          <w:p w14:paraId="7F479C15"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13</w:t>
            </w:r>
          </w:p>
        </w:tc>
        <w:tc>
          <w:tcPr>
            <w:tcW w:w="1023" w:type="dxa"/>
            <w:shd w:val="clear" w:color="auto" w:fill="auto"/>
            <w:hideMark/>
          </w:tcPr>
          <w:p w14:paraId="793BCDA2"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13</w:t>
            </w:r>
          </w:p>
        </w:tc>
        <w:tc>
          <w:tcPr>
            <w:tcW w:w="2389" w:type="dxa"/>
            <w:shd w:val="clear" w:color="auto" w:fill="auto"/>
            <w:hideMark/>
          </w:tcPr>
          <w:p w14:paraId="064CB15F" w14:textId="77777777" w:rsidR="00286ABF" w:rsidRPr="000F1A58" w:rsidRDefault="00286ABF" w:rsidP="00633EF1">
            <w:pPr>
              <w:spacing w:before="0" w:after="0"/>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one-sample t-test (1-sided)</w:t>
            </w:r>
          </w:p>
        </w:tc>
        <w:tc>
          <w:tcPr>
            <w:tcW w:w="892" w:type="dxa"/>
            <w:shd w:val="clear" w:color="auto" w:fill="auto"/>
            <w:hideMark/>
          </w:tcPr>
          <w:p w14:paraId="473D442E"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0.73</w:t>
            </w:r>
          </w:p>
        </w:tc>
        <w:tc>
          <w:tcPr>
            <w:tcW w:w="892" w:type="dxa"/>
            <w:shd w:val="clear" w:color="auto" w:fill="auto"/>
            <w:hideMark/>
          </w:tcPr>
          <w:p w14:paraId="146D7B2B"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0.97</w:t>
            </w:r>
          </w:p>
        </w:tc>
        <w:tc>
          <w:tcPr>
            <w:tcW w:w="892" w:type="dxa"/>
            <w:shd w:val="clear" w:color="auto" w:fill="auto"/>
            <w:hideMark/>
          </w:tcPr>
          <w:p w14:paraId="471AEE06"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0.17</w:t>
            </w:r>
          </w:p>
        </w:tc>
        <w:tc>
          <w:tcPr>
            <w:tcW w:w="892" w:type="dxa"/>
            <w:shd w:val="clear" w:color="auto" w:fill="auto"/>
            <w:hideMark/>
          </w:tcPr>
          <w:p w14:paraId="6F2A2801"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0.52</w:t>
            </w:r>
          </w:p>
        </w:tc>
        <w:tc>
          <w:tcPr>
            <w:tcW w:w="892" w:type="dxa"/>
            <w:shd w:val="clear" w:color="auto" w:fill="auto"/>
            <w:hideMark/>
          </w:tcPr>
          <w:p w14:paraId="3F4DA7AC"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0.86</w:t>
            </w:r>
          </w:p>
        </w:tc>
      </w:tr>
      <w:tr w:rsidR="00286ABF" w:rsidRPr="000F1A58" w14:paraId="0A678FDE" w14:textId="77777777" w:rsidTr="00204F47">
        <w:trPr>
          <w:trHeight w:val="453"/>
        </w:trPr>
        <w:tc>
          <w:tcPr>
            <w:tcW w:w="1114" w:type="dxa"/>
            <w:shd w:val="clear" w:color="auto" w:fill="auto"/>
            <w:hideMark/>
          </w:tcPr>
          <w:p w14:paraId="55977BA6" w14:textId="77777777" w:rsidR="00286ABF" w:rsidRPr="000F1A58" w:rsidRDefault="00286ABF" w:rsidP="00633EF1">
            <w:pPr>
              <w:spacing w:before="0" w:after="0"/>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Fujimoto et al. (2017)</w:t>
            </w:r>
          </w:p>
        </w:tc>
        <w:tc>
          <w:tcPr>
            <w:tcW w:w="787" w:type="dxa"/>
            <w:shd w:val="clear" w:color="auto" w:fill="auto"/>
            <w:hideMark/>
          </w:tcPr>
          <w:p w14:paraId="2F6F83AB"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20</w:t>
            </w:r>
          </w:p>
        </w:tc>
        <w:tc>
          <w:tcPr>
            <w:tcW w:w="1023" w:type="dxa"/>
            <w:shd w:val="clear" w:color="auto" w:fill="auto"/>
            <w:hideMark/>
          </w:tcPr>
          <w:p w14:paraId="641B1454"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20</w:t>
            </w:r>
          </w:p>
        </w:tc>
        <w:tc>
          <w:tcPr>
            <w:tcW w:w="2389" w:type="dxa"/>
            <w:shd w:val="clear" w:color="auto" w:fill="auto"/>
            <w:hideMark/>
          </w:tcPr>
          <w:p w14:paraId="7DE7D937" w14:textId="77777777" w:rsidR="00286ABF" w:rsidRPr="000F1A58" w:rsidRDefault="00286ABF" w:rsidP="00633EF1">
            <w:pPr>
              <w:spacing w:before="0" w:after="0"/>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interaction of mixed-ANOVA (2x2)</w:t>
            </w:r>
          </w:p>
        </w:tc>
        <w:tc>
          <w:tcPr>
            <w:tcW w:w="892" w:type="dxa"/>
            <w:shd w:val="clear" w:color="auto" w:fill="auto"/>
            <w:hideMark/>
          </w:tcPr>
          <w:p w14:paraId="4285191A"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0.42</w:t>
            </w:r>
          </w:p>
        </w:tc>
        <w:tc>
          <w:tcPr>
            <w:tcW w:w="892" w:type="dxa"/>
            <w:shd w:val="clear" w:color="auto" w:fill="auto"/>
            <w:hideMark/>
          </w:tcPr>
          <w:p w14:paraId="0720D9AF"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0.54</w:t>
            </w:r>
          </w:p>
        </w:tc>
        <w:tc>
          <w:tcPr>
            <w:tcW w:w="892" w:type="dxa"/>
            <w:shd w:val="clear" w:color="auto" w:fill="auto"/>
            <w:hideMark/>
          </w:tcPr>
          <w:p w14:paraId="124BBCE2"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0.27</w:t>
            </w:r>
          </w:p>
        </w:tc>
        <w:tc>
          <w:tcPr>
            <w:tcW w:w="892" w:type="dxa"/>
            <w:shd w:val="clear" w:color="auto" w:fill="auto"/>
            <w:hideMark/>
          </w:tcPr>
          <w:p w14:paraId="7E99E751"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0.92</w:t>
            </w:r>
          </w:p>
        </w:tc>
        <w:tc>
          <w:tcPr>
            <w:tcW w:w="892" w:type="dxa"/>
            <w:shd w:val="clear" w:color="auto" w:fill="auto"/>
            <w:hideMark/>
          </w:tcPr>
          <w:p w14:paraId="714BF79F"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1</w:t>
            </w:r>
          </w:p>
        </w:tc>
      </w:tr>
      <w:tr w:rsidR="00286ABF" w:rsidRPr="000F1A58" w14:paraId="4A03C596" w14:textId="77777777" w:rsidTr="00204F47">
        <w:trPr>
          <w:trHeight w:val="453"/>
        </w:trPr>
        <w:tc>
          <w:tcPr>
            <w:tcW w:w="1114" w:type="dxa"/>
            <w:shd w:val="clear" w:color="auto" w:fill="auto"/>
            <w:hideMark/>
          </w:tcPr>
          <w:p w14:paraId="4206E9ED" w14:textId="77777777" w:rsidR="00286ABF" w:rsidRPr="000F1A58" w:rsidRDefault="00286ABF" w:rsidP="00633EF1">
            <w:pPr>
              <w:spacing w:before="0" w:after="0"/>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Hosseini et al. (2016)</w:t>
            </w:r>
          </w:p>
        </w:tc>
        <w:tc>
          <w:tcPr>
            <w:tcW w:w="787" w:type="dxa"/>
            <w:shd w:val="clear" w:color="auto" w:fill="auto"/>
            <w:hideMark/>
          </w:tcPr>
          <w:p w14:paraId="1E48FE5E"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20</w:t>
            </w:r>
          </w:p>
        </w:tc>
        <w:tc>
          <w:tcPr>
            <w:tcW w:w="1023" w:type="dxa"/>
            <w:shd w:val="clear" w:color="auto" w:fill="auto"/>
            <w:hideMark/>
          </w:tcPr>
          <w:p w14:paraId="71532ABF"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10</w:t>
            </w:r>
          </w:p>
        </w:tc>
        <w:tc>
          <w:tcPr>
            <w:tcW w:w="2389" w:type="dxa"/>
            <w:shd w:val="clear" w:color="auto" w:fill="auto"/>
            <w:hideMark/>
          </w:tcPr>
          <w:p w14:paraId="1E9BCFFC" w14:textId="77777777" w:rsidR="00286ABF" w:rsidRPr="000F1A58" w:rsidRDefault="00286ABF" w:rsidP="00633EF1">
            <w:pPr>
              <w:spacing w:before="0" w:after="0"/>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one-sample t-test on regression slopes (1-sided)</w:t>
            </w:r>
          </w:p>
        </w:tc>
        <w:tc>
          <w:tcPr>
            <w:tcW w:w="892" w:type="dxa"/>
            <w:shd w:val="clear" w:color="auto" w:fill="auto"/>
            <w:hideMark/>
          </w:tcPr>
          <w:p w14:paraId="5A86ADEB"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0.85</w:t>
            </w:r>
          </w:p>
        </w:tc>
        <w:tc>
          <w:tcPr>
            <w:tcW w:w="892" w:type="dxa"/>
            <w:shd w:val="clear" w:color="auto" w:fill="auto"/>
            <w:hideMark/>
          </w:tcPr>
          <w:p w14:paraId="7BCAF320"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1.13</w:t>
            </w:r>
          </w:p>
        </w:tc>
        <w:tc>
          <w:tcPr>
            <w:tcW w:w="892" w:type="dxa"/>
            <w:shd w:val="clear" w:color="auto" w:fill="auto"/>
            <w:hideMark/>
          </w:tcPr>
          <w:p w14:paraId="33DDFBE6"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0.15</w:t>
            </w:r>
          </w:p>
        </w:tc>
        <w:tc>
          <w:tcPr>
            <w:tcW w:w="892" w:type="dxa"/>
            <w:shd w:val="clear" w:color="auto" w:fill="auto"/>
            <w:hideMark/>
          </w:tcPr>
          <w:p w14:paraId="66158856"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0.43</w:t>
            </w:r>
          </w:p>
        </w:tc>
        <w:tc>
          <w:tcPr>
            <w:tcW w:w="892" w:type="dxa"/>
            <w:shd w:val="clear" w:color="auto" w:fill="auto"/>
            <w:hideMark/>
          </w:tcPr>
          <w:p w14:paraId="631C26A7"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0.75</w:t>
            </w:r>
          </w:p>
        </w:tc>
      </w:tr>
      <w:tr w:rsidR="00286ABF" w:rsidRPr="000F1A58" w14:paraId="6BC539EB" w14:textId="77777777" w:rsidTr="00204F47">
        <w:trPr>
          <w:trHeight w:val="453"/>
        </w:trPr>
        <w:tc>
          <w:tcPr>
            <w:tcW w:w="1114" w:type="dxa"/>
            <w:shd w:val="clear" w:color="auto" w:fill="auto"/>
            <w:hideMark/>
          </w:tcPr>
          <w:p w14:paraId="0DBFDB12" w14:textId="77777777" w:rsidR="00286ABF" w:rsidRPr="000F1A58" w:rsidRDefault="00286ABF" w:rsidP="00633EF1">
            <w:pPr>
              <w:spacing w:before="0" w:after="0"/>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Hudak et al. (2017)</w:t>
            </w:r>
          </w:p>
        </w:tc>
        <w:tc>
          <w:tcPr>
            <w:tcW w:w="787" w:type="dxa"/>
            <w:shd w:val="clear" w:color="auto" w:fill="auto"/>
            <w:hideMark/>
          </w:tcPr>
          <w:p w14:paraId="1443F145"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20</w:t>
            </w:r>
          </w:p>
        </w:tc>
        <w:tc>
          <w:tcPr>
            <w:tcW w:w="1023" w:type="dxa"/>
            <w:shd w:val="clear" w:color="auto" w:fill="auto"/>
            <w:hideMark/>
          </w:tcPr>
          <w:p w14:paraId="0D8BB298"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10</w:t>
            </w:r>
          </w:p>
        </w:tc>
        <w:tc>
          <w:tcPr>
            <w:tcW w:w="2389" w:type="dxa"/>
            <w:shd w:val="clear" w:color="auto" w:fill="auto"/>
            <w:hideMark/>
          </w:tcPr>
          <w:p w14:paraId="434F327B" w14:textId="77777777" w:rsidR="00286ABF" w:rsidRPr="000F1A58" w:rsidRDefault="00286ABF" w:rsidP="00633EF1">
            <w:pPr>
              <w:spacing w:before="0" w:after="0"/>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paired t-test (1-sided)</w:t>
            </w:r>
          </w:p>
        </w:tc>
        <w:tc>
          <w:tcPr>
            <w:tcW w:w="892" w:type="dxa"/>
            <w:shd w:val="clear" w:color="auto" w:fill="auto"/>
            <w:hideMark/>
          </w:tcPr>
          <w:p w14:paraId="50507A8A"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0.85</w:t>
            </w:r>
          </w:p>
        </w:tc>
        <w:tc>
          <w:tcPr>
            <w:tcW w:w="892" w:type="dxa"/>
            <w:shd w:val="clear" w:color="auto" w:fill="auto"/>
            <w:hideMark/>
          </w:tcPr>
          <w:p w14:paraId="3A79E284"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1.13</w:t>
            </w:r>
          </w:p>
        </w:tc>
        <w:tc>
          <w:tcPr>
            <w:tcW w:w="892" w:type="dxa"/>
            <w:shd w:val="clear" w:color="auto" w:fill="auto"/>
            <w:hideMark/>
          </w:tcPr>
          <w:p w14:paraId="70F3A862"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0.15</w:t>
            </w:r>
          </w:p>
        </w:tc>
        <w:tc>
          <w:tcPr>
            <w:tcW w:w="892" w:type="dxa"/>
            <w:shd w:val="clear" w:color="auto" w:fill="auto"/>
            <w:hideMark/>
          </w:tcPr>
          <w:p w14:paraId="4E8FADEA"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0.43</w:t>
            </w:r>
          </w:p>
        </w:tc>
        <w:tc>
          <w:tcPr>
            <w:tcW w:w="892" w:type="dxa"/>
            <w:shd w:val="clear" w:color="auto" w:fill="auto"/>
            <w:hideMark/>
          </w:tcPr>
          <w:p w14:paraId="790FBCA7"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0.75</w:t>
            </w:r>
          </w:p>
        </w:tc>
      </w:tr>
      <w:tr w:rsidR="00286ABF" w:rsidRPr="000F1A58" w14:paraId="2653EFEA" w14:textId="77777777" w:rsidTr="00204F47">
        <w:trPr>
          <w:trHeight w:val="453"/>
        </w:trPr>
        <w:tc>
          <w:tcPr>
            <w:tcW w:w="1114" w:type="dxa"/>
            <w:shd w:val="clear" w:color="auto" w:fill="auto"/>
            <w:hideMark/>
          </w:tcPr>
          <w:p w14:paraId="084BD1E7" w14:textId="77777777" w:rsidR="00286ABF" w:rsidRPr="000F1A58" w:rsidRDefault="00286ABF" w:rsidP="00633EF1">
            <w:pPr>
              <w:spacing w:before="0" w:after="0"/>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 xml:space="preserve">Hudak et al. (2018) </w:t>
            </w:r>
          </w:p>
        </w:tc>
        <w:tc>
          <w:tcPr>
            <w:tcW w:w="787" w:type="dxa"/>
            <w:shd w:val="clear" w:color="auto" w:fill="auto"/>
            <w:hideMark/>
          </w:tcPr>
          <w:p w14:paraId="5FC04330"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19</w:t>
            </w:r>
          </w:p>
        </w:tc>
        <w:tc>
          <w:tcPr>
            <w:tcW w:w="1023" w:type="dxa"/>
            <w:shd w:val="clear" w:color="auto" w:fill="auto"/>
            <w:hideMark/>
          </w:tcPr>
          <w:p w14:paraId="6DDE7215"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19</w:t>
            </w:r>
          </w:p>
        </w:tc>
        <w:tc>
          <w:tcPr>
            <w:tcW w:w="2389" w:type="dxa"/>
            <w:shd w:val="clear" w:color="auto" w:fill="auto"/>
            <w:hideMark/>
          </w:tcPr>
          <w:p w14:paraId="09CB942E" w14:textId="77777777" w:rsidR="00286ABF" w:rsidRPr="000F1A58" w:rsidRDefault="00286ABF" w:rsidP="00633EF1">
            <w:pPr>
              <w:spacing w:before="0" w:after="0"/>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paired t-test (1-sided)</w:t>
            </w:r>
          </w:p>
        </w:tc>
        <w:tc>
          <w:tcPr>
            <w:tcW w:w="892" w:type="dxa"/>
            <w:shd w:val="clear" w:color="auto" w:fill="auto"/>
            <w:hideMark/>
          </w:tcPr>
          <w:p w14:paraId="6200689F"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0.59</w:t>
            </w:r>
          </w:p>
        </w:tc>
        <w:tc>
          <w:tcPr>
            <w:tcW w:w="892" w:type="dxa"/>
            <w:shd w:val="clear" w:color="auto" w:fill="auto"/>
            <w:hideMark/>
          </w:tcPr>
          <w:p w14:paraId="44BA99A4"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0.79</w:t>
            </w:r>
          </w:p>
        </w:tc>
        <w:tc>
          <w:tcPr>
            <w:tcW w:w="892" w:type="dxa"/>
            <w:shd w:val="clear" w:color="auto" w:fill="auto"/>
            <w:hideMark/>
          </w:tcPr>
          <w:p w14:paraId="45A50869"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0.21</w:t>
            </w:r>
          </w:p>
        </w:tc>
        <w:tc>
          <w:tcPr>
            <w:tcW w:w="892" w:type="dxa"/>
            <w:shd w:val="clear" w:color="auto" w:fill="auto"/>
            <w:hideMark/>
          </w:tcPr>
          <w:p w14:paraId="67408A32"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0.67</w:t>
            </w:r>
          </w:p>
        </w:tc>
        <w:tc>
          <w:tcPr>
            <w:tcW w:w="892" w:type="dxa"/>
            <w:shd w:val="clear" w:color="auto" w:fill="auto"/>
            <w:hideMark/>
          </w:tcPr>
          <w:p w14:paraId="32028924"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0.96</w:t>
            </w:r>
          </w:p>
        </w:tc>
      </w:tr>
      <w:tr w:rsidR="00286ABF" w:rsidRPr="000F1A58" w14:paraId="53FF3CBC" w14:textId="77777777" w:rsidTr="00204F47">
        <w:trPr>
          <w:trHeight w:val="453"/>
        </w:trPr>
        <w:tc>
          <w:tcPr>
            <w:tcW w:w="1114" w:type="dxa"/>
            <w:shd w:val="clear" w:color="auto" w:fill="auto"/>
            <w:hideMark/>
          </w:tcPr>
          <w:p w14:paraId="7D27A292" w14:textId="77777777" w:rsidR="00286ABF" w:rsidRPr="000F1A58" w:rsidRDefault="00286ABF" w:rsidP="00633EF1">
            <w:pPr>
              <w:spacing w:before="0" w:after="0"/>
              <w:rPr>
                <w:rFonts w:ascii="Calibri" w:eastAsia="Times New Roman" w:hAnsi="Calibri" w:cs="Calibri"/>
                <w:color w:val="000000"/>
                <w:sz w:val="18"/>
                <w:szCs w:val="18"/>
                <w:lang w:eastAsia="de-DE"/>
              </w:rPr>
            </w:pPr>
            <w:proofErr w:type="spellStart"/>
            <w:r w:rsidRPr="000F1A58">
              <w:rPr>
                <w:rFonts w:ascii="Calibri" w:eastAsia="Times New Roman" w:hAnsi="Calibri" w:cs="Calibri"/>
                <w:color w:val="000000"/>
                <w:sz w:val="18"/>
                <w:szCs w:val="18"/>
                <w:lang w:eastAsia="de-DE"/>
              </w:rPr>
              <w:t>Kimmig</w:t>
            </w:r>
            <w:proofErr w:type="spellEnd"/>
            <w:r w:rsidRPr="000F1A58">
              <w:rPr>
                <w:rFonts w:ascii="Calibri" w:eastAsia="Times New Roman" w:hAnsi="Calibri" w:cs="Calibri"/>
                <w:color w:val="000000"/>
                <w:sz w:val="18"/>
                <w:szCs w:val="18"/>
                <w:lang w:eastAsia="de-DE"/>
              </w:rPr>
              <w:t xml:space="preserve"> et al. (2018)</w:t>
            </w:r>
          </w:p>
        </w:tc>
        <w:tc>
          <w:tcPr>
            <w:tcW w:w="787" w:type="dxa"/>
            <w:shd w:val="clear" w:color="auto" w:fill="auto"/>
            <w:hideMark/>
          </w:tcPr>
          <w:p w14:paraId="7494AE93"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11</w:t>
            </w:r>
          </w:p>
        </w:tc>
        <w:tc>
          <w:tcPr>
            <w:tcW w:w="1023" w:type="dxa"/>
            <w:shd w:val="clear" w:color="auto" w:fill="auto"/>
            <w:hideMark/>
          </w:tcPr>
          <w:p w14:paraId="06FA4134"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11</w:t>
            </w:r>
          </w:p>
        </w:tc>
        <w:tc>
          <w:tcPr>
            <w:tcW w:w="2389" w:type="dxa"/>
            <w:shd w:val="clear" w:color="auto" w:fill="auto"/>
            <w:hideMark/>
          </w:tcPr>
          <w:p w14:paraId="49A42ED9" w14:textId="77777777" w:rsidR="00286ABF" w:rsidRPr="000F1A58" w:rsidRDefault="00286ABF" w:rsidP="00633EF1">
            <w:pPr>
              <w:spacing w:before="0" w:after="0"/>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paired t-test (1-sided)</w:t>
            </w:r>
          </w:p>
        </w:tc>
        <w:tc>
          <w:tcPr>
            <w:tcW w:w="892" w:type="dxa"/>
            <w:shd w:val="clear" w:color="auto" w:fill="auto"/>
            <w:hideMark/>
          </w:tcPr>
          <w:p w14:paraId="3AA61532"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0.81</w:t>
            </w:r>
          </w:p>
        </w:tc>
        <w:tc>
          <w:tcPr>
            <w:tcW w:w="892" w:type="dxa"/>
            <w:shd w:val="clear" w:color="auto" w:fill="auto"/>
            <w:hideMark/>
          </w:tcPr>
          <w:p w14:paraId="1087FB41"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1.07</w:t>
            </w:r>
          </w:p>
        </w:tc>
        <w:tc>
          <w:tcPr>
            <w:tcW w:w="892" w:type="dxa"/>
            <w:shd w:val="clear" w:color="auto" w:fill="auto"/>
            <w:hideMark/>
          </w:tcPr>
          <w:p w14:paraId="4BBEA928"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0.15</w:t>
            </w:r>
          </w:p>
        </w:tc>
        <w:tc>
          <w:tcPr>
            <w:tcW w:w="892" w:type="dxa"/>
            <w:shd w:val="clear" w:color="auto" w:fill="auto"/>
            <w:hideMark/>
          </w:tcPr>
          <w:p w14:paraId="6C6C3460"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0.46</w:t>
            </w:r>
          </w:p>
        </w:tc>
        <w:tc>
          <w:tcPr>
            <w:tcW w:w="892" w:type="dxa"/>
            <w:shd w:val="clear" w:color="auto" w:fill="auto"/>
            <w:hideMark/>
          </w:tcPr>
          <w:p w14:paraId="0E2246B5"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0.8</w:t>
            </w:r>
          </w:p>
        </w:tc>
      </w:tr>
      <w:tr w:rsidR="00286ABF" w:rsidRPr="000F1A58" w14:paraId="6D275FD3" w14:textId="77777777" w:rsidTr="00204F47">
        <w:trPr>
          <w:trHeight w:val="453"/>
        </w:trPr>
        <w:tc>
          <w:tcPr>
            <w:tcW w:w="1114" w:type="dxa"/>
            <w:shd w:val="clear" w:color="auto" w:fill="auto"/>
            <w:hideMark/>
          </w:tcPr>
          <w:p w14:paraId="01C9CDDE" w14:textId="77777777" w:rsidR="00286ABF" w:rsidRPr="000F1A58" w:rsidRDefault="00286ABF" w:rsidP="00633EF1">
            <w:pPr>
              <w:spacing w:before="0" w:after="0"/>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Kinoshita et al. (2016)</w:t>
            </w:r>
          </w:p>
        </w:tc>
        <w:tc>
          <w:tcPr>
            <w:tcW w:w="787" w:type="dxa"/>
            <w:shd w:val="clear" w:color="auto" w:fill="auto"/>
            <w:hideMark/>
          </w:tcPr>
          <w:p w14:paraId="35EB81C2"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24</w:t>
            </w:r>
          </w:p>
        </w:tc>
        <w:tc>
          <w:tcPr>
            <w:tcW w:w="1023" w:type="dxa"/>
            <w:shd w:val="clear" w:color="auto" w:fill="auto"/>
            <w:hideMark/>
          </w:tcPr>
          <w:p w14:paraId="26DDCD97"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24</w:t>
            </w:r>
          </w:p>
        </w:tc>
        <w:tc>
          <w:tcPr>
            <w:tcW w:w="2389" w:type="dxa"/>
            <w:shd w:val="clear" w:color="auto" w:fill="auto"/>
            <w:hideMark/>
          </w:tcPr>
          <w:p w14:paraId="2624E9BB" w14:textId="77777777" w:rsidR="00286ABF" w:rsidRPr="000F1A58" w:rsidRDefault="00286ABF" w:rsidP="00633EF1">
            <w:pPr>
              <w:spacing w:before="0" w:after="0"/>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rm-ANOVA (1 factor)</w:t>
            </w:r>
          </w:p>
        </w:tc>
        <w:tc>
          <w:tcPr>
            <w:tcW w:w="892" w:type="dxa"/>
            <w:shd w:val="clear" w:color="auto" w:fill="auto"/>
            <w:hideMark/>
          </w:tcPr>
          <w:p w14:paraId="71277689"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0.34</w:t>
            </w:r>
          </w:p>
        </w:tc>
        <w:tc>
          <w:tcPr>
            <w:tcW w:w="892" w:type="dxa"/>
            <w:shd w:val="clear" w:color="auto" w:fill="auto"/>
            <w:hideMark/>
          </w:tcPr>
          <w:p w14:paraId="11FB4A2D"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0.43</w:t>
            </w:r>
          </w:p>
        </w:tc>
        <w:tc>
          <w:tcPr>
            <w:tcW w:w="892" w:type="dxa"/>
            <w:shd w:val="clear" w:color="auto" w:fill="auto"/>
            <w:hideMark/>
          </w:tcPr>
          <w:p w14:paraId="7059631B"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0.36</w:t>
            </w:r>
          </w:p>
        </w:tc>
        <w:tc>
          <w:tcPr>
            <w:tcW w:w="892" w:type="dxa"/>
            <w:shd w:val="clear" w:color="auto" w:fill="auto"/>
            <w:hideMark/>
          </w:tcPr>
          <w:p w14:paraId="303BFCF1"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0.99</w:t>
            </w:r>
          </w:p>
        </w:tc>
        <w:tc>
          <w:tcPr>
            <w:tcW w:w="892" w:type="dxa"/>
            <w:shd w:val="clear" w:color="auto" w:fill="auto"/>
            <w:hideMark/>
          </w:tcPr>
          <w:p w14:paraId="08638664"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1</w:t>
            </w:r>
          </w:p>
        </w:tc>
      </w:tr>
      <w:tr w:rsidR="00286ABF" w:rsidRPr="000F1A58" w14:paraId="2EEA974B" w14:textId="77777777" w:rsidTr="00204F47">
        <w:trPr>
          <w:trHeight w:val="453"/>
        </w:trPr>
        <w:tc>
          <w:tcPr>
            <w:tcW w:w="1114" w:type="dxa"/>
            <w:shd w:val="clear" w:color="auto" w:fill="auto"/>
            <w:hideMark/>
          </w:tcPr>
          <w:p w14:paraId="1A941605" w14:textId="77777777" w:rsidR="00286ABF" w:rsidRPr="000F1A58" w:rsidRDefault="00286ABF" w:rsidP="00633EF1">
            <w:pPr>
              <w:spacing w:before="0" w:after="0"/>
              <w:rPr>
                <w:rFonts w:ascii="Calibri" w:eastAsia="Times New Roman" w:hAnsi="Calibri" w:cs="Calibri"/>
                <w:color w:val="000000"/>
                <w:sz w:val="18"/>
                <w:szCs w:val="18"/>
                <w:lang w:eastAsia="de-DE"/>
              </w:rPr>
            </w:pPr>
            <w:proofErr w:type="spellStart"/>
            <w:r w:rsidRPr="000F1A58">
              <w:rPr>
                <w:rFonts w:ascii="Calibri" w:eastAsia="Times New Roman" w:hAnsi="Calibri" w:cs="Calibri"/>
                <w:color w:val="000000"/>
                <w:sz w:val="18"/>
                <w:szCs w:val="18"/>
                <w:lang w:eastAsia="de-DE"/>
              </w:rPr>
              <w:t>Kober</w:t>
            </w:r>
            <w:proofErr w:type="spellEnd"/>
            <w:r w:rsidRPr="000F1A58">
              <w:rPr>
                <w:rFonts w:ascii="Calibri" w:eastAsia="Times New Roman" w:hAnsi="Calibri" w:cs="Calibri"/>
                <w:color w:val="000000"/>
                <w:sz w:val="18"/>
                <w:szCs w:val="18"/>
                <w:lang w:eastAsia="de-DE"/>
              </w:rPr>
              <w:t xml:space="preserve"> et al. (2014)</w:t>
            </w:r>
          </w:p>
        </w:tc>
        <w:tc>
          <w:tcPr>
            <w:tcW w:w="787" w:type="dxa"/>
            <w:shd w:val="clear" w:color="auto" w:fill="auto"/>
            <w:hideMark/>
          </w:tcPr>
          <w:p w14:paraId="3E1D74BD"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17</w:t>
            </w:r>
          </w:p>
        </w:tc>
        <w:tc>
          <w:tcPr>
            <w:tcW w:w="1023" w:type="dxa"/>
            <w:shd w:val="clear" w:color="auto" w:fill="auto"/>
            <w:hideMark/>
          </w:tcPr>
          <w:p w14:paraId="0B1455F9"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17</w:t>
            </w:r>
          </w:p>
        </w:tc>
        <w:tc>
          <w:tcPr>
            <w:tcW w:w="2389" w:type="dxa"/>
            <w:shd w:val="clear" w:color="auto" w:fill="auto"/>
            <w:hideMark/>
          </w:tcPr>
          <w:p w14:paraId="2632E6BC" w14:textId="77777777" w:rsidR="00286ABF" w:rsidRPr="000F1A58" w:rsidRDefault="00286ABF" w:rsidP="00633EF1">
            <w:pPr>
              <w:spacing w:before="0" w:after="0"/>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ANCOVA</w:t>
            </w:r>
          </w:p>
        </w:tc>
        <w:tc>
          <w:tcPr>
            <w:tcW w:w="892" w:type="dxa"/>
            <w:shd w:val="clear" w:color="auto" w:fill="auto"/>
            <w:hideMark/>
          </w:tcPr>
          <w:p w14:paraId="09CA7365"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1.46</w:t>
            </w:r>
          </w:p>
        </w:tc>
        <w:tc>
          <w:tcPr>
            <w:tcW w:w="892" w:type="dxa"/>
            <w:shd w:val="clear" w:color="auto" w:fill="auto"/>
            <w:hideMark/>
          </w:tcPr>
          <w:p w14:paraId="36B9ACE7"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1.88</w:t>
            </w:r>
          </w:p>
        </w:tc>
        <w:tc>
          <w:tcPr>
            <w:tcW w:w="892" w:type="dxa"/>
            <w:shd w:val="clear" w:color="auto" w:fill="auto"/>
            <w:hideMark/>
          </w:tcPr>
          <w:p w14:paraId="0C2AF123"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0.07</w:t>
            </w:r>
          </w:p>
        </w:tc>
        <w:tc>
          <w:tcPr>
            <w:tcW w:w="892" w:type="dxa"/>
            <w:shd w:val="clear" w:color="auto" w:fill="auto"/>
            <w:hideMark/>
          </w:tcPr>
          <w:p w14:paraId="66718FAC"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0.16</w:t>
            </w:r>
          </w:p>
        </w:tc>
        <w:tc>
          <w:tcPr>
            <w:tcW w:w="892" w:type="dxa"/>
            <w:shd w:val="clear" w:color="auto" w:fill="auto"/>
            <w:hideMark/>
          </w:tcPr>
          <w:p w14:paraId="2DA1B006"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0.34</w:t>
            </w:r>
          </w:p>
        </w:tc>
      </w:tr>
      <w:tr w:rsidR="00286ABF" w:rsidRPr="000F1A58" w14:paraId="38D12CC9" w14:textId="77777777" w:rsidTr="00204F47">
        <w:trPr>
          <w:trHeight w:val="453"/>
        </w:trPr>
        <w:tc>
          <w:tcPr>
            <w:tcW w:w="1114" w:type="dxa"/>
            <w:shd w:val="clear" w:color="auto" w:fill="auto"/>
            <w:hideMark/>
          </w:tcPr>
          <w:p w14:paraId="78BAEC2A" w14:textId="77777777" w:rsidR="00286ABF" w:rsidRPr="000F1A58" w:rsidRDefault="00286ABF" w:rsidP="00633EF1">
            <w:pPr>
              <w:spacing w:before="0" w:after="0"/>
              <w:rPr>
                <w:rFonts w:ascii="Calibri" w:eastAsia="Times New Roman" w:hAnsi="Calibri" w:cs="Calibri"/>
                <w:color w:val="000000"/>
                <w:sz w:val="18"/>
                <w:szCs w:val="18"/>
                <w:lang w:eastAsia="de-DE"/>
              </w:rPr>
            </w:pPr>
            <w:proofErr w:type="spellStart"/>
            <w:r w:rsidRPr="000F1A58">
              <w:rPr>
                <w:rFonts w:ascii="Calibri" w:eastAsia="Times New Roman" w:hAnsi="Calibri" w:cs="Calibri"/>
                <w:color w:val="000000"/>
                <w:sz w:val="18"/>
                <w:szCs w:val="18"/>
                <w:lang w:eastAsia="de-DE"/>
              </w:rPr>
              <w:t>Kober</w:t>
            </w:r>
            <w:proofErr w:type="spellEnd"/>
            <w:r w:rsidRPr="000F1A58">
              <w:rPr>
                <w:rFonts w:ascii="Calibri" w:eastAsia="Times New Roman" w:hAnsi="Calibri" w:cs="Calibri"/>
                <w:color w:val="000000"/>
                <w:sz w:val="18"/>
                <w:szCs w:val="18"/>
                <w:lang w:eastAsia="de-DE"/>
              </w:rPr>
              <w:t xml:space="preserve"> et al. (2015)</w:t>
            </w:r>
          </w:p>
        </w:tc>
        <w:tc>
          <w:tcPr>
            <w:tcW w:w="787" w:type="dxa"/>
            <w:shd w:val="clear" w:color="auto" w:fill="auto"/>
            <w:hideMark/>
          </w:tcPr>
          <w:p w14:paraId="3602F1E2"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20</w:t>
            </w:r>
          </w:p>
        </w:tc>
        <w:tc>
          <w:tcPr>
            <w:tcW w:w="1023" w:type="dxa"/>
            <w:shd w:val="clear" w:color="auto" w:fill="auto"/>
            <w:hideMark/>
          </w:tcPr>
          <w:p w14:paraId="2A0630DD"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7 sessions</w:t>
            </w:r>
          </w:p>
        </w:tc>
        <w:tc>
          <w:tcPr>
            <w:tcW w:w="2389" w:type="dxa"/>
            <w:shd w:val="clear" w:color="auto" w:fill="auto"/>
            <w:hideMark/>
          </w:tcPr>
          <w:p w14:paraId="4A8D45E2" w14:textId="7CE56C4D" w:rsidR="00286ABF" w:rsidRPr="000F1A58" w:rsidRDefault="00286ABF" w:rsidP="00633EF1">
            <w:pPr>
              <w:spacing w:before="0" w:after="0"/>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linear regression</w:t>
            </w:r>
            <w:r w:rsidR="00204F47" w:rsidRPr="000F1A58">
              <w:rPr>
                <w:rFonts w:ascii="Calibri" w:eastAsia="Times New Roman" w:hAnsi="Calibri" w:cs="Calibri"/>
                <w:color w:val="000000"/>
                <w:sz w:val="18"/>
                <w:szCs w:val="18"/>
                <w:lang w:eastAsia="de-DE"/>
              </w:rPr>
              <w:t xml:space="preserve"> </w:t>
            </w:r>
          </w:p>
        </w:tc>
        <w:tc>
          <w:tcPr>
            <w:tcW w:w="892" w:type="dxa"/>
            <w:shd w:val="clear" w:color="auto" w:fill="auto"/>
            <w:hideMark/>
          </w:tcPr>
          <w:p w14:paraId="28BEC067"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2.66</w:t>
            </w:r>
          </w:p>
        </w:tc>
        <w:tc>
          <w:tcPr>
            <w:tcW w:w="892" w:type="dxa"/>
            <w:shd w:val="clear" w:color="auto" w:fill="auto"/>
            <w:hideMark/>
          </w:tcPr>
          <w:p w14:paraId="38E7E5F7"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3.46</w:t>
            </w:r>
          </w:p>
        </w:tc>
        <w:tc>
          <w:tcPr>
            <w:tcW w:w="892" w:type="dxa"/>
            <w:shd w:val="clear" w:color="auto" w:fill="auto"/>
            <w:hideMark/>
          </w:tcPr>
          <w:p w14:paraId="336E1790"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0.06</w:t>
            </w:r>
          </w:p>
        </w:tc>
        <w:tc>
          <w:tcPr>
            <w:tcW w:w="892" w:type="dxa"/>
            <w:shd w:val="clear" w:color="auto" w:fill="auto"/>
            <w:hideMark/>
          </w:tcPr>
          <w:p w14:paraId="218AB932"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0.09</w:t>
            </w:r>
          </w:p>
        </w:tc>
        <w:tc>
          <w:tcPr>
            <w:tcW w:w="892" w:type="dxa"/>
            <w:shd w:val="clear" w:color="auto" w:fill="auto"/>
            <w:hideMark/>
          </w:tcPr>
          <w:p w14:paraId="61EF6A62"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0.14</w:t>
            </w:r>
          </w:p>
        </w:tc>
      </w:tr>
      <w:tr w:rsidR="00286ABF" w:rsidRPr="000F1A58" w14:paraId="52096F37" w14:textId="77777777" w:rsidTr="00204F47">
        <w:trPr>
          <w:trHeight w:val="453"/>
        </w:trPr>
        <w:tc>
          <w:tcPr>
            <w:tcW w:w="1114" w:type="dxa"/>
            <w:shd w:val="clear" w:color="auto" w:fill="auto"/>
            <w:hideMark/>
          </w:tcPr>
          <w:p w14:paraId="4BAFE62C" w14:textId="77777777" w:rsidR="00286ABF" w:rsidRPr="000F1A58" w:rsidRDefault="00286ABF" w:rsidP="00633EF1">
            <w:pPr>
              <w:spacing w:before="0" w:after="0"/>
              <w:rPr>
                <w:rFonts w:ascii="Calibri" w:eastAsia="Times New Roman" w:hAnsi="Calibri" w:cs="Calibri"/>
                <w:color w:val="000000"/>
                <w:sz w:val="18"/>
                <w:szCs w:val="18"/>
                <w:lang w:eastAsia="de-DE"/>
              </w:rPr>
            </w:pPr>
            <w:proofErr w:type="spellStart"/>
            <w:r w:rsidRPr="000F1A58">
              <w:rPr>
                <w:rFonts w:ascii="Calibri" w:eastAsia="Times New Roman" w:hAnsi="Calibri" w:cs="Calibri"/>
                <w:color w:val="000000"/>
                <w:sz w:val="18"/>
                <w:szCs w:val="18"/>
                <w:lang w:eastAsia="de-DE"/>
              </w:rPr>
              <w:t>Kober</w:t>
            </w:r>
            <w:proofErr w:type="spellEnd"/>
            <w:r w:rsidRPr="000F1A58">
              <w:rPr>
                <w:rFonts w:ascii="Calibri" w:eastAsia="Times New Roman" w:hAnsi="Calibri" w:cs="Calibri"/>
                <w:color w:val="000000"/>
                <w:sz w:val="18"/>
                <w:szCs w:val="18"/>
                <w:lang w:eastAsia="de-DE"/>
              </w:rPr>
              <w:t xml:space="preserve"> et al. (2018)</w:t>
            </w:r>
          </w:p>
        </w:tc>
        <w:tc>
          <w:tcPr>
            <w:tcW w:w="787" w:type="dxa"/>
            <w:shd w:val="clear" w:color="auto" w:fill="auto"/>
            <w:hideMark/>
          </w:tcPr>
          <w:p w14:paraId="361E06F1"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48</w:t>
            </w:r>
          </w:p>
        </w:tc>
        <w:tc>
          <w:tcPr>
            <w:tcW w:w="1023" w:type="dxa"/>
            <w:shd w:val="clear" w:color="auto" w:fill="auto"/>
            <w:hideMark/>
          </w:tcPr>
          <w:p w14:paraId="38FD270A"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12</w:t>
            </w:r>
          </w:p>
        </w:tc>
        <w:tc>
          <w:tcPr>
            <w:tcW w:w="2389" w:type="dxa"/>
            <w:shd w:val="clear" w:color="auto" w:fill="auto"/>
            <w:hideMark/>
          </w:tcPr>
          <w:p w14:paraId="62CF7C27" w14:textId="77777777" w:rsidR="00286ABF" w:rsidRPr="000F1A58" w:rsidRDefault="00286ABF" w:rsidP="00633EF1">
            <w:pPr>
              <w:spacing w:before="0" w:after="0"/>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one-sample t-test on regression slopes (1-sided)</w:t>
            </w:r>
          </w:p>
        </w:tc>
        <w:tc>
          <w:tcPr>
            <w:tcW w:w="892" w:type="dxa"/>
            <w:shd w:val="clear" w:color="auto" w:fill="auto"/>
            <w:hideMark/>
          </w:tcPr>
          <w:p w14:paraId="4CDAD5FC"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0.77</w:t>
            </w:r>
          </w:p>
        </w:tc>
        <w:tc>
          <w:tcPr>
            <w:tcW w:w="892" w:type="dxa"/>
            <w:shd w:val="clear" w:color="auto" w:fill="auto"/>
            <w:hideMark/>
          </w:tcPr>
          <w:p w14:paraId="024FFB05"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1.02</w:t>
            </w:r>
          </w:p>
        </w:tc>
        <w:tc>
          <w:tcPr>
            <w:tcW w:w="892" w:type="dxa"/>
            <w:shd w:val="clear" w:color="auto" w:fill="auto"/>
            <w:hideMark/>
          </w:tcPr>
          <w:p w14:paraId="515D9375"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0.16</w:t>
            </w:r>
          </w:p>
        </w:tc>
        <w:tc>
          <w:tcPr>
            <w:tcW w:w="892" w:type="dxa"/>
            <w:shd w:val="clear" w:color="auto" w:fill="auto"/>
            <w:hideMark/>
          </w:tcPr>
          <w:p w14:paraId="0DEEC288"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0.49</w:t>
            </w:r>
          </w:p>
        </w:tc>
        <w:tc>
          <w:tcPr>
            <w:tcW w:w="892" w:type="dxa"/>
            <w:shd w:val="clear" w:color="auto" w:fill="auto"/>
            <w:hideMark/>
          </w:tcPr>
          <w:p w14:paraId="1BA9896A"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0.83</w:t>
            </w:r>
          </w:p>
        </w:tc>
      </w:tr>
      <w:tr w:rsidR="00286ABF" w:rsidRPr="000F1A58" w14:paraId="65A18FB9" w14:textId="77777777" w:rsidTr="00204F47">
        <w:trPr>
          <w:trHeight w:val="453"/>
        </w:trPr>
        <w:tc>
          <w:tcPr>
            <w:tcW w:w="1114" w:type="dxa"/>
            <w:shd w:val="clear" w:color="auto" w:fill="auto"/>
            <w:hideMark/>
          </w:tcPr>
          <w:p w14:paraId="4EFC644D" w14:textId="77777777" w:rsidR="00286ABF" w:rsidRPr="000F1A58" w:rsidRDefault="00286ABF" w:rsidP="00633EF1">
            <w:pPr>
              <w:spacing w:before="0" w:after="0"/>
              <w:rPr>
                <w:rFonts w:ascii="Calibri" w:eastAsia="Times New Roman" w:hAnsi="Calibri" w:cs="Calibri"/>
                <w:color w:val="000000"/>
                <w:sz w:val="18"/>
                <w:szCs w:val="18"/>
                <w:lang w:eastAsia="de-DE"/>
              </w:rPr>
            </w:pPr>
            <w:proofErr w:type="spellStart"/>
            <w:r w:rsidRPr="000F1A58">
              <w:rPr>
                <w:rFonts w:ascii="Calibri" w:eastAsia="Times New Roman" w:hAnsi="Calibri" w:cs="Calibri"/>
                <w:color w:val="000000"/>
                <w:sz w:val="18"/>
                <w:szCs w:val="18"/>
                <w:lang w:eastAsia="de-DE"/>
              </w:rPr>
              <w:t>Lapborisuth</w:t>
            </w:r>
            <w:proofErr w:type="spellEnd"/>
            <w:r w:rsidRPr="000F1A58">
              <w:rPr>
                <w:rFonts w:ascii="Calibri" w:eastAsia="Times New Roman" w:hAnsi="Calibri" w:cs="Calibri"/>
                <w:color w:val="000000"/>
                <w:sz w:val="18"/>
                <w:szCs w:val="18"/>
                <w:lang w:eastAsia="de-DE"/>
              </w:rPr>
              <w:t xml:space="preserve"> et al. (2017)</w:t>
            </w:r>
          </w:p>
        </w:tc>
        <w:tc>
          <w:tcPr>
            <w:tcW w:w="787" w:type="dxa"/>
            <w:shd w:val="clear" w:color="auto" w:fill="auto"/>
            <w:hideMark/>
          </w:tcPr>
          <w:p w14:paraId="43A0B736"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22</w:t>
            </w:r>
          </w:p>
        </w:tc>
        <w:tc>
          <w:tcPr>
            <w:tcW w:w="1023" w:type="dxa"/>
            <w:shd w:val="clear" w:color="auto" w:fill="auto"/>
            <w:hideMark/>
          </w:tcPr>
          <w:p w14:paraId="07A17946"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22</w:t>
            </w:r>
          </w:p>
        </w:tc>
        <w:tc>
          <w:tcPr>
            <w:tcW w:w="2389" w:type="dxa"/>
            <w:shd w:val="clear" w:color="auto" w:fill="auto"/>
            <w:hideMark/>
          </w:tcPr>
          <w:p w14:paraId="58B6200F" w14:textId="77777777" w:rsidR="00286ABF" w:rsidRPr="000F1A58" w:rsidRDefault="00286ABF" w:rsidP="00633EF1">
            <w:pPr>
              <w:spacing w:before="0" w:after="0"/>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one-sample t-test (1-sided)</w:t>
            </w:r>
          </w:p>
        </w:tc>
        <w:tc>
          <w:tcPr>
            <w:tcW w:w="892" w:type="dxa"/>
            <w:shd w:val="clear" w:color="auto" w:fill="auto"/>
            <w:hideMark/>
          </w:tcPr>
          <w:p w14:paraId="5DF8D10A"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0.55</w:t>
            </w:r>
          </w:p>
        </w:tc>
        <w:tc>
          <w:tcPr>
            <w:tcW w:w="892" w:type="dxa"/>
            <w:shd w:val="clear" w:color="auto" w:fill="auto"/>
            <w:hideMark/>
          </w:tcPr>
          <w:p w14:paraId="2D78548F"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0.73</w:t>
            </w:r>
          </w:p>
        </w:tc>
        <w:tc>
          <w:tcPr>
            <w:tcW w:w="892" w:type="dxa"/>
            <w:shd w:val="clear" w:color="auto" w:fill="auto"/>
            <w:hideMark/>
          </w:tcPr>
          <w:p w14:paraId="7C50C950"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0.23</w:t>
            </w:r>
          </w:p>
        </w:tc>
        <w:tc>
          <w:tcPr>
            <w:tcW w:w="892" w:type="dxa"/>
            <w:shd w:val="clear" w:color="auto" w:fill="auto"/>
            <w:hideMark/>
          </w:tcPr>
          <w:p w14:paraId="4247FA53"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0.73</w:t>
            </w:r>
          </w:p>
        </w:tc>
        <w:tc>
          <w:tcPr>
            <w:tcW w:w="892" w:type="dxa"/>
            <w:shd w:val="clear" w:color="auto" w:fill="auto"/>
            <w:hideMark/>
          </w:tcPr>
          <w:p w14:paraId="5E5B0A28"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0.98</w:t>
            </w:r>
          </w:p>
        </w:tc>
      </w:tr>
      <w:tr w:rsidR="00286ABF" w:rsidRPr="000F1A58" w14:paraId="717A1248" w14:textId="77777777" w:rsidTr="00204F47">
        <w:trPr>
          <w:trHeight w:val="453"/>
        </w:trPr>
        <w:tc>
          <w:tcPr>
            <w:tcW w:w="1114" w:type="dxa"/>
            <w:shd w:val="clear" w:color="auto" w:fill="auto"/>
            <w:hideMark/>
          </w:tcPr>
          <w:p w14:paraId="02139B54" w14:textId="77777777" w:rsidR="00286ABF" w:rsidRPr="000F1A58" w:rsidRDefault="00286ABF" w:rsidP="00633EF1">
            <w:pPr>
              <w:spacing w:before="0" w:after="0"/>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Lee et al. (2015)</w:t>
            </w:r>
          </w:p>
        </w:tc>
        <w:tc>
          <w:tcPr>
            <w:tcW w:w="787" w:type="dxa"/>
            <w:shd w:val="clear" w:color="auto" w:fill="auto"/>
            <w:hideMark/>
          </w:tcPr>
          <w:p w14:paraId="453AA74D"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4</w:t>
            </w:r>
          </w:p>
        </w:tc>
        <w:tc>
          <w:tcPr>
            <w:tcW w:w="1023" w:type="dxa"/>
            <w:shd w:val="clear" w:color="auto" w:fill="auto"/>
            <w:hideMark/>
          </w:tcPr>
          <w:p w14:paraId="7631213E"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4</w:t>
            </w:r>
          </w:p>
        </w:tc>
        <w:tc>
          <w:tcPr>
            <w:tcW w:w="2389" w:type="dxa"/>
            <w:shd w:val="clear" w:color="auto" w:fill="auto"/>
            <w:hideMark/>
          </w:tcPr>
          <w:p w14:paraId="55D54A6C" w14:textId="77777777" w:rsidR="00286ABF" w:rsidRPr="000F1A58" w:rsidRDefault="00286ABF" w:rsidP="00633EF1">
            <w:pPr>
              <w:spacing w:before="0" w:after="0"/>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one-sample t-test (1-sided)</w:t>
            </w:r>
          </w:p>
        </w:tc>
        <w:tc>
          <w:tcPr>
            <w:tcW w:w="892" w:type="dxa"/>
            <w:shd w:val="clear" w:color="auto" w:fill="auto"/>
            <w:hideMark/>
          </w:tcPr>
          <w:p w14:paraId="7294F7A9"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1.65</w:t>
            </w:r>
          </w:p>
        </w:tc>
        <w:tc>
          <w:tcPr>
            <w:tcW w:w="892" w:type="dxa"/>
            <w:shd w:val="clear" w:color="auto" w:fill="auto"/>
            <w:hideMark/>
          </w:tcPr>
          <w:p w14:paraId="57EDF3D9"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2.23</w:t>
            </w:r>
          </w:p>
        </w:tc>
        <w:tc>
          <w:tcPr>
            <w:tcW w:w="892" w:type="dxa"/>
            <w:shd w:val="clear" w:color="auto" w:fill="auto"/>
            <w:hideMark/>
          </w:tcPr>
          <w:p w14:paraId="5EB0A392"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0.09</w:t>
            </w:r>
          </w:p>
        </w:tc>
        <w:tc>
          <w:tcPr>
            <w:tcW w:w="892" w:type="dxa"/>
            <w:shd w:val="clear" w:color="auto" w:fill="auto"/>
            <w:hideMark/>
          </w:tcPr>
          <w:p w14:paraId="39800CC7"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0.2</w:t>
            </w:r>
          </w:p>
        </w:tc>
        <w:tc>
          <w:tcPr>
            <w:tcW w:w="892" w:type="dxa"/>
            <w:shd w:val="clear" w:color="auto" w:fill="auto"/>
            <w:hideMark/>
          </w:tcPr>
          <w:p w14:paraId="007707FD"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0.35</w:t>
            </w:r>
          </w:p>
        </w:tc>
      </w:tr>
      <w:tr w:rsidR="00286ABF" w:rsidRPr="000F1A58" w14:paraId="7AFF1337" w14:textId="77777777" w:rsidTr="00204F47">
        <w:trPr>
          <w:trHeight w:val="453"/>
        </w:trPr>
        <w:tc>
          <w:tcPr>
            <w:tcW w:w="1114" w:type="dxa"/>
            <w:shd w:val="clear" w:color="auto" w:fill="auto"/>
            <w:hideMark/>
          </w:tcPr>
          <w:p w14:paraId="731C35C9" w14:textId="77777777" w:rsidR="00286ABF" w:rsidRPr="000F1A58" w:rsidRDefault="00286ABF" w:rsidP="00633EF1">
            <w:pPr>
              <w:spacing w:before="0" w:after="0"/>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Li et al. (2019)</w:t>
            </w:r>
          </w:p>
        </w:tc>
        <w:tc>
          <w:tcPr>
            <w:tcW w:w="787" w:type="dxa"/>
            <w:shd w:val="clear" w:color="auto" w:fill="auto"/>
            <w:hideMark/>
          </w:tcPr>
          <w:p w14:paraId="1C485F7A"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60</w:t>
            </w:r>
          </w:p>
        </w:tc>
        <w:tc>
          <w:tcPr>
            <w:tcW w:w="1023" w:type="dxa"/>
            <w:shd w:val="clear" w:color="auto" w:fill="auto"/>
            <w:hideMark/>
          </w:tcPr>
          <w:p w14:paraId="1F837DC0"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56</w:t>
            </w:r>
          </w:p>
        </w:tc>
        <w:tc>
          <w:tcPr>
            <w:tcW w:w="2389" w:type="dxa"/>
            <w:shd w:val="clear" w:color="auto" w:fill="auto"/>
            <w:hideMark/>
          </w:tcPr>
          <w:p w14:paraId="127BEB98" w14:textId="77777777" w:rsidR="00286ABF" w:rsidRPr="000F1A58" w:rsidRDefault="00286ABF" w:rsidP="00633EF1">
            <w:pPr>
              <w:spacing w:before="0" w:after="0"/>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mixed ANOVA 2x2</w:t>
            </w:r>
          </w:p>
        </w:tc>
        <w:tc>
          <w:tcPr>
            <w:tcW w:w="892" w:type="dxa"/>
            <w:shd w:val="clear" w:color="auto" w:fill="auto"/>
            <w:hideMark/>
          </w:tcPr>
          <w:p w14:paraId="3709EC94"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0.20</w:t>
            </w:r>
          </w:p>
        </w:tc>
        <w:tc>
          <w:tcPr>
            <w:tcW w:w="892" w:type="dxa"/>
            <w:shd w:val="clear" w:color="auto" w:fill="auto"/>
            <w:hideMark/>
          </w:tcPr>
          <w:p w14:paraId="12C5B2C0"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0.25</w:t>
            </w:r>
          </w:p>
        </w:tc>
        <w:tc>
          <w:tcPr>
            <w:tcW w:w="892" w:type="dxa"/>
            <w:shd w:val="clear" w:color="auto" w:fill="auto"/>
            <w:hideMark/>
          </w:tcPr>
          <w:p w14:paraId="45672014"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0.8</w:t>
            </w:r>
          </w:p>
        </w:tc>
        <w:tc>
          <w:tcPr>
            <w:tcW w:w="892" w:type="dxa"/>
            <w:shd w:val="clear" w:color="auto" w:fill="auto"/>
            <w:hideMark/>
          </w:tcPr>
          <w:p w14:paraId="20467F2D"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1</w:t>
            </w:r>
          </w:p>
        </w:tc>
        <w:tc>
          <w:tcPr>
            <w:tcW w:w="892" w:type="dxa"/>
            <w:shd w:val="clear" w:color="auto" w:fill="auto"/>
            <w:hideMark/>
          </w:tcPr>
          <w:p w14:paraId="4B89A801"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1</w:t>
            </w:r>
          </w:p>
        </w:tc>
      </w:tr>
      <w:tr w:rsidR="00286ABF" w:rsidRPr="000F1A58" w14:paraId="09C2E5BD" w14:textId="77777777" w:rsidTr="00204F47">
        <w:trPr>
          <w:trHeight w:val="453"/>
        </w:trPr>
        <w:tc>
          <w:tcPr>
            <w:tcW w:w="1114" w:type="dxa"/>
            <w:shd w:val="clear" w:color="auto" w:fill="auto"/>
            <w:hideMark/>
          </w:tcPr>
          <w:p w14:paraId="2691118E" w14:textId="77777777" w:rsidR="00286ABF" w:rsidRPr="000F1A58" w:rsidRDefault="00286ABF" w:rsidP="00633EF1">
            <w:pPr>
              <w:spacing w:before="0" w:after="0"/>
              <w:rPr>
                <w:rFonts w:ascii="Calibri" w:eastAsia="Times New Roman" w:hAnsi="Calibri" w:cs="Calibri"/>
                <w:color w:val="000000"/>
                <w:sz w:val="18"/>
                <w:szCs w:val="18"/>
                <w:lang w:eastAsia="de-DE"/>
              </w:rPr>
            </w:pPr>
            <w:proofErr w:type="spellStart"/>
            <w:r w:rsidRPr="000F1A58">
              <w:rPr>
                <w:rFonts w:ascii="Calibri" w:eastAsia="Times New Roman" w:hAnsi="Calibri" w:cs="Calibri"/>
                <w:color w:val="000000"/>
                <w:sz w:val="18"/>
                <w:szCs w:val="18"/>
                <w:lang w:eastAsia="de-DE"/>
              </w:rPr>
              <w:t>Mihara</w:t>
            </w:r>
            <w:proofErr w:type="spellEnd"/>
            <w:r w:rsidRPr="000F1A58">
              <w:rPr>
                <w:rFonts w:ascii="Calibri" w:eastAsia="Times New Roman" w:hAnsi="Calibri" w:cs="Calibri"/>
                <w:color w:val="000000"/>
                <w:sz w:val="18"/>
                <w:szCs w:val="18"/>
                <w:lang w:eastAsia="de-DE"/>
              </w:rPr>
              <w:t xml:space="preserve"> et al. (2012)</w:t>
            </w:r>
          </w:p>
        </w:tc>
        <w:tc>
          <w:tcPr>
            <w:tcW w:w="787" w:type="dxa"/>
            <w:shd w:val="clear" w:color="auto" w:fill="auto"/>
            <w:hideMark/>
          </w:tcPr>
          <w:p w14:paraId="265B2FB5"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21</w:t>
            </w:r>
          </w:p>
        </w:tc>
        <w:tc>
          <w:tcPr>
            <w:tcW w:w="1023" w:type="dxa"/>
            <w:shd w:val="clear" w:color="auto" w:fill="auto"/>
            <w:hideMark/>
          </w:tcPr>
          <w:p w14:paraId="1341F24C"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21</w:t>
            </w:r>
          </w:p>
        </w:tc>
        <w:tc>
          <w:tcPr>
            <w:tcW w:w="2389" w:type="dxa"/>
            <w:shd w:val="clear" w:color="auto" w:fill="auto"/>
            <w:hideMark/>
          </w:tcPr>
          <w:p w14:paraId="63F90248" w14:textId="77777777" w:rsidR="00286ABF" w:rsidRPr="000F1A58" w:rsidRDefault="00286ABF" w:rsidP="00633EF1">
            <w:pPr>
              <w:spacing w:before="0" w:after="0"/>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one-sample t-test (2-sided) for contrast real vs. sham</w:t>
            </w:r>
          </w:p>
        </w:tc>
        <w:tc>
          <w:tcPr>
            <w:tcW w:w="892" w:type="dxa"/>
            <w:shd w:val="clear" w:color="auto" w:fill="auto"/>
            <w:hideMark/>
          </w:tcPr>
          <w:p w14:paraId="62D97898"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0.64</w:t>
            </w:r>
          </w:p>
        </w:tc>
        <w:tc>
          <w:tcPr>
            <w:tcW w:w="892" w:type="dxa"/>
            <w:shd w:val="clear" w:color="auto" w:fill="auto"/>
            <w:hideMark/>
          </w:tcPr>
          <w:p w14:paraId="4BF44366"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0.83</w:t>
            </w:r>
          </w:p>
        </w:tc>
        <w:tc>
          <w:tcPr>
            <w:tcW w:w="892" w:type="dxa"/>
            <w:shd w:val="clear" w:color="auto" w:fill="auto"/>
            <w:hideMark/>
          </w:tcPr>
          <w:p w14:paraId="74CA7445"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0.04</w:t>
            </w:r>
          </w:p>
        </w:tc>
        <w:tc>
          <w:tcPr>
            <w:tcW w:w="892" w:type="dxa"/>
            <w:shd w:val="clear" w:color="auto" w:fill="auto"/>
            <w:hideMark/>
          </w:tcPr>
          <w:p w14:paraId="15DB8191"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0.31</w:t>
            </w:r>
          </w:p>
        </w:tc>
        <w:tc>
          <w:tcPr>
            <w:tcW w:w="892" w:type="dxa"/>
            <w:shd w:val="clear" w:color="auto" w:fill="auto"/>
            <w:hideMark/>
          </w:tcPr>
          <w:p w14:paraId="21064CF4"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0.78</w:t>
            </w:r>
          </w:p>
        </w:tc>
      </w:tr>
      <w:tr w:rsidR="00286ABF" w:rsidRPr="000F1A58" w14:paraId="533D84C1" w14:textId="77777777" w:rsidTr="00204F47">
        <w:trPr>
          <w:trHeight w:val="453"/>
        </w:trPr>
        <w:tc>
          <w:tcPr>
            <w:tcW w:w="1114" w:type="dxa"/>
            <w:shd w:val="clear" w:color="auto" w:fill="auto"/>
            <w:hideMark/>
          </w:tcPr>
          <w:p w14:paraId="14F446E0" w14:textId="77777777" w:rsidR="00286ABF" w:rsidRPr="000F1A58" w:rsidRDefault="00286ABF" w:rsidP="00633EF1">
            <w:pPr>
              <w:spacing w:before="0" w:after="0"/>
              <w:rPr>
                <w:rFonts w:ascii="Calibri" w:eastAsia="Times New Roman" w:hAnsi="Calibri" w:cs="Calibri"/>
                <w:color w:val="000000"/>
                <w:sz w:val="18"/>
                <w:szCs w:val="18"/>
                <w:lang w:eastAsia="de-DE"/>
              </w:rPr>
            </w:pPr>
            <w:proofErr w:type="spellStart"/>
            <w:r w:rsidRPr="000F1A58">
              <w:rPr>
                <w:rFonts w:ascii="Calibri" w:eastAsia="Times New Roman" w:hAnsi="Calibri" w:cs="Calibri"/>
                <w:color w:val="000000"/>
                <w:sz w:val="18"/>
                <w:szCs w:val="18"/>
                <w:lang w:eastAsia="de-DE"/>
              </w:rPr>
              <w:t>Mihara</w:t>
            </w:r>
            <w:proofErr w:type="spellEnd"/>
            <w:r w:rsidRPr="000F1A58">
              <w:rPr>
                <w:rFonts w:ascii="Calibri" w:eastAsia="Times New Roman" w:hAnsi="Calibri" w:cs="Calibri"/>
                <w:color w:val="000000"/>
                <w:sz w:val="18"/>
                <w:szCs w:val="18"/>
                <w:lang w:eastAsia="de-DE"/>
              </w:rPr>
              <w:t xml:space="preserve"> et al. (2013)</w:t>
            </w:r>
          </w:p>
        </w:tc>
        <w:tc>
          <w:tcPr>
            <w:tcW w:w="787" w:type="dxa"/>
            <w:shd w:val="clear" w:color="auto" w:fill="auto"/>
            <w:hideMark/>
          </w:tcPr>
          <w:p w14:paraId="7A4FB03A"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20</w:t>
            </w:r>
          </w:p>
        </w:tc>
        <w:tc>
          <w:tcPr>
            <w:tcW w:w="1023" w:type="dxa"/>
            <w:shd w:val="clear" w:color="auto" w:fill="auto"/>
            <w:hideMark/>
          </w:tcPr>
          <w:p w14:paraId="5E288B64"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20</w:t>
            </w:r>
          </w:p>
        </w:tc>
        <w:tc>
          <w:tcPr>
            <w:tcW w:w="2389" w:type="dxa"/>
            <w:shd w:val="clear" w:color="auto" w:fill="auto"/>
            <w:hideMark/>
          </w:tcPr>
          <w:p w14:paraId="547871F0" w14:textId="77777777" w:rsidR="00286ABF" w:rsidRPr="000F1A58" w:rsidRDefault="00286ABF" w:rsidP="00633EF1">
            <w:pPr>
              <w:spacing w:before="0" w:after="0"/>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unpaired t-test (1-sided?)</w:t>
            </w:r>
          </w:p>
        </w:tc>
        <w:tc>
          <w:tcPr>
            <w:tcW w:w="892" w:type="dxa"/>
            <w:shd w:val="clear" w:color="auto" w:fill="auto"/>
            <w:hideMark/>
          </w:tcPr>
          <w:p w14:paraId="2BB7F2A2"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1.16</w:t>
            </w:r>
          </w:p>
        </w:tc>
        <w:tc>
          <w:tcPr>
            <w:tcW w:w="892" w:type="dxa"/>
            <w:shd w:val="clear" w:color="auto" w:fill="auto"/>
            <w:hideMark/>
          </w:tcPr>
          <w:p w14:paraId="4AE400A6"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1.53</w:t>
            </w:r>
          </w:p>
        </w:tc>
        <w:tc>
          <w:tcPr>
            <w:tcW w:w="892" w:type="dxa"/>
            <w:shd w:val="clear" w:color="auto" w:fill="auto"/>
            <w:hideMark/>
          </w:tcPr>
          <w:p w14:paraId="27F9CB4E"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0.11</w:t>
            </w:r>
          </w:p>
        </w:tc>
        <w:tc>
          <w:tcPr>
            <w:tcW w:w="892" w:type="dxa"/>
            <w:shd w:val="clear" w:color="auto" w:fill="auto"/>
            <w:hideMark/>
          </w:tcPr>
          <w:p w14:paraId="34F93180"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0.29</w:t>
            </w:r>
          </w:p>
        </w:tc>
        <w:tc>
          <w:tcPr>
            <w:tcW w:w="892" w:type="dxa"/>
            <w:shd w:val="clear" w:color="auto" w:fill="auto"/>
            <w:hideMark/>
          </w:tcPr>
          <w:p w14:paraId="56ECBDE3"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0.53</w:t>
            </w:r>
          </w:p>
        </w:tc>
      </w:tr>
      <w:tr w:rsidR="00286ABF" w:rsidRPr="000F1A58" w14:paraId="11F16EB3" w14:textId="77777777" w:rsidTr="00204F47">
        <w:trPr>
          <w:trHeight w:val="453"/>
        </w:trPr>
        <w:tc>
          <w:tcPr>
            <w:tcW w:w="1114" w:type="dxa"/>
            <w:shd w:val="clear" w:color="auto" w:fill="auto"/>
            <w:hideMark/>
          </w:tcPr>
          <w:p w14:paraId="7A1AD167" w14:textId="77777777" w:rsidR="00286ABF" w:rsidRPr="000F1A58" w:rsidRDefault="00286ABF" w:rsidP="00633EF1">
            <w:pPr>
              <w:spacing w:before="0" w:after="0"/>
              <w:rPr>
                <w:rFonts w:ascii="Calibri" w:eastAsia="Times New Roman" w:hAnsi="Calibri" w:cs="Calibri"/>
                <w:color w:val="000000"/>
                <w:sz w:val="18"/>
                <w:szCs w:val="18"/>
                <w:lang w:eastAsia="de-DE"/>
              </w:rPr>
            </w:pPr>
            <w:proofErr w:type="spellStart"/>
            <w:r w:rsidRPr="000F1A58">
              <w:rPr>
                <w:rFonts w:ascii="Calibri" w:eastAsia="Times New Roman" w:hAnsi="Calibri" w:cs="Calibri"/>
                <w:color w:val="000000"/>
                <w:sz w:val="18"/>
                <w:szCs w:val="18"/>
                <w:lang w:eastAsia="de-DE"/>
              </w:rPr>
              <w:t>Trambaiolli</w:t>
            </w:r>
            <w:proofErr w:type="spellEnd"/>
            <w:r w:rsidRPr="000F1A58">
              <w:rPr>
                <w:rFonts w:ascii="Calibri" w:eastAsia="Times New Roman" w:hAnsi="Calibri" w:cs="Calibri"/>
                <w:color w:val="000000"/>
                <w:sz w:val="18"/>
                <w:szCs w:val="18"/>
                <w:lang w:eastAsia="de-DE"/>
              </w:rPr>
              <w:t xml:space="preserve"> et al. (2018)</w:t>
            </w:r>
          </w:p>
        </w:tc>
        <w:tc>
          <w:tcPr>
            <w:tcW w:w="787" w:type="dxa"/>
            <w:shd w:val="clear" w:color="auto" w:fill="auto"/>
            <w:hideMark/>
          </w:tcPr>
          <w:p w14:paraId="71E04ED5"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32</w:t>
            </w:r>
          </w:p>
        </w:tc>
        <w:tc>
          <w:tcPr>
            <w:tcW w:w="1023" w:type="dxa"/>
            <w:shd w:val="clear" w:color="auto" w:fill="auto"/>
            <w:hideMark/>
          </w:tcPr>
          <w:p w14:paraId="453D294E"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32</w:t>
            </w:r>
          </w:p>
        </w:tc>
        <w:tc>
          <w:tcPr>
            <w:tcW w:w="2389" w:type="dxa"/>
            <w:shd w:val="clear" w:color="auto" w:fill="auto"/>
            <w:hideMark/>
          </w:tcPr>
          <w:p w14:paraId="56666CC7" w14:textId="77777777" w:rsidR="00286ABF" w:rsidRPr="000F1A58" w:rsidRDefault="00286ABF" w:rsidP="00633EF1">
            <w:pPr>
              <w:spacing w:before="0" w:after="0"/>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paired t-test</w:t>
            </w:r>
          </w:p>
        </w:tc>
        <w:tc>
          <w:tcPr>
            <w:tcW w:w="892" w:type="dxa"/>
            <w:shd w:val="clear" w:color="auto" w:fill="auto"/>
            <w:hideMark/>
          </w:tcPr>
          <w:p w14:paraId="3267E729"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0.45</w:t>
            </w:r>
          </w:p>
        </w:tc>
        <w:tc>
          <w:tcPr>
            <w:tcW w:w="892" w:type="dxa"/>
            <w:shd w:val="clear" w:color="auto" w:fill="auto"/>
            <w:hideMark/>
          </w:tcPr>
          <w:p w14:paraId="571BD3B4"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0.6</w:t>
            </w:r>
          </w:p>
        </w:tc>
        <w:tc>
          <w:tcPr>
            <w:tcW w:w="892" w:type="dxa"/>
            <w:shd w:val="clear" w:color="auto" w:fill="auto"/>
            <w:hideMark/>
          </w:tcPr>
          <w:p w14:paraId="619588FD"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0.3</w:t>
            </w:r>
          </w:p>
        </w:tc>
        <w:tc>
          <w:tcPr>
            <w:tcW w:w="892" w:type="dxa"/>
            <w:shd w:val="clear" w:color="auto" w:fill="auto"/>
            <w:hideMark/>
          </w:tcPr>
          <w:p w14:paraId="40B541A1"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0.87</w:t>
            </w:r>
          </w:p>
        </w:tc>
        <w:tc>
          <w:tcPr>
            <w:tcW w:w="892" w:type="dxa"/>
            <w:shd w:val="clear" w:color="auto" w:fill="auto"/>
            <w:hideMark/>
          </w:tcPr>
          <w:p w14:paraId="04A390AA"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1</w:t>
            </w:r>
          </w:p>
        </w:tc>
      </w:tr>
      <w:tr w:rsidR="00286ABF" w:rsidRPr="000F1A58" w14:paraId="4855D62D" w14:textId="77777777" w:rsidTr="00204F47">
        <w:trPr>
          <w:trHeight w:val="453"/>
        </w:trPr>
        <w:tc>
          <w:tcPr>
            <w:tcW w:w="1114" w:type="dxa"/>
            <w:tcBorders>
              <w:bottom w:val="single" w:sz="4" w:space="0" w:color="auto"/>
            </w:tcBorders>
            <w:shd w:val="clear" w:color="auto" w:fill="auto"/>
            <w:hideMark/>
          </w:tcPr>
          <w:p w14:paraId="7630918E" w14:textId="77777777" w:rsidR="00286ABF" w:rsidRPr="000F1A58" w:rsidRDefault="00286ABF" w:rsidP="00633EF1">
            <w:pPr>
              <w:spacing w:before="0" w:after="0"/>
              <w:rPr>
                <w:rFonts w:ascii="Calibri" w:eastAsia="Times New Roman" w:hAnsi="Calibri" w:cs="Calibri"/>
                <w:color w:val="000000"/>
                <w:sz w:val="18"/>
                <w:szCs w:val="18"/>
                <w:lang w:eastAsia="de-DE"/>
              </w:rPr>
            </w:pPr>
            <w:proofErr w:type="spellStart"/>
            <w:r w:rsidRPr="000F1A58">
              <w:rPr>
                <w:rFonts w:ascii="Calibri" w:eastAsia="Times New Roman" w:hAnsi="Calibri" w:cs="Calibri"/>
                <w:color w:val="000000"/>
                <w:sz w:val="18"/>
                <w:szCs w:val="18"/>
                <w:lang w:eastAsia="de-DE"/>
              </w:rPr>
              <w:t>Weyand</w:t>
            </w:r>
            <w:proofErr w:type="spellEnd"/>
            <w:r w:rsidRPr="000F1A58">
              <w:rPr>
                <w:rFonts w:ascii="Calibri" w:eastAsia="Times New Roman" w:hAnsi="Calibri" w:cs="Calibri"/>
                <w:color w:val="000000"/>
                <w:sz w:val="18"/>
                <w:szCs w:val="18"/>
                <w:lang w:eastAsia="de-DE"/>
              </w:rPr>
              <w:t xml:space="preserve"> et al. (2015)</w:t>
            </w:r>
          </w:p>
        </w:tc>
        <w:tc>
          <w:tcPr>
            <w:tcW w:w="787" w:type="dxa"/>
            <w:tcBorders>
              <w:bottom w:val="single" w:sz="4" w:space="0" w:color="auto"/>
            </w:tcBorders>
            <w:shd w:val="clear" w:color="auto" w:fill="auto"/>
            <w:hideMark/>
          </w:tcPr>
          <w:p w14:paraId="404CEE32"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9</w:t>
            </w:r>
          </w:p>
        </w:tc>
        <w:tc>
          <w:tcPr>
            <w:tcW w:w="1023" w:type="dxa"/>
            <w:tcBorders>
              <w:bottom w:val="single" w:sz="4" w:space="0" w:color="auto"/>
            </w:tcBorders>
            <w:shd w:val="clear" w:color="auto" w:fill="auto"/>
            <w:hideMark/>
          </w:tcPr>
          <w:p w14:paraId="625AC682"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9</w:t>
            </w:r>
          </w:p>
        </w:tc>
        <w:tc>
          <w:tcPr>
            <w:tcW w:w="2389" w:type="dxa"/>
            <w:tcBorders>
              <w:bottom w:val="single" w:sz="4" w:space="0" w:color="auto"/>
            </w:tcBorders>
            <w:shd w:val="clear" w:color="auto" w:fill="auto"/>
            <w:hideMark/>
          </w:tcPr>
          <w:p w14:paraId="4F7E5AF8" w14:textId="77777777" w:rsidR="00286ABF" w:rsidRPr="000F1A58" w:rsidRDefault="00286ABF" w:rsidP="00633EF1">
            <w:pPr>
              <w:spacing w:before="0" w:after="0"/>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binomial test (2-sided)</w:t>
            </w:r>
          </w:p>
        </w:tc>
        <w:tc>
          <w:tcPr>
            <w:tcW w:w="892" w:type="dxa"/>
            <w:tcBorders>
              <w:bottom w:val="single" w:sz="4" w:space="0" w:color="auto"/>
            </w:tcBorders>
            <w:shd w:val="clear" w:color="auto" w:fill="auto"/>
            <w:hideMark/>
          </w:tcPr>
          <w:p w14:paraId="3D74AB98"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0.41</w:t>
            </w:r>
          </w:p>
        </w:tc>
        <w:tc>
          <w:tcPr>
            <w:tcW w:w="892" w:type="dxa"/>
            <w:tcBorders>
              <w:bottom w:val="single" w:sz="4" w:space="0" w:color="auto"/>
            </w:tcBorders>
            <w:shd w:val="clear" w:color="auto" w:fill="auto"/>
            <w:hideMark/>
          </w:tcPr>
          <w:p w14:paraId="3FE7B558"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0.46</w:t>
            </w:r>
          </w:p>
        </w:tc>
        <w:tc>
          <w:tcPr>
            <w:tcW w:w="892" w:type="dxa"/>
            <w:tcBorders>
              <w:bottom w:val="single" w:sz="4" w:space="0" w:color="auto"/>
            </w:tcBorders>
            <w:shd w:val="clear" w:color="auto" w:fill="auto"/>
            <w:hideMark/>
          </w:tcPr>
          <w:p w14:paraId="3724C39E"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0.2</w:t>
            </w:r>
          </w:p>
        </w:tc>
        <w:tc>
          <w:tcPr>
            <w:tcW w:w="892" w:type="dxa"/>
            <w:tcBorders>
              <w:bottom w:val="single" w:sz="4" w:space="0" w:color="auto"/>
            </w:tcBorders>
            <w:shd w:val="clear" w:color="auto" w:fill="auto"/>
            <w:hideMark/>
          </w:tcPr>
          <w:p w14:paraId="1871454A"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1</w:t>
            </w:r>
          </w:p>
        </w:tc>
        <w:tc>
          <w:tcPr>
            <w:tcW w:w="892" w:type="dxa"/>
            <w:tcBorders>
              <w:bottom w:val="single" w:sz="4" w:space="0" w:color="auto"/>
            </w:tcBorders>
            <w:shd w:val="clear" w:color="auto" w:fill="auto"/>
            <w:hideMark/>
          </w:tcPr>
          <w:p w14:paraId="4C7BE6E6"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N/A</w:t>
            </w:r>
          </w:p>
        </w:tc>
      </w:tr>
      <w:tr w:rsidR="00286ABF" w:rsidRPr="000F1A58" w14:paraId="0C350683" w14:textId="77777777" w:rsidTr="00204F47">
        <w:trPr>
          <w:trHeight w:val="453"/>
        </w:trPr>
        <w:tc>
          <w:tcPr>
            <w:tcW w:w="1114" w:type="dxa"/>
            <w:tcBorders>
              <w:top w:val="single" w:sz="4" w:space="0" w:color="auto"/>
            </w:tcBorders>
            <w:shd w:val="clear" w:color="auto" w:fill="auto"/>
            <w:hideMark/>
          </w:tcPr>
          <w:p w14:paraId="20066746" w14:textId="77777777" w:rsidR="00286ABF" w:rsidRPr="000F1A58" w:rsidRDefault="00286ABF" w:rsidP="00633EF1">
            <w:pPr>
              <w:spacing w:before="0" w:after="0"/>
              <w:rPr>
                <w:rFonts w:ascii="Calibri" w:eastAsia="Times New Roman" w:hAnsi="Calibri" w:cs="Calibri"/>
                <w:b/>
                <w:bCs/>
                <w:sz w:val="18"/>
                <w:szCs w:val="18"/>
                <w:lang w:eastAsia="de-DE"/>
              </w:rPr>
            </w:pPr>
            <w:r w:rsidRPr="000F1A58">
              <w:rPr>
                <w:rFonts w:ascii="Calibri" w:eastAsia="Times New Roman" w:hAnsi="Calibri" w:cs="Calibri"/>
                <w:b/>
                <w:bCs/>
                <w:sz w:val="18"/>
                <w:szCs w:val="18"/>
                <w:lang w:eastAsia="de-DE"/>
              </w:rPr>
              <w:t xml:space="preserve">Mean </w:t>
            </w:r>
          </w:p>
        </w:tc>
        <w:tc>
          <w:tcPr>
            <w:tcW w:w="787" w:type="dxa"/>
            <w:tcBorders>
              <w:top w:val="single" w:sz="4" w:space="0" w:color="auto"/>
            </w:tcBorders>
            <w:shd w:val="clear" w:color="auto" w:fill="auto"/>
            <w:hideMark/>
          </w:tcPr>
          <w:p w14:paraId="30B4A3A0"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22.11</w:t>
            </w:r>
          </w:p>
        </w:tc>
        <w:tc>
          <w:tcPr>
            <w:tcW w:w="1023" w:type="dxa"/>
            <w:tcBorders>
              <w:top w:val="single" w:sz="4" w:space="0" w:color="auto"/>
            </w:tcBorders>
            <w:shd w:val="clear" w:color="auto" w:fill="auto"/>
            <w:hideMark/>
          </w:tcPr>
          <w:p w14:paraId="1CF5F7A3"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p>
        </w:tc>
        <w:tc>
          <w:tcPr>
            <w:tcW w:w="2389" w:type="dxa"/>
            <w:tcBorders>
              <w:top w:val="single" w:sz="4" w:space="0" w:color="auto"/>
            </w:tcBorders>
            <w:shd w:val="clear" w:color="auto" w:fill="auto"/>
            <w:hideMark/>
          </w:tcPr>
          <w:p w14:paraId="2329D8C5" w14:textId="77777777" w:rsidR="00286ABF" w:rsidRPr="000F1A58" w:rsidRDefault="00286ABF" w:rsidP="00633EF1">
            <w:pPr>
              <w:spacing w:before="0" w:after="0"/>
              <w:jc w:val="center"/>
              <w:rPr>
                <w:rFonts w:eastAsia="Times New Roman" w:cs="Times New Roman"/>
                <w:sz w:val="18"/>
                <w:szCs w:val="18"/>
                <w:lang w:eastAsia="de-DE"/>
              </w:rPr>
            </w:pPr>
          </w:p>
        </w:tc>
        <w:tc>
          <w:tcPr>
            <w:tcW w:w="892" w:type="dxa"/>
            <w:tcBorders>
              <w:top w:val="single" w:sz="4" w:space="0" w:color="auto"/>
            </w:tcBorders>
            <w:shd w:val="clear" w:color="auto" w:fill="auto"/>
            <w:hideMark/>
          </w:tcPr>
          <w:p w14:paraId="176DCC05"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0.88</w:t>
            </w:r>
          </w:p>
        </w:tc>
        <w:tc>
          <w:tcPr>
            <w:tcW w:w="892" w:type="dxa"/>
            <w:tcBorders>
              <w:top w:val="single" w:sz="4" w:space="0" w:color="auto"/>
            </w:tcBorders>
            <w:shd w:val="clear" w:color="auto" w:fill="auto"/>
            <w:hideMark/>
          </w:tcPr>
          <w:p w14:paraId="6A38961C"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1.15</w:t>
            </w:r>
          </w:p>
        </w:tc>
        <w:tc>
          <w:tcPr>
            <w:tcW w:w="892" w:type="dxa"/>
            <w:tcBorders>
              <w:top w:val="single" w:sz="4" w:space="0" w:color="auto"/>
            </w:tcBorders>
            <w:shd w:val="clear" w:color="auto" w:fill="auto"/>
            <w:hideMark/>
          </w:tcPr>
          <w:p w14:paraId="17E39627"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0.20</w:t>
            </w:r>
          </w:p>
        </w:tc>
        <w:tc>
          <w:tcPr>
            <w:tcW w:w="892" w:type="dxa"/>
            <w:tcBorders>
              <w:top w:val="single" w:sz="4" w:space="0" w:color="auto"/>
            </w:tcBorders>
            <w:shd w:val="clear" w:color="auto" w:fill="auto"/>
            <w:hideMark/>
          </w:tcPr>
          <w:p w14:paraId="110411D0"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0.55</w:t>
            </w:r>
          </w:p>
        </w:tc>
        <w:tc>
          <w:tcPr>
            <w:tcW w:w="892" w:type="dxa"/>
            <w:tcBorders>
              <w:top w:val="single" w:sz="4" w:space="0" w:color="auto"/>
            </w:tcBorders>
            <w:shd w:val="clear" w:color="auto" w:fill="auto"/>
            <w:hideMark/>
          </w:tcPr>
          <w:p w14:paraId="642C2284"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0.74</w:t>
            </w:r>
          </w:p>
        </w:tc>
      </w:tr>
      <w:tr w:rsidR="00286ABF" w:rsidRPr="000F1A58" w14:paraId="27ABBA22" w14:textId="77777777" w:rsidTr="00204F47">
        <w:trPr>
          <w:trHeight w:val="326"/>
        </w:trPr>
        <w:tc>
          <w:tcPr>
            <w:tcW w:w="1114" w:type="dxa"/>
            <w:tcBorders>
              <w:bottom w:val="single" w:sz="4" w:space="0" w:color="auto"/>
            </w:tcBorders>
            <w:shd w:val="clear" w:color="auto" w:fill="auto"/>
            <w:hideMark/>
          </w:tcPr>
          <w:p w14:paraId="694779EC" w14:textId="77777777" w:rsidR="00286ABF" w:rsidRPr="000F1A58" w:rsidRDefault="00286ABF" w:rsidP="00633EF1">
            <w:pPr>
              <w:spacing w:before="0" w:after="0"/>
              <w:rPr>
                <w:rFonts w:ascii="Calibri" w:eastAsia="Times New Roman" w:hAnsi="Calibri" w:cs="Calibri"/>
                <w:b/>
                <w:bCs/>
                <w:sz w:val="18"/>
                <w:szCs w:val="18"/>
                <w:lang w:eastAsia="de-DE"/>
              </w:rPr>
            </w:pPr>
            <w:r w:rsidRPr="000F1A58">
              <w:rPr>
                <w:rFonts w:ascii="Calibri" w:eastAsia="Times New Roman" w:hAnsi="Calibri" w:cs="Calibri"/>
                <w:b/>
                <w:bCs/>
                <w:sz w:val="18"/>
                <w:szCs w:val="18"/>
                <w:lang w:eastAsia="de-DE"/>
              </w:rPr>
              <w:t>Median</w:t>
            </w:r>
          </w:p>
        </w:tc>
        <w:tc>
          <w:tcPr>
            <w:tcW w:w="787" w:type="dxa"/>
            <w:tcBorders>
              <w:bottom w:val="single" w:sz="4" w:space="0" w:color="auto"/>
            </w:tcBorders>
            <w:shd w:val="clear" w:color="auto" w:fill="auto"/>
            <w:hideMark/>
          </w:tcPr>
          <w:p w14:paraId="761D449F"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20</w:t>
            </w:r>
          </w:p>
        </w:tc>
        <w:tc>
          <w:tcPr>
            <w:tcW w:w="1023" w:type="dxa"/>
            <w:tcBorders>
              <w:bottom w:val="single" w:sz="4" w:space="0" w:color="auto"/>
            </w:tcBorders>
            <w:shd w:val="clear" w:color="auto" w:fill="auto"/>
            <w:hideMark/>
          </w:tcPr>
          <w:p w14:paraId="5BDE8B8F"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p>
        </w:tc>
        <w:tc>
          <w:tcPr>
            <w:tcW w:w="2389" w:type="dxa"/>
            <w:tcBorders>
              <w:bottom w:val="single" w:sz="4" w:space="0" w:color="auto"/>
            </w:tcBorders>
            <w:shd w:val="clear" w:color="auto" w:fill="auto"/>
            <w:hideMark/>
          </w:tcPr>
          <w:p w14:paraId="039CDA46" w14:textId="77777777" w:rsidR="00286ABF" w:rsidRPr="000F1A58" w:rsidRDefault="00286ABF" w:rsidP="00633EF1">
            <w:pPr>
              <w:spacing w:before="0" w:after="0"/>
              <w:jc w:val="center"/>
              <w:rPr>
                <w:rFonts w:eastAsia="Times New Roman" w:cs="Times New Roman"/>
                <w:sz w:val="18"/>
                <w:szCs w:val="18"/>
                <w:lang w:eastAsia="de-DE"/>
              </w:rPr>
            </w:pPr>
          </w:p>
        </w:tc>
        <w:tc>
          <w:tcPr>
            <w:tcW w:w="892" w:type="dxa"/>
            <w:tcBorders>
              <w:bottom w:val="single" w:sz="4" w:space="0" w:color="auto"/>
            </w:tcBorders>
            <w:shd w:val="clear" w:color="auto" w:fill="auto"/>
            <w:hideMark/>
          </w:tcPr>
          <w:p w14:paraId="336E636E"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0.75</w:t>
            </w:r>
          </w:p>
        </w:tc>
        <w:tc>
          <w:tcPr>
            <w:tcW w:w="892" w:type="dxa"/>
            <w:tcBorders>
              <w:bottom w:val="single" w:sz="4" w:space="0" w:color="auto"/>
            </w:tcBorders>
            <w:shd w:val="clear" w:color="auto" w:fill="auto"/>
            <w:hideMark/>
          </w:tcPr>
          <w:p w14:paraId="2CE94F0D"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1</w:t>
            </w:r>
          </w:p>
        </w:tc>
        <w:tc>
          <w:tcPr>
            <w:tcW w:w="892" w:type="dxa"/>
            <w:tcBorders>
              <w:bottom w:val="single" w:sz="4" w:space="0" w:color="auto"/>
            </w:tcBorders>
            <w:shd w:val="clear" w:color="auto" w:fill="auto"/>
            <w:hideMark/>
          </w:tcPr>
          <w:p w14:paraId="0D8A6245"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0.16</w:t>
            </w:r>
          </w:p>
        </w:tc>
        <w:tc>
          <w:tcPr>
            <w:tcW w:w="892" w:type="dxa"/>
            <w:tcBorders>
              <w:bottom w:val="single" w:sz="4" w:space="0" w:color="auto"/>
            </w:tcBorders>
            <w:shd w:val="clear" w:color="auto" w:fill="auto"/>
            <w:hideMark/>
          </w:tcPr>
          <w:p w14:paraId="10E89B8E"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0.48</w:t>
            </w:r>
          </w:p>
        </w:tc>
        <w:tc>
          <w:tcPr>
            <w:tcW w:w="892" w:type="dxa"/>
            <w:tcBorders>
              <w:bottom w:val="single" w:sz="4" w:space="0" w:color="auto"/>
            </w:tcBorders>
            <w:shd w:val="clear" w:color="auto" w:fill="auto"/>
            <w:hideMark/>
          </w:tcPr>
          <w:p w14:paraId="46A449B0"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0.8</w:t>
            </w:r>
          </w:p>
        </w:tc>
      </w:tr>
    </w:tbl>
    <w:p w14:paraId="4BF19CE6" w14:textId="6FD8ECBE" w:rsidR="00286ABF" w:rsidRPr="000F1A58" w:rsidRDefault="00286ABF" w:rsidP="00286ABF">
      <w:pPr>
        <w:pStyle w:val="Caption"/>
      </w:pPr>
      <w:r w:rsidRPr="000F1A58">
        <w:lastRenderedPageBreak/>
        <w:t>Table S</w:t>
      </w:r>
      <w:r w:rsidR="00B21E62" w:rsidRPr="000F1A58">
        <w:t>4</w:t>
      </w:r>
      <w:r w:rsidR="005D6324" w:rsidRPr="000F1A58">
        <w:t>.</w:t>
      </w:r>
      <w:r w:rsidRPr="000F1A58">
        <w:t xml:space="preserve"> </w:t>
      </w:r>
      <w:r w:rsidRPr="000F1A58">
        <w:rPr>
          <w:b w:val="0"/>
        </w:rPr>
        <w:t>Sensitivity/power analysis for behavioral effects</w:t>
      </w:r>
      <w:r w:rsidR="005D6324" w:rsidRPr="000F1A58">
        <w:rPr>
          <w:b w:val="0"/>
        </w:rPr>
        <w:t>.</w:t>
      </w:r>
    </w:p>
    <w:tbl>
      <w:tblPr>
        <w:tblW w:w="9848" w:type="dxa"/>
        <w:tblCellMar>
          <w:left w:w="70" w:type="dxa"/>
          <w:right w:w="70" w:type="dxa"/>
        </w:tblCellMar>
        <w:tblLook w:val="04A0" w:firstRow="1" w:lastRow="0" w:firstColumn="1" w:lastColumn="0" w:noHBand="0" w:noVBand="1"/>
      </w:tblPr>
      <w:tblGrid>
        <w:gridCol w:w="2127"/>
        <w:gridCol w:w="495"/>
        <w:gridCol w:w="2243"/>
        <w:gridCol w:w="996"/>
        <w:gridCol w:w="997"/>
        <w:gridCol w:w="996"/>
        <w:gridCol w:w="996"/>
        <w:gridCol w:w="998"/>
      </w:tblGrid>
      <w:tr w:rsidR="00286ABF" w:rsidRPr="000F1A58" w14:paraId="42974665" w14:textId="77777777" w:rsidTr="00422A49">
        <w:trPr>
          <w:trHeight w:val="454"/>
        </w:trPr>
        <w:tc>
          <w:tcPr>
            <w:tcW w:w="2127" w:type="dxa"/>
            <w:vMerge w:val="restart"/>
            <w:tcBorders>
              <w:top w:val="single" w:sz="4" w:space="0" w:color="auto"/>
            </w:tcBorders>
            <w:shd w:val="clear" w:color="auto" w:fill="auto"/>
            <w:noWrap/>
            <w:vAlign w:val="center"/>
            <w:hideMark/>
          </w:tcPr>
          <w:p w14:paraId="0F1D00EC" w14:textId="77777777" w:rsidR="00286ABF" w:rsidRPr="000F1A58" w:rsidRDefault="00286ABF" w:rsidP="00633EF1">
            <w:pPr>
              <w:spacing w:before="0" w:after="0"/>
              <w:jc w:val="center"/>
              <w:rPr>
                <w:rFonts w:eastAsia="Times New Roman" w:cs="Times New Roman"/>
                <w:sz w:val="18"/>
                <w:szCs w:val="18"/>
                <w:lang w:eastAsia="de-DE"/>
              </w:rPr>
            </w:pPr>
            <w:r w:rsidRPr="000F1A58">
              <w:rPr>
                <w:rFonts w:ascii="Calibri" w:eastAsia="Times New Roman" w:hAnsi="Calibri" w:cs="Calibri"/>
                <w:b/>
                <w:bCs/>
                <w:color w:val="000000"/>
                <w:sz w:val="18"/>
                <w:szCs w:val="18"/>
                <w:lang w:eastAsia="de-DE"/>
              </w:rPr>
              <w:t>Study</w:t>
            </w:r>
          </w:p>
        </w:tc>
        <w:tc>
          <w:tcPr>
            <w:tcW w:w="495" w:type="dxa"/>
            <w:vMerge w:val="restart"/>
            <w:tcBorders>
              <w:top w:val="single" w:sz="4" w:space="0" w:color="auto"/>
            </w:tcBorders>
            <w:shd w:val="clear" w:color="auto" w:fill="auto"/>
            <w:noWrap/>
            <w:vAlign w:val="center"/>
            <w:hideMark/>
          </w:tcPr>
          <w:p w14:paraId="66B90E49" w14:textId="77777777" w:rsidR="00286ABF" w:rsidRPr="000F1A58" w:rsidRDefault="00286ABF" w:rsidP="00633EF1">
            <w:pPr>
              <w:spacing w:before="0" w:after="0"/>
              <w:jc w:val="center"/>
              <w:rPr>
                <w:rFonts w:eastAsia="Times New Roman" w:cs="Times New Roman"/>
                <w:sz w:val="18"/>
                <w:szCs w:val="18"/>
                <w:lang w:eastAsia="de-DE"/>
              </w:rPr>
            </w:pPr>
            <w:r w:rsidRPr="000F1A58">
              <w:rPr>
                <w:rFonts w:ascii="Calibri" w:eastAsia="Times New Roman" w:hAnsi="Calibri" w:cs="Calibri"/>
                <w:b/>
                <w:bCs/>
                <w:color w:val="000000"/>
                <w:sz w:val="18"/>
                <w:szCs w:val="18"/>
                <w:lang w:eastAsia="de-DE"/>
              </w:rPr>
              <w:t>N</w:t>
            </w:r>
          </w:p>
        </w:tc>
        <w:tc>
          <w:tcPr>
            <w:tcW w:w="2243" w:type="dxa"/>
            <w:vMerge w:val="restart"/>
            <w:tcBorders>
              <w:top w:val="single" w:sz="4" w:space="0" w:color="auto"/>
            </w:tcBorders>
            <w:shd w:val="clear" w:color="auto" w:fill="auto"/>
            <w:noWrap/>
            <w:vAlign w:val="center"/>
            <w:hideMark/>
          </w:tcPr>
          <w:p w14:paraId="6465FB55" w14:textId="49BDA4DD" w:rsidR="00286ABF" w:rsidRPr="000F1A58" w:rsidRDefault="008E6B50" w:rsidP="00633EF1">
            <w:pPr>
              <w:spacing w:before="0" w:after="0"/>
              <w:jc w:val="center"/>
              <w:rPr>
                <w:rFonts w:eastAsia="Times New Roman" w:cs="Times New Roman"/>
                <w:sz w:val="18"/>
                <w:szCs w:val="18"/>
                <w:lang w:eastAsia="de-DE"/>
              </w:rPr>
            </w:pPr>
            <w:r w:rsidRPr="000F1A58">
              <w:rPr>
                <w:rFonts w:ascii="Calibri" w:eastAsia="Times New Roman" w:hAnsi="Calibri" w:cs="Calibri"/>
                <w:b/>
                <w:bCs/>
                <w:color w:val="000000"/>
                <w:sz w:val="18"/>
                <w:szCs w:val="18"/>
                <w:lang w:eastAsia="de-DE"/>
              </w:rPr>
              <w:t>T</w:t>
            </w:r>
            <w:r w:rsidR="00286ABF" w:rsidRPr="000F1A58">
              <w:rPr>
                <w:rFonts w:ascii="Calibri" w:eastAsia="Times New Roman" w:hAnsi="Calibri" w:cs="Calibri"/>
                <w:b/>
                <w:bCs/>
                <w:color w:val="000000"/>
                <w:sz w:val="18"/>
                <w:szCs w:val="18"/>
                <w:lang w:eastAsia="de-DE"/>
              </w:rPr>
              <w:t>est</w:t>
            </w:r>
          </w:p>
        </w:tc>
        <w:tc>
          <w:tcPr>
            <w:tcW w:w="1993" w:type="dxa"/>
            <w:gridSpan w:val="2"/>
            <w:tcBorders>
              <w:top w:val="single" w:sz="4" w:space="0" w:color="auto"/>
              <w:bottom w:val="single" w:sz="4" w:space="0" w:color="auto"/>
            </w:tcBorders>
            <w:shd w:val="clear" w:color="auto" w:fill="auto"/>
            <w:noWrap/>
            <w:vAlign w:val="center"/>
            <w:hideMark/>
          </w:tcPr>
          <w:p w14:paraId="3767CC8A" w14:textId="77777777" w:rsidR="00286ABF" w:rsidRPr="000F1A58" w:rsidRDefault="00286ABF" w:rsidP="00633EF1">
            <w:pPr>
              <w:spacing w:before="0" w:after="0"/>
              <w:jc w:val="center"/>
              <w:rPr>
                <w:rFonts w:ascii="Calibri" w:eastAsia="Times New Roman" w:hAnsi="Calibri" w:cs="Calibri"/>
                <w:b/>
                <w:bCs/>
                <w:color w:val="000000"/>
                <w:sz w:val="18"/>
                <w:szCs w:val="18"/>
                <w:lang w:eastAsia="de-DE"/>
              </w:rPr>
            </w:pPr>
            <w:r w:rsidRPr="000F1A58">
              <w:rPr>
                <w:rFonts w:ascii="Calibri" w:eastAsia="Times New Roman" w:hAnsi="Calibri" w:cs="Calibri"/>
                <w:b/>
                <w:bCs/>
                <w:color w:val="000000"/>
                <w:sz w:val="18"/>
                <w:szCs w:val="18"/>
                <w:lang w:eastAsia="de-DE"/>
              </w:rPr>
              <w:t>Sensitivity</w:t>
            </w:r>
          </w:p>
        </w:tc>
        <w:tc>
          <w:tcPr>
            <w:tcW w:w="2990" w:type="dxa"/>
            <w:gridSpan w:val="3"/>
            <w:tcBorders>
              <w:top w:val="single" w:sz="4" w:space="0" w:color="auto"/>
              <w:bottom w:val="single" w:sz="4" w:space="0" w:color="auto"/>
            </w:tcBorders>
            <w:shd w:val="clear" w:color="auto" w:fill="auto"/>
            <w:noWrap/>
            <w:vAlign w:val="center"/>
            <w:hideMark/>
          </w:tcPr>
          <w:p w14:paraId="241E89C0" w14:textId="77777777" w:rsidR="00286ABF" w:rsidRPr="000F1A58" w:rsidRDefault="00286ABF" w:rsidP="00633EF1">
            <w:pPr>
              <w:spacing w:before="0" w:after="0"/>
              <w:jc w:val="center"/>
              <w:rPr>
                <w:rFonts w:ascii="Calibri" w:eastAsia="Times New Roman" w:hAnsi="Calibri" w:cs="Calibri"/>
                <w:b/>
                <w:bCs/>
                <w:color w:val="000000"/>
                <w:sz w:val="18"/>
                <w:szCs w:val="18"/>
                <w:lang w:eastAsia="de-DE"/>
              </w:rPr>
            </w:pPr>
            <w:r w:rsidRPr="000F1A58">
              <w:rPr>
                <w:rFonts w:ascii="Calibri" w:eastAsia="Times New Roman" w:hAnsi="Calibri" w:cs="Calibri"/>
                <w:b/>
                <w:bCs/>
                <w:color w:val="000000"/>
                <w:sz w:val="18"/>
                <w:szCs w:val="18"/>
                <w:lang w:eastAsia="de-DE"/>
              </w:rPr>
              <w:t>Power to detect</w:t>
            </w:r>
          </w:p>
        </w:tc>
      </w:tr>
      <w:tr w:rsidR="00286ABF" w:rsidRPr="000F1A58" w14:paraId="771107E9" w14:textId="77777777" w:rsidTr="00422A49">
        <w:trPr>
          <w:trHeight w:val="454"/>
        </w:trPr>
        <w:tc>
          <w:tcPr>
            <w:tcW w:w="2127" w:type="dxa"/>
            <w:vMerge/>
            <w:tcBorders>
              <w:bottom w:val="single" w:sz="4" w:space="0" w:color="auto"/>
            </w:tcBorders>
            <w:shd w:val="clear" w:color="auto" w:fill="auto"/>
            <w:noWrap/>
            <w:vAlign w:val="center"/>
            <w:hideMark/>
          </w:tcPr>
          <w:p w14:paraId="40745AA5" w14:textId="77777777" w:rsidR="00286ABF" w:rsidRPr="000F1A58" w:rsidRDefault="00286ABF" w:rsidP="00633EF1">
            <w:pPr>
              <w:spacing w:before="0" w:after="0"/>
              <w:jc w:val="center"/>
              <w:rPr>
                <w:rFonts w:ascii="Calibri" w:eastAsia="Times New Roman" w:hAnsi="Calibri" w:cs="Calibri"/>
                <w:b/>
                <w:bCs/>
                <w:color w:val="000000"/>
                <w:sz w:val="18"/>
                <w:szCs w:val="18"/>
                <w:lang w:eastAsia="de-DE"/>
              </w:rPr>
            </w:pPr>
          </w:p>
        </w:tc>
        <w:tc>
          <w:tcPr>
            <w:tcW w:w="495" w:type="dxa"/>
            <w:vMerge/>
            <w:tcBorders>
              <w:bottom w:val="single" w:sz="4" w:space="0" w:color="auto"/>
            </w:tcBorders>
            <w:shd w:val="clear" w:color="auto" w:fill="auto"/>
            <w:noWrap/>
            <w:vAlign w:val="center"/>
            <w:hideMark/>
          </w:tcPr>
          <w:p w14:paraId="4AC6507F" w14:textId="77777777" w:rsidR="00286ABF" w:rsidRPr="000F1A58" w:rsidRDefault="00286ABF" w:rsidP="00633EF1">
            <w:pPr>
              <w:spacing w:before="0" w:after="0"/>
              <w:jc w:val="center"/>
              <w:rPr>
                <w:rFonts w:ascii="Calibri" w:eastAsia="Times New Roman" w:hAnsi="Calibri" w:cs="Calibri"/>
                <w:b/>
                <w:bCs/>
                <w:color w:val="000000"/>
                <w:sz w:val="18"/>
                <w:szCs w:val="18"/>
                <w:lang w:eastAsia="de-DE"/>
              </w:rPr>
            </w:pPr>
          </w:p>
        </w:tc>
        <w:tc>
          <w:tcPr>
            <w:tcW w:w="2243" w:type="dxa"/>
            <w:vMerge/>
            <w:tcBorders>
              <w:bottom w:val="single" w:sz="4" w:space="0" w:color="auto"/>
            </w:tcBorders>
            <w:shd w:val="clear" w:color="auto" w:fill="auto"/>
            <w:noWrap/>
            <w:vAlign w:val="center"/>
            <w:hideMark/>
          </w:tcPr>
          <w:p w14:paraId="350AE8D6" w14:textId="77777777" w:rsidR="00286ABF" w:rsidRPr="000F1A58" w:rsidRDefault="00286ABF" w:rsidP="00633EF1">
            <w:pPr>
              <w:spacing w:before="0" w:after="0"/>
              <w:jc w:val="center"/>
              <w:rPr>
                <w:rFonts w:ascii="Calibri" w:eastAsia="Times New Roman" w:hAnsi="Calibri" w:cs="Calibri"/>
                <w:b/>
                <w:bCs/>
                <w:color w:val="000000"/>
                <w:sz w:val="18"/>
                <w:szCs w:val="18"/>
                <w:lang w:eastAsia="de-DE"/>
              </w:rPr>
            </w:pPr>
          </w:p>
        </w:tc>
        <w:tc>
          <w:tcPr>
            <w:tcW w:w="996" w:type="dxa"/>
            <w:tcBorders>
              <w:top w:val="single" w:sz="4" w:space="0" w:color="auto"/>
              <w:bottom w:val="single" w:sz="4" w:space="0" w:color="auto"/>
            </w:tcBorders>
            <w:shd w:val="clear" w:color="auto" w:fill="auto"/>
            <w:noWrap/>
            <w:vAlign w:val="center"/>
            <w:hideMark/>
          </w:tcPr>
          <w:p w14:paraId="7E932544" w14:textId="77777777" w:rsidR="00286ABF" w:rsidRPr="000F1A58" w:rsidRDefault="00286ABF" w:rsidP="00633EF1">
            <w:pPr>
              <w:spacing w:before="0" w:after="0"/>
              <w:jc w:val="center"/>
              <w:rPr>
                <w:rFonts w:ascii="Calibri" w:eastAsia="Times New Roman" w:hAnsi="Calibri" w:cs="Calibri"/>
                <w:b/>
                <w:bCs/>
                <w:color w:val="000000"/>
                <w:sz w:val="18"/>
                <w:szCs w:val="18"/>
                <w:lang w:eastAsia="de-DE"/>
              </w:rPr>
            </w:pPr>
            <w:r w:rsidRPr="000F1A58">
              <w:rPr>
                <w:rFonts w:ascii="Calibri" w:eastAsia="Times New Roman" w:hAnsi="Calibri" w:cs="Calibri"/>
                <w:b/>
                <w:bCs/>
                <w:color w:val="000000"/>
                <w:sz w:val="18"/>
                <w:szCs w:val="18"/>
                <w:lang w:eastAsia="de-DE"/>
              </w:rPr>
              <w:t>80%</w:t>
            </w:r>
          </w:p>
        </w:tc>
        <w:tc>
          <w:tcPr>
            <w:tcW w:w="997" w:type="dxa"/>
            <w:tcBorders>
              <w:top w:val="single" w:sz="4" w:space="0" w:color="auto"/>
              <w:bottom w:val="single" w:sz="4" w:space="0" w:color="auto"/>
            </w:tcBorders>
            <w:shd w:val="clear" w:color="auto" w:fill="auto"/>
            <w:noWrap/>
            <w:vAlign w:val="center"/>
            <w:hideMark/>
          </w:tcPr>
          <w:p w14:paraId="6E09A580" w14:textId="77777777" w:rsidR="00286ABF" w:rsidRPr="000F1A58" w:rsidRDefault="00286ABF" w:rsidP="00633EF1">
            <w:pPr>
              <w:spacing w:before="0" w:after="0"/>
              <w:jc w:val="center"/>
              <w:rPr>
                <w:rFonts w:ascii="Calibri" w:eastAsia="Times New Roman" w:hAnsi="Calibri" w:cs="Calibri"/>
                <w:b/>
                <w:bCs/>
                <w:color w:val="000000"/>
                <w:sz w:val="18"/>
                <w:szCs w:val="18"/>
                <w:lang w:eastAsia="de-DE"/>
              </w:rPr>
            </w:pPr>
            <w:r w:rsidRPr="000F1A58">
              <w:rPr>
                <w:rFonts w:ascii="Calibri" w:eastAsia="Times New Roman" w:hAnsi="Calibri" w:cs="Calibri"/>
                <w:b/>
                <w:bCs/>
                <w:color w:val="000000"/>
                <w:sz w:val="18"/>
                <w:szCs w:val="18"/>
                <w:lang w:eastAsia="de-DE"/>
              </w:rPr>
              <w:t>95%</w:t>
            </w:r>
          </w:p>
        </w:tc>
        <w:tc>
          <w:tcPr>
            <w:tcW w:w="996" w:type="dxa"/>
            <w:tcBorders>
              <w:top w:val="single" w:sz="4" w:space="0" w:color="auto"/>
              <w:bottom w:val="single" w:sz="4" w:space="0" w:color="auto"/>
            </w:tcBorders>
            <w:shd w:val="clear" w:color="auto" w:fill="auto"/>
            <w:noWrap/>
            <w:vAlign w:val="center"/>
            <w:hideMark/>
          </w:tcPr>
          <w:p w14:paraId="031F0CD3" w14:textId="77777777" w:rsidR="00286ABF" w:rsidRPr="000F1A58" w:rsidRDefault="00286ABF" w:rsidP="00633EF1">
            <w:pPr>
              <w:spacing w:before="0" w:after="0"/>
              <w:rPr>
                <w:rFonts w:ascii="Calibri" w:eastAsia="Times New Roman" w:hAnsi="Calibri" w:cs="Calibri"/>
                <w:b/>
                <w:bCs/>
                <w:color w:val="000000"/>
                <w:sz w:val="18"/>
                <w:szCs w:val="18"/>
                <w:lang w:eastAsia="de-DE"/>
              </w:rPr>
            </w:pPr>
            <w:r w:rsidRPr="000F1A58">
              <w:rPr>
                <w:rFonts w:ascii="Calibri" w:eastAsia="Times New Roman" w:hAnsi="Calibri" w:cs="Calibri"/>
                <w:b/>
                <w:bCs/>
                <w:color w:val="000000"/>
                <w:sz w:val="18"/>
                <w:szCs w:val="18"/>
                <w:lang w:eastAsia="de-DE"/>
              </w:rPr>
              <w:t>d = 0.2</w:t>
            </w:r>
          </w:p>
        </w:tc>
        <w:tc>
          <w:tcPr>
            <w:tcW w:w="996" w:type="dxa"/>
            <w:tcBorders>
              <w:top w:val="single" w:sz="4" w:space="0" w:color="auto"/>
              <w:bottom w:val="single" w:sz="4" w:space="0" w:color="auto"/>
            </w:tcBorders>
            <w:shd w:val="clear" w:color="auto" w:fill="auto"/>
            <w:noWrap/>
            <w:vAlign w:val="center"/>
            <w:hideMark/>
          </w:tcPr>
          <w:p w14:paraId="593BAEBA" w14:textId="77777777" w:rsidR="00286ABF" w:rsidRPr="000F1A58" w:rsidRDefault="00286ABF" w:rsidP="00633EF1">
            <w:pPr>
              <w:spacing w:before="0" w:after="0"/>
              <w:rPr>
                <w:rFonts w:ascii="Calibri" w:eastAsia="Times New Roman" w:hAnsi="Calibri" w:cs="Calibri"/>
                <w:b/>
                <w:bCs/>
                <w:color w:val="000000"/>
                <w:sz w:val="18"/>
                <w:szCs w:val="18"/>
                <w:lang w:eastAsia="de-DE"/>
              </w:rPr>
            </w:pPr>
            <w:r w:rsidRPr="000F1A58">
              <w:rPr>
                <w:rFonts w:ascii="Calibri" w:eastAsia="Times New Roman" w:hAnsi="Calibri" w:cs="Calibri"/>
                <w:b/>
                <w:bCs/>
                <w:color w:val="000000"/>
                <w:sz w:val="18"/>
                <w:szCs w:val="18"/>
                <w:lang w:eastAsia="de-DE"/>
              </w:rPr>
              <w:t>d = 0.5</w:t>
            </w:r>
          </w:p>
        </w:tc>
        <w:tc>
          <w:tcPr>
            <w:tcW w:w="998" w:type="dxa"/>
            <w:tcBorders>
              <w:top w:val="single" w:sz="4" w:space="0" w:color="auto"/>
              <w:bottom w:val="single" w:sz="4" w:space="0" w:color="auto"/>
            </w:tcBorders>
            <w:shd w:val="clear" w:color="auto" w:fill="auto"/>
            <w:noWrap/>
            <w:vAlign w:val="center"/>
            <w:hideMark/>
          </w:tcPr>
          <w:p w14:paraId="61AAF8A0" w14:textId="77777777" w:rsidR="00286ABF" w:rsidRPr="000F1A58" w:rsidRDefault="00286ABF" w:rsidP="00633EF1">
            <w:pPr>
              <w:spacing w:before="0" w:after="0"/>
              <w:rPr>
                <w:rFonts w:ascii="Calibri" w:eastAsia="Times New Roman" w:hAnsi="Calibri" w:cs="Calibri"/>
                <w:b/>
                <w:bCs/>
                <w:color w:val="000000"/>
                <w:sz w:val="18"/>
                <w:szCs w:val="18"/>
                <w:lang w:eastAsia="de-DE"/>
              </w:rPr>
            </w:pPr>
            <w:r w:rsidRPr="000F1A58">
              <w:rPr>
                <w:rFonts w:ascii="Calibri" w:eastAsia="Times New Roman" w:hAnsi="Calibri" w:cs="Calibri"/>
                <w:b/>
                <w:bCs/>
                <w:color w:val="000000"/>
                <w:sz w:val="18"/>
                <w:szCs w:val="18"/>
                <w:lang w:eastAsia="de-DE"/>
              </w:rPr>
              <w:t>d = 0.8</w:t>
            </w:r>
          </w:p>
        </w:tc>
      </w:tr>
      <w:tr w:rsidR="00286ABF" w:rsidRPr="000F1A58" w14:paraId="03A9CE89" w14:textId="77777777" w:rsidTr="00422A49">
        <w:trPr>
          <w:trHeight w:val="454"/>
        </w:trPr>
        <w:tc>
          <w:tcPr>
            <w:tcW w:w="2127" w:type="dxa"/>
            <w:tcBorders>
              <w:top w:val="single" w:sz="4" w:space="0" w:color="auto"/>
            </w:tcBorders>
            <w:shd w:val="clear" w:color="auto" w:fill="auto"/>
            <w:noWrap/>
            <w:hideMark/>
          </w:tcPr>
          <w:p w14:paraId="63696429" w14:textId="77777777" w:rsidR="00286ABF" w:rsidRPr="000F1A58" w:rsidRDefault="00286ABF" w:rsidP="00633EF1">
            <w:pPr>
              <w:spacing w:before="0" w:after="0"/>
              <w:rPr>
                <w:rFonts w:ascii="Calibri" w:eastAsia="Times New Roman" w:hAnsi="Calibri" w:cs="Calibri"/>
                <w:color w:val="000000"/>
                <w:sz w:val="18"/>
                <w:szCs w:val="18"/>
                <w:lang w:eastAsia="de-DE"/>
              </w:rPr>
            </w:pPr>
            <w:proofErr w:type="spellStart"/>
            <w:r w:rsidRPr="000F1A58">
              <w:rPr>
                <w:rFonts w:ascii="Calibri" w:eastAsia="Times New Roman" w:hAnsi="Calibri" w:cs="Calibri"/>
                <w:color w:val="000000"/>
                <w:sz w:val="18"/>
                <w:szCs w:val="18"/>
                <w:lang w:eastAsia="de-DE"/>
              </w:rPr>
              <w:t>Aranyi</w:t>
            </w:r>
            <w:proofErr w:type="spellEnd"/>
            <w:r w:rsidRPr="000F1A58">
              <w:rPr>
                <w:rFonts w:ascii="Calibri" w:eastAsia="Times New Roman" w:hAnsi="Calibri" w:cs="Calibri"/>
                <w:color w:val="000000"/>
                <w:sz w:val="18"/>
                <w:szCs w:val="18"/>
                <w:lang w:eastAsia="de-DE"/>
              </w:rPr>
              <w:t xml:space="preserve"> et al. (2016)</w:t>
            </w:r>
          </w:p>
        </w:tc>
        <w:tc>
          <w:tcPr>
            <w:tcW w:w="495" w:type="dxa"/>
            <w:tcBorders>
              <w:top w:val="single" w:sz="4" w:space="0" w:color="auto"/>
            </w:tcBorders>
            <w:shd w:val="clear" w:color="auto" w:fill="auto"/>
            <w:noWrap/>
            <w:hideMark/>
          </w:tcPr>
          <w:p w14:paraId="5D347619"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17</w:t>
            </w:r>
          </w:p>
        </w:tc>
        <w:tc>
          <w:tcPr>
            <w:tcW w:w="2243" w:type="dxa"/>
            <w:tcBorders>
              <w:top w:val="single" w:sz="4" w:space="0" w:color="auto"/>
            </w:tcBorders>
            <w:shd w:val="clear" w:color="auto" w:fill="auto"/>
            <w:noWrap/>
            <w:hideMark/>
          </w:tcPr>
          <w:p w14:paraId="40A38AED"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correlation (1-sided)</w:t>
            </w:r>
          </w:p>
        </w:tc>
        <w:tc>
          <w:tcPr>
            <w:tcW w:w="996" w:type="dxa"/>
            <w:tcBorders>
              <w:top w:val="single" w:sz="4" w:space="0" w:color="auto"/>
            </w:tcBorders>
            <w:shd w:val="clear" w:color="auto" w:fill="auto"/>
            <w:noWrap/>
            <w:hideMark/>
          </w:tcPr>
          <w:p w14:paraId="5D158AE0"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1.37</w:t>
            </w:r>
          </w:p>
        </w:tc>
        <w:tc>
          <w:tcPr>
            <w:tcW w:w="997" w:type="dxa"/>
            <w:tcBorders>
              <w:top w:val="single" w:sz="4" w:space="0" w:color="auto"/>
            </w:tcBorders>
            <w:shd w:val="clear" w:color="auto" w:fill="auto"/>
            <w:noWrap/>
            <w:hideMark/>
          </w:tcPr>
          <w:p w14:paraId="1E7D98FB"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1.91</w:t>
            </w:r>
          </w:p>
        </w:tc>
        <w:tc>
          <w:tcPr>
            <w:tcW w:w="996" w:type="dxa"/>
            <w:tcBorders>
              <w:top w:val="single" w:sz="4" w:space="0" w:color="auto"/>
            </w:tcBorders>
            <w:shd w:val="clear" w:color="auto" w:fill="auto"/>
            <w:noWrap/>
            <w:hideMark/>
          </w:tcPr>
          <w:p w14:paraId="53629459"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0.1</w:t>
            </w:r>
          </w:p>
        </w:tc>
        <w:tc>
          <w:tcPr>
            <w:tcW w:w="996" w:type="dxa"/>
            <w:tcBorders>
              <w:top w:val="single" w:sz="4" w:space="0" w:color="auto"/>
            </w:tcBorders>
            <w:shd w:val="clear" w:color="auto" w:fill="auto"/>
            <w:noWrap/>
            <w:hideMark/>
          </w:tcPr>
          <w:p w14:paraId="07E1F8E5"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0.24</w:t>
            </w:r>
          </w:p>
        </w:tc>
        <w:tc>
          <w:tcPr>
            <w:tcW w:w="998" w:type="dxa"/>
            <w:tcBorders>
              <w:top w:val="single" w:sz="4" w:space="0" w:color="auto"/>
            </w:tcBorders>
            <w:shd w:val="clear" w:color="auto" w:fill="auto"/>
            <w:noWrap/>
            <w:hideMark/>
          </w:tcPr>
          <w:p w14:paraId="03162583"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0.45</w:t>
            </w:r>
          </w:p>
        </w:tc>
      </w:tr>
      <w:tr w:rsidR="00286ABF" w:rsidRPr="000F1A58" w14:paraId="736AD826" w14:textId="77777777" w:rsidTr="00422A49">
        <w:trPr>
          <w:trHeight w:val="454"/>
        </w:trPr>
        <w:tc>
          <w:tcPr>
            <w:tcW w:w="2127" w:type="dxa"/>
            <w:shd w:val="clear" w:color="auto" w:fill="auto"/>
            <w:hideMark/>
          </w:tcPr>
          <w:p w14:paraId="24651D3D" w14:textId="77777777" w:rsidR="00286ABF" w:rsidRPr="000F1A58" w:rsidRDefault="00286ABF" w:rsidP="00633EF1">
            <w:pPr>
              <w:spacing w:before="0" w:after="0"/>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Fujimoto et al. (2017)</w:t>
            </w:r>
          </w:p>
        </w:tc>
        <w:tc>
          <w:tcPr>
            <w:tcW w:w="495" w:type="dxa"/>
            <w:shd w:val="clear" w:color="auto" w:fill="auto"/>
            <w:hideMark/>
          </w:tcPr>
          <w:p w14:paraId="561F71DC"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20</w:t>
            </w:r>
          </w:p>
        </w:tc>
        <w:tc>
          <w:tcPr>
            <w:tcW w:w="2243" w:type="dxa"/>
            <w:shd w:val="clear" w:color="auto" w:fill="auto"/>
            <w:hideMark/>
          </w:tcPr>
          <w:p w14:paraId="0F5FE52C"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interaction of mixed-ANOVA (2x2)</w:t>
            </w:r>
          </w:p>
        </w:tc>
        <w:tc>
          <w:tcPr>
            <w:tcW w:w="996" w:type="dxa"/>
            <w:shd w:val="clear" w:color="auto" w:fill="auto"/>
            <w:hideMark/>
          </w:tcPr>
          <w:p w14:paraId="6CE7757D"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0.42</w:t>
            </w:r>
          </w:p>
        </w:tc>
        <w:tc>
          <w:tcPr>
            <w:tcW w:w="997" w:type="dxa"/>
            <w:shd w:val="clear" w:color="auto" w:fill="auto"/>
            <w:hideMark/>
          </w:tcPr>
          <w:p w14:paraId="06933892"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0.54</w:t>
            </w:r>
          </w:p>
        </w:tc>
        <w:tc>
          <w:tcPr>
            <w:tcW w:w="996" w:type="dxa"/>
            <w:shd w:val="clear" w:color="auto" w:fill="auto"/>
            <w:hideMark/>
          </w:tcPr>
          <w:p w14:paraId="58EDEBC4"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0.27</w:t>
            </w:r>
          </w:p>
        </w:tc>
        <w:tc>
          <w:tcPr>
            <w:tcW w:w="996" w:type="dxa"/>
            <w:shd w:val="clear" w:color="auto" w:fill="auto"/>
            <w:hideMark/>
          </w:tcPr>
          <w:p w14:paraId="3A7A96EB"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0.92</w:t>
            </w:r>
          </w:p>
        </w:tc>
        <w:tc>
          <w:tcPr>
            <w:tcW w:w="998" w:type="dxa"/>
            <w:shd w:val="clear" w:color="auto" w:fill="auto"/>
            <w:hideMark/>
          </w:tcPr>
          <w:p w14:paraId="0BFC919C"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1</w:t>
            </w:r>
          </w:p>
        </w:tc>
      </w:tr>
      <w:tr w:rsidR="00286ABF" w:rsidRPr="000F1A58" w14:paraId="60A7FE6B" w14:textId="77777777" w:rsidTr="00422A49">
        <w:trPr>
          <w:trHeight w:val="454"/>
        </w:trPr>
        <w:tc>
          <w:tcPr>
            <w:tcW w:w="2127" w:type="dxa"/>
            <w:shd w:val="clear" w:color="auto" w:fill="auto"/>
            <w:hideMark/>
          </w:tcPr>
          <w:p w14:paraId="64F318C6" w14:textId="77777777" w:rsidR="00286ABF" w:rsidRPr="000F1A58" w:rsidRDefault="00286ABF" w:rsidP="00633EF1">
            <w:pPr>
              <w:spacing w:before="0" w:after="0"/>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Hosseini et al. (2016)</w:t>
            </w:r>
          </w:p>
        </w:tc>
        <w:tc>
          <w:tcPr>
            <w:tcW w:w="495" w:type="dxa"/>
            <w:shd w:val="clear" w:color="auto" w:fill="auto"/>
            <w:hideMark/>
          </w:tcPr>
          <w:p w14:paraId="5D0A3E38"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20</w:t>
            </w:r>
          </w:p>
        </w:tc>
        <w:tc>
          <w:tcPr>
            <w:tcW w:w="2243" w:type="dxa"/>
            <w:shd w:val="clear" w:color="auto" w:fill="auto"/>
            <w:hideMark/>
          </w:tcPr>
          <w:p w14:paraId="6D01BF76"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interaction of mixed-ANOVA (2x2)</w:t>
            </w:r>
          </w:p>
        </w:tc>
        <w:tc>
          <w:tcPr>
            <w:tcW w:w="996" w:type="dxa"/>
            <w:shd w:val="clear" w:color="auto" w:fill="auto"/>
            <w:hideMark/>
          </w:tcPr>
          <w:p w14:paraId="771AF8E4"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0.42</w:t>
            </w:r>
          </w:p>
        </w:tc>
        <w:tc>
          <w:tcPr>
            <w:tcW w:w="997" w:type="dxa"/>
            <w:shd w:val="clear" w:color="auto" w:fill="auto"/>
            <w:hideMark/>
          </w:tcPr>
          <w:p w14:paraId="60CB39BD"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0.54</w:t>
            </w:r>
          </w:p>
        </w:tc>
        <w:tc>
          <w:tcPr>
            <w:tcW w:w="996" w:type="dxa"/>
            <w:shd w:val="clear" w:color="auto" w:fill="auto"/>
            <w:hideMark/>
          </w:tcPr>
          <w:p w14:paraId="6F72EBB0"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0.27</w:t>
            </w:r>
          </w:p>
        </w:tc>
        <w:tc>
          <w:tcPr>
            <w:tcW w:w="996" w:type="dxa"/>
            <w:shd w:val="clear" w:color="auto" w:fill="auto"/>
            <w:hideMark/>
          </w:tcPr>
          <w:p w14:paraId="26C8AB96"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0.92</w:t>
            </w:r>
          </w:p>
        </w:tc>
        <w:tc>
          <w:tcPr>
            <w:tcW w:w="998" w:type="dxa"/>
            <w:shd w:val="clear" w:color="auto" w:fill="auto"/>
            <w:hideMark/>
          </w:tcPr>
          <w:p w14:paraId="7B6B5BA7"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1</w:t>
            </w:r>
          </w:p>
        </w:tc>
      </w:tr>
      <w:tr w:rsidR="00286ABF" w:rsidRPr="000F1A58" w14:paraId="04FF355C" w14:textId="77777777" w:rsidTr="00422A49">
        <w:trPr>
          <w:trHeight w:val="454"/>
        </w:trPr>
        <w:tc>
          <w:tcPr>
            <w:tcW w:w="2127" w:type="dxa"/>
            <w:shd w:val="clear" w:color="auto" w:fill="auto"/>
            <w:hideMark/>
          </w:tcPr>
          <w:p w14:paraId="27D82650" w14:textId="77777777" w:rsidR="00286ABF" w:rsidRPr="000F1A58" w:rsidRDefault="00286ABF" w:rsidP="00633EF1">
            <w:pPr>
              <w:spacing w:before="0" w:after="0"/>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Hudak et al. (2017)</w:t>
            </w:r>
          </w:p>
        </w:tc>
        <w:tc>
          <w:tcPr>
            <w:tcW w:w="495" w:type="dxa"/>
            <w:shd w:val="clear" w:color="auto" w:fill="auto"/>
            <w:hideMark/>
          </w:tcPr>
          <w:p w14:paraId="2A42A3EE"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20</w:t>
            </w:r>
          </w:p>
        </w:tc>
        <w:tc>
          <w:tcPr>
            <w:tcW w:w="2243" w:type="dxa"/>
            <w:shd w:val="clear" w:color="auto" w:fill="auto"/>
            <w:hideMark/>
          </w:tcPr>
          <w:p w14:paraId="5997A545"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interaction of mixed-ANOVA (2x2)</w:t>
            </w:r>
          </w:p>
        </w:tc>
        <w:tc>
          <w:tcPr>
            <w:tcW w:w="996" w:type="dxa"/>
            <w:shd w:val="clear" w:color="auto" w:fill="auto"/>
            <w:hideMark/>
          </w:tcPr>
          <w:p w14:paraId="29AC30AB"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0.42</w:t>
            </w:r>
          </w:p>
        </w:tc>
        <w:tc>
          <w:tcPr>
            <w:tcW w:w="997" w:type="dxa"/>
            <w:shd w:val="clear" w:color="auto" w:fill="auto"/>
            <w:hideMark/>
          </w:tcPr>
          <w:p w14:paraId="4DD3D97A"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0.54</w:t>
            </w:r>
          </w:p>
        </w:tc>
        <w:tc>
          <w:tcPr>
            <w:tcW w:w="996" w:type="dxa"/>
            <w:shd w:val="clear" w:color="auto" w:fill="auto"/>
            <w:hideMark/>
          </w:tcPr>
          <w:p w14:paraId="534AF07D"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0.27</w:t>
            </w:r>
          </w:p>
        </w:tc>
        <w:tc>
          <w:tcPr>
            <w:tcW w:w="996" w:type="dxa"/>
            <w:shd w:val="clear" w:color="auto" w:fill="auto"/>
            <w:hideMark/>
          </w:tcPr>
          <w:p w14:paraId="7CF8DD13"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0.92</w:t>
            </w:r>
          </w:p>
        </w:tc>
        <w:tc>
          <w:tcPr>
            <w:tcW w:w="998" w:type="dxa"/>
            <w:shd w:val="clear" w:color="auto" w:fill="auto"/>
            <w:hideMark/>
          </w:tcPr>
          <w:p w14:paraId="724610CB"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1</w:t>
            </w:r>
          </w:p>
        </w:tc>
      </w:tr>
      <w:tr w:rsidR="00286ABF" w:rsidRPr="000F1A58" w14:paraId="1748F697" w14:textId="77777777" w:rsidTr="00422A49">
        <w:trPr>
          <w:trHeight w:val="454"/>
        </w:trPr>
        <w:tc>
          <w:tcPr>
            <w:tcW w:w="2127" w:type="dxa"/>
            <w:shd w:val="clear" w:color="auto" w:fill="auto"/>
            <w:hideMark/>
          </w:tcPr>
          <w:p w14:paraId="4DAEB667" w14:textId="77777777" w:rsidR="00286ABF" w:rsidRPr="000F1A58" w:rsidRDefault="00286ABF" w:rsidP="00633EF1">
            <w:pPr>
              <w:spacing w:before="0" w:after="0"/>
              <w:rPr>
                <w:rFonts w:ascii="Calibri" w:eastAsia="Times New Roman" w:hAnsi="Calibri" w:cs="Calibri"/>
                <w:color w:val="000000"/>
                <w:sz w:val="18"/>
                <w:szCs w:val="18"/>
                <w:lang w:eastAsia="de-DE"/>
              </w:rPr>
            </w:pPr>
            <w:proofErr w:type="spellStart"/>
            <w:r w:rsidRPr="000F1A58">
              <w:rPr>
                <w:rFonts w:ascii="Calibri" w:eastAsia="Times New Roman" w:hAnsi="Calibri" w:cs="Calibri"/>
                <w:color w:val="000000"/>
                <w:sz w:val="18"/>
                <w:szCs w:val="18"/>
                <w:lang w:eastAsia="de-DE"/>
              </w:rPr>
              <w:t>Kimmig</w:t>
            </w:r>
            <w:proofErr w:type="spellEnd"/>
            <w:r w:rsidRPr="000F1A58">
              <w:rPr>
                <w:rFonts w:ascii="Calibri" w:eastAsia="Times New Roman" w:hAnsi="Calibri" w:cs="Calibri"/>
                <w:color w:val="000000"/>
                <w:sz w:val="18"/>
                <w:szCs w:val="18"/>
                <w:lang w:eastAsia="de-DE"/>
              </w:rPr>
              <w:t xml:space="preserve"> et al. (2018)</w:t>
            </w:r>
          </w:p>
        </w:tc>
        <w:tc>
          <w:tcPr>
            <w:tcW w:w="495" w:type="dxa"/>
            <w:shd w:val="clear" w:color="auto" w:fill="auto"/>
            <w:hideMark/>
          </w:tcPr>
          <w:p w14:paraId="42987F29"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11</w:t>
            </w:r>
          </w:p>
        </w:tc>
        <w:tc>
          <w:tcPr>
            <w:tcW w:w="2243" w:type="dxa"/>
            <w:shd w:val="clear" w:color="auto" w:fill="auto"/>
            <w:hideMark/>
          </w:tcPr>
          <w:p w14:paraId="6F531764"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paired t-test (1-sided)</w:t>
            </w:r>
          </w:p>
        </w:tc>
        <w:tc>
          <w:tcPr>
            <w:tcW w:w="996" w:type="dxa"/>
            <w:shd w:val="clear" w:color="auto" w:fill="auto"/>
            <w:hideMark/>
          </w:tcPr>
          <w:p w14:paraId="61B54CD0"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0.81</w:t>
            </w:r>
          </w:p>
        </w:tc>
        <w:tc>
          <w:tcPr>
            <w:tcW w:w="997" w:type="dxa"/>
            <w:shd w:val="clear" w:color="auto" w:fill="auto"/>
            <w:hideMark/>
          </w:tcPr>
          <w:p w14:paraId="0350C093"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1.07</w:t>
            </w:r>
          </w:p>
        </w:tc>
        <w:tc>
          <w:tcPr>
            <w:tcW w:w="996" w:type="dxa"/>
            <w:shd w:val="clear" w:color="auto" w:fill="auto"/>
            <w:hideMark/>
          </w:tcPr>
          <w:p w14:paraId="4BF8884A"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0.15</w:t>
            </w:r>
          </w:p>
        </w:tc>
        <w:tc>
          <w:tcPr>
            <w:tcW w:w="996" w:type="dxa"/>
            <w:shd w:val="clear" w:color="auto" w:fill="auto"/>
            <w:hideMark/>
          </w:tcPr>
          <w:p w14:paraId="18916444"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0.46</w:t>
            </w:r>
          </w:p>
        </w:tc>
        <w:tc>
          <w:tcPr>
            <w:tcW w:w="998" w:type="dxa"/>
            <w:shd w:val="clear" w:color="auto" w:fill="auto"/>
            <w:hideMark/>
          </w:tcPr>
          <w:p w14:paraId="1CC045F8"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0.8</w:t>
            </w:r>
          </w:p>
        </w:tc>
      </w:tr>
      <w:tr w:rsidR="00286ABF" w:rsidRPr="000F1A58" w14:paraId="0708D8B5" w14:textId="77777777" w:rsidTr="00422A49">
        <w:trPr>
          <w:trHeight w:val="454"/>
        </w:trPr>
        <w:tc>
          <w:tcPr>
            <w:tcW w:w="2127" w:type="dxa"/>
            <w:shd w:val="clear" w:color="auto" w:fill="auto"/>
            <w:hideMark/>
          </w:tcPr>
          <w:p w14:paraId="6528BADF" w14:textId="77777777" w:rsidR="00286ABF" w:rsidRPr="000F1A58" w:rsidRDefault="00286ABF" w:rsidP="00633EF1">
            <w:pPr>
              <w:spacing w:before="0" w:after="0"/>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Li et al. (2019)</w:t>
            </w:r>
          </w:p>
        </w:tc>
        <w:tc>
          <w:tcPr>
            <w:tcW w:w="495" w:type="dxa"/>
            <w:shd w:val="clear" w:color="auto" w:fill="auto"/>
            <w:hideMark/>
          </w:tcPr>
          <w:p w14:paraId="6695E9CE"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56</w:t>
            </w:r>
          </w:p>
        </w:tc>
        <w:tc>
          <w:tcPr>
            <w:tcW w:w="2243" w:type="dxa"/>
            <w:shd w:val="clear" w:color="auto" w:fill="auto"/>
            <w:hideMark/>
          </w:tcPr>
          <w:p w14:paraId="20377A26"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two-sample t-test (1-sided)</w:t>
            </w:r>
          </w:p>
        </w:tc>
        <w:tc>
          <w:tcPr>
            <w:tcW w:w="996" w:type="dxa"/>
            <w:shd w:val="clear" w:color="auto" w:fill="auto"/>
            <w:hideMark/>
          </w:tcPr>
          <w:p w14:paraId="0B55D661"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0.67</w:t>
            </w:r>
          </w:p>
        </w:tc>
        <w:tc>
          <w:tcPr>
            <w:tcW w:w="997" w:type="dxa"/>
            <w:shd w:val="clear" w:color="auto" w:fill="auto"/>
            <w:hideMark/>
          </w:tcPr>
          <w:p w14:paraId="770E0128"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0.89</w:t>
            </w:r>
          </w:p>
        </w:tc>
        <w:tc>
          <w:tcPr>
            <w:tcW w:w="996" w:type="dxa"/>
            <w:shd w:val="clear" w:color="auto" w:fill="auto"/>
            <w:hideMark/>
          </w:tcPr>
          <w:p w14:paraId="6F4F4507"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0.18</w:t>
            </w:r>
          </w:p>
        </w:tc>
        <w:tc>
          <w:tcPr>
            <w:tcW w:w="996" w:type="dxa"/>
            <w:shd w:val="clear" w:color="auto" w:fill="auto"/>
            <w:hideMark/>
          </w:tcPr>
          <w:p w14:paraId="4F181427"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0.58</w:t>
            </w:r>
          </w:p>
        </w:tc>
        <w:tc>
          <w:tcPr>
            <w:tcW w:w="998" w:type="dxa"/>
            <w:shd w:val="clear" w:color="auto" w:fill="auto"/>
            <w:hideMark/>
          </w:tcPr>
          <w:p w14:paraId="69CA0AAF"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0.91</w:t>
            </w:r>
          </w:p>
        </w:tc>
      </w:tr>
      <w:tr w:rsidR="00286ABF" w:rsidRPr="000F1A58" w14:paraId="37890D5A" w14:textId="77777777" w:rsidTr="00422A49">
        <w:trPr>
          <w:trHeight w:val="454"/>
        </w:trPr>
        <w:tc>
          <w:tcPr>
            <w:tcW w:w="2127" w:type="dxa"/>
            <w:shd w:val="clear" w:color="auto" w:fill="auto"/>
            <w:hideMark/>
          </w:tcPr>
          <w:p w14:paraId="796E5844" w14:textId="77777777" w:rsidR="00286ABF" w:rsidRPr="000F1A58" w:rsidRDefault="00286ABF" w:rsidP="00633EF1">
            <w:pPr>
              <w:spacing w:before="0" w:after="0"/>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Marx et al. (2015)</w:t>
            </w:r>
          </w:p>
        </w:tc>
        <w:tc>
          <w:tcPr>
            <w:tcW w:w="495" w:type="dxa"/>
            <w:shd w:val="clear" w:color="auto" w:fill="auto"/>
            <w:hideMark/>
          </w:tcPr>
          <w:p w14:paraId="193D119B"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27</w:t>
            </w:r>
          </w:p>
        </w:tc>
        <w:tc>
          <w:tcPr>
            <w:tcW w:w="2243" w:type="dxa"/>
            <w:shd w:val="clear" w:color="auto" w:fill="auto"/>
            <w:hideMark/>
          </w:tcPr>
          <w:p w14:paraId="56D9262C"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interaction of mixed-ANOVA (2x3)</w:t>
            </w:r>
          </w:p>
        </w:tc>
        <w:tc>
          <w:tcPr>
            <w:tcW w:w="996" w:type="dxa"/>
            <w:shd w:val="clear" w:color="auto" w:fill="auto"/>
            <w:hideMark/>
          </w:tcPr>
          <w:p w14:paraId="639A4F08"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0.40</w:t>
            </w:r>
          </w:p>
        </w:tc>
        <w:tc>
          <w:tcPr>
            <w:tcW w:w="997" w:type="dxa"/>
            <w:shd w:val="clear" w:color="auto" w:fill="auto"/>
            <w:hideMark/>
          </w:tcPr>
          <w:p w14:paraId="31D6D912"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0.51</w:t>
            </w:r>
          </w:p>
        </w:tc>
        <w:tc>
          <w:tcPr>
            <w:tcW w:w="996" w:type="dxa"/>
            <w:shd w:val="clear" w:color="auto" w:fill="auto"/>
            <w:hideMark/>
          </w:tcPr>
          <w:p w14:paraId="1A526859"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0.26</w:t>
            </w:r>
          </w:p>
        </w:tc>
        <w:tc>
          <w:tcPr>
            <w:tcW w:w="996" w:type="dxa"/>
            <w:shd w:val="clear" w:color="auto" w:fill="auto"/>
            <w:hideMark/>
          </w:tcPr>
          <w:p w14:paraId="6679EBE1"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0.94</w:t>
            </w:r>
          </w:p>
        </w:tc>
        <w:tc>
          <w:tcPr>
            <w:tcW w:w="998" w:type="dxa"/>
            <w:shd w:val="clear" w:color="auto" w:fill="auto"/>
            <w:hideMark/>
          </w:tcPr>
          <w:p w14:paraId="6E5B16DD"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1</w:t>
            </w:r>
          </w:p>
        </w:tc>
      </w:tr>
      <w:tr w:rsidR="00286ABF" w:rsidRPr="000F1A58" w14:paraId="5F9ABD91" w14:textId="77777777" w:rsidTr="00422A49">
        <w:trPr>
          <w:trHeight w:val="454"/>
        </w:trPr>
        <w:tc>
          <w:tcPr>
            <w:tcW w:w="2127" w:type="dxa"/>
            <w:shd w:val="clear" w:color="auto" w:fill="auto"/>
            <w:hideMark/>
          </w:tcPr>
          <w:p w14:paraId="1FD21348" w14:textId="77777777" w:rsidR="00286ABF" w:rsidRPr="000F1A58" w:rsidRDefault="00286ABF" w:rsidP="00633EF1">
            <w:pPr>
              <w:spacing w:before="0" w:after="0"/>
              <w:rPr>
                <w:rFonts w:ascii="Calibri" w:eastAsia="Times New Roman" w:hAnsi="Calibri" w:cs="Calibri"/>
                <w:color w:val="000000"/>
                <w:sz w:val="18"/>
                <w:szCs w:val="18"/>
                <w:lang w:eastAsia="de-DE"/>
              </w:rPr>
            </w:pPr>
            <w:proofErr w:type="spellStart"/>
            <w:r w:rsidRPr="000F1A58">
              <w:rPr>
                <w:rFonts w:ascii="Calibri" w:eastAsia="Times New Roman" w:hAnsi="Calibri" w:cs="Calibri"/>
                <w:color w:val="000000"/>
                <w:sz w:val="18"/>
                <w:szCs w:val="18"/>
                <w:lang w:eastAsia="de-DE"/>
              </w:rPr>
              <w:t>Mihara</w:t>
            </w:r>
            <w:proofErr w:type="spellEnd"/>
            <w:r w:rsidRPr="000F1A58">
              <w:rPr>
                <w:rFonts w:ascii="Calibri" w:eastAsia="Times New Roman" w:hAnsi="Calibri" w:cs="Calibri"/>
                <w:color w:val="000000"/>
                <w:sz w:val="18"/>
                <w:szCs w:val="18"/>
                <w:lang w:eastAsia="de-DE"/>
              </w:rPr>
              <w:t xml:space="preserve"> et al. (2012)</w:t>
            </w:r>
          </w:p>
        </w:tc>
        <w:tc>
          <w:tcPr>
            <w:tcW w:w="495" w:type="dxa"/>
            <w:shd w:val="clear" w:color="auto" w:fill="auto"/>
            <w:hideMark/>
          </w:tcPr>
          <w:p w14:paraId="593A85F9"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21</w:t>
            </w:r>
          </w:p>
        </w:tc>
        <w:tc>
          <w:tcPr>
            <w:tcW w:w="2243" w:type="dxa"/>
            <w:shd w:val="clear" w:color="auto" w:fill="auto"/>
            <w:hideMark/>
          </w:tcPr>
          <w:p w14:paraId="353292F9"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paired t-test (2-sided)</w:t>
            </w:r>
          </w:p>
        </w:tc>
        <w:tc>
          <w:tcPr>
            <w:tcW w:w="996" w:type="dxa"/>
            <w:shd w:val="clear" w:color="auto" w:fill="auto"/>
            <w:hideMark/>
          </w:tcPr>
          <w:p w14:paraId="703D3B69"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0.64</w:t>
            </w:r>
          </w:p>
        </w:tc>
        <w:tc>
          <w:tcPr>
            <w:tcW w:w="997" w:type="dxa"/>
            <w:shd w:val="clear" w:color="auto" w:fill="auto"/>
            <w:hideMark/>
          </w:tcPr>
          <w:p w14:paraId="781D2CFE"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0.83</w:t>
            </w:r>
          </w:p>
        </w:tc>
        <w:tc>
          <w:tcPr>
            <w:tcW w:w="996" w:type="dxa"/>
            <w:shd w:val="clear" w:color="auto" w:fill="auto"/>
            <w:hideMark/>
          </w:tcPr>
          <w:p w14:paraId="1254043D"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0.14</w:t>
            </w:r>
          </w:p>
        </w:tc>
        <w:tc>
          <w:tcPr>
            <w:tcW w:w="996" w:type="dxa"/>
            <w:shd w:val="clear" w:color="auto" w:fill="auto"/>
            <w:hideMark/>
          </w:tcPr>
          <w:p w14:paraId="3C33444B"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0.59</w:t>
            </w:r>
          </w:p>
        </w:tc>
        <w:tc>
          <w:tcPr>
            <w:tcW w:w="998" w:type="dxa"/>
            <w:shd w:val="clear" w:color="auto" w:fill="auto"/>
            <w:hideMark/>
          </w:tcPr>
          <w:p w14:paraId="15CFCA90"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0.94</w:t>
            </w:r>
          </w:p>
        </w:tc>
      </w:tr>
      <w:tr w:rsidR="00286ABF" w:rsidRPr="000F1A58" w14:paraId="494C09D1" w14:textId="77777777" w:rsidTr="00422A49">
        <w:trPr>
          <w:trHeight w:val="454"/>
        </w:trPr>
        <w:tc>
          <w:tcPr>
            <w:tcW w:w="2127" w:type="dxa"/>
            <w:shd w:val="clear" w:color="auto" w:fill="auto"/>
            <w:hideMark/>
          </w:tcPr>
          <w:p w14:paraId="4E6759E9" w14:textId="77777777" w:rsidR="00286ABF" w:rsidRPr="000F1A58" w:rsidRDefault="00286ABF" w:rsidP="00633EF1">
            <w:pPr>
              <w:spacing w:before="0" w:after="0"/>
              <w:rPr>
                <w:rFonts w:ascii="Calibri" w:eastAsia="Times New Roman" w:hAnsi="Calibri" w:cs="Calibri"/>
                <w:color w:val="000000"/>
                <w:sz w:val="18"/>
                <w:szCs w:val="18"/>
                <w:lang w:eastAsia="de-DE"/>
              </w:rPr>
            </w:pPr>
            <w:proofErr w:type="spellStart"/>
            <w:r w:rsidRPr="000F1A58">
              <w:rPr>
                <w:rFonts w:ascii="Calibri" w:eastAsia="Times New Roman" w:hAnsi="Calibri" w:cs="Calibri"/>
                <w:color w:val="000000"/>
                <w:sz w:val="18"/>
                <w:szCs w:val="18"/>
                <w:lang w:eastAsia="de-DE"/>
              </w:rPr>
              <w:t>Mihara</w:t>
            </w:r>
            <w:proofErr w:type="spellEnd"/>
            <w:r w:rsidRPr="000F1A58">
              <w:rPr>
                <w:rFonts w:ascii="Calibri" w:eastAsia="Times New Roman" w:hAnsi="Calibri" w:cs="Calibri"/>
                <w:color w:val="000000"/>
                <w:sz w:val="18"/>
                <w:szCs w:val="18"/>
                <w:lang w:eastAsia="de-DE"/>
              </w:rPr>
              <w:t xml:space="preserve"> et al. (2013)</w:t>
            </w:r>
          </w:p>
        </w:tc>
        <w:tc>
          <w:tcPr>
            <w:tcW w:w="495" w:type="dxa"/>
            <w:shd w:val="clear" w:color="auto" w:fill="auto"/>
            <w:hideMark/>
          </w:tcPr>
          <w:p w14:paraId="6DF1319C"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20</w:t>
            </w:r>
          </w:p>
        </w:tc>
        <w:tc>
          <w:tcPr>
            <w:tcW w:w="2243" w:type="dxa"/>
            <w:shd w:val="clear" w:color="auto" w:fill="auto"/>
            <w:hideMark/>
          </w:tcPr>
          <w:p w14:paraId="59091213"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interaction of mixed-ANOVA (2x2)</w:t>
            </w:r>
          </w:p>
        </w:tc>
        <w:tc>
          <w:tcPr>
            <w:tcW w:w="996" w:type="dxa"/>
            <w:shd w:val="clear" w:color="auto" w:fill="auto"/>
            <w:hideMark/>
          </w:tcPr>
          <w:p w14:paraId="4C074C07"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0.37</w:t>
            </w:r>
          </w:p>
        </w:tc>
        <w:tc>
          <w:tcPr>
            <w:tcW w:w="997" w:type="dxa"/>
            <w:shd w:val="clear" w:color="auto" w:fill="auto"/>
            <w:hideMark/>
          </w:tcPr>
          <w:p w14:paraId="4EFC7C50"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0.47</w:t>
            </w:r>
          </w:p>
        </w:tc>
        <w:tc>
          <w:tcPr>
            <w:tcW w:w="996" w:type="dxa"/>
            <w:shd w:val="clear" w:color="auto" w:fill="auto"/>
            <w:hideMark/>
          </w:tcPr>
          <w:p w14:paraId="4739E5C0"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0.3</w:t>
            </w:r>
          </w:p>
        </w:tc>
        <w:tc>
          <w:tcPr>
            <w:tcW w:w="996" w:type="dxa"/>
            <w:shd w:val="clear" w:color="auto" w:fill="auto"/>
            <w:hideMark/>
          </w:tcPr>
          <w:p w14:paraId="132FC4AE"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0.97</w:t>
            </w:r>
          </w:p>
        </w:tc>
        <w:tc>
          <w:tcPr>
            <w:tcW w:w="998" w:type="dxa"/>
            <w:shd w:val="clear" w:color="auto" w:fill="auto"/>
            <w:hideMark/>
          </w:tcPr>
          <w:p w14:paraId="2A98F717"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1</w:t>
            </w:r>
          </w:p>
        </w:tc>
      </w:tr>
      <w:tr w:rsidR="00286ABF" w:rsidRPr="000F1A58" w14:paraId="229CBFA3" w14:textId="77777777" w:rsidTr="00422A49">
        <w:trPr>
          <w:trHeight w:val="454"/>
        </w:trPr>
        <w:tc>
          <w:tcPr>
            <w:tcW w:w="2127" w:type="dxa"/>
            <w:tcBorders>
              <w:bottom w:val="single" w:sz="4" w:space="0" w:color="auto"/>
            </w:tcBorders>
            <w:shd w:val="clear" w:color="auto" w:fill="auto"/>
            <w:hideMark/>
          </w:tcPr>
          <w:p w14:paraId="05217650" w14:textId="77777777" w:rsidR="00286ABF" w:rsidRPr="000F1A58" w:rsidRDefault="00286ABF" w:rsidP="00633EF1">
            <w:pPr>
              <w:spacing w:before="0" w:after="0"/>
              <w:rPr>
                <w:rFonts w:ascii="Calibri" w:eastAsia="Times New Roman" w:hAnsi="Calibri" w:cs="Calibri"/>
                <w:color w:val="000000"/>
                <w:sz w:val="18"/>
                <w:szCs w:val="18"/>
                <w:lang w:eastAsia="de-DE"/>
              </w:rPr>
            </w:pPr>
            <w:proofErr w:type="spellStart"/>
            <w:r w:rsidRPr="000F1A58">
              <w:rPr>
                <w:rFonts w:ascii="Calibri" w:eastAsia="Times New Roman" w:hAnsi="Calibri" w:cs="Calibri"/>
                <w:color w:val="000000"/>
                <w:sz w:val="18"/>
                <w:szCs w:val="18"/>
                <w:lang w:eastAsia="de-DE"/>
              </w:rPr>
              <w:t>Weyand</w:t>
            </w:r>
            <w:proofErr w:type="spellEnd"/>
            <w:r w:rsidRPr="000F1A58">
              <w:rPr>
                <w:rFonts w:ascii="Calibri" w:eastAsia="Times New Roman" w:hAnsi="Calibri" w:cs="Calibri"/>
                <w:color w:val="000000"/>
                <w:sz w:val="18"/>
                <w:szCs w:val="18"/>
                <w:lang w:eastAsia="de-DE"/>
              </w:rPr>
              <w:t xml:space="preserve"> et al. (2015)</w:t>
            </w:r>
          </w:p>
        </w:tc>
        <w:tc>
          <w:tcPr>
            <w:tcW w:w="495" w:type="dxa"/>
            <w:tcBorders>
              <w:bottom w:val="single" w:sz="4" w:space="0" w:color="auto"/>
            </w:tcBorders>
            <w:shd w:val="clear" w:color="auto" w:fill="auto"/>
            <w:hideMark/>
          </w:tcPr>
          <w:p w14:paraId="6FC4974D"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9</w:t>
            </w:r>
          </w:p>
        </w:tc>
        <w:tc>
          <w:tcPr>
            <w:tcW w:w="2243" w:type="dxa"/>
            <w:tcBorders>
              <w:bottom w:val="single" w:sz="4" w:space="0" w:color="auto"/>
            </w:tcBorders>
            <w:shd w:val="clear" w:color="auto" w:fill="auto"/>
            <w:hideMark/>
          </w:tcPr>
          <w:p w14:paraId="63ED66AC"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paired t-test (2-sided)</w:t>
            </w:r>
          </w:p>
        </w:tc>
        <w:tc>
          <w:tcPr>
            <w:tcW w:w="996" w:type="dxa"/>
            <w:tcBorders>
              <w:bottom w:val="single" w:sz="4" w:space="0" w:color="auto"/>
            </w:tcBorders>
            <w:shd w:val="clear" w:color="auto" w:fill="auto"/>
            <w:hideMark/>
          </w:tcPr>
          <w:p w14:paraId="2588BE83"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1.07</w:t>
            </w:r>
          </w:p>
        </w:tc>
        <w:tc>
          <w:tcPr>
            <w:tcW w:w="997" w:type="dxa"/>
            <w:tcBorders>
              <w:bottom w:val="single" w:sz="4" w:space="0" w:color="auto"/>
            </w:tcBorders>
            <w:shd w:val="clear" w:color="auto" w:fill="auto"/>
            <w:hideMark/>
          </w:tcPr>
          <w:p w14:paraId="0A015BE5"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1.38</w:t>
            </w:r>
          </w:p>
        </w:tc>
        <w:tc>
          <w:tcPr>
            <w:tcW w:w="996" w:type="dxa"/>
            <w:tcBorders>
              <w:bottom w:val="single" w:sz="4" w:space="0" w:color="auto"/>
            </w:tcBorders>
            <w:shd w:val="clear" w:color="auto" w:fill="auto"/>
            <w:hideMark/>
          </w:tcPr>
          <w:p w14:paraId="712F0B6C"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0.08</w:t>
            </w:r>
          </w:p>
        </w:tc>
        <w:tc>
          <w:tcPr>
            <w:tcW w:w="996" w:type="dxa"/>
            <w:tcBorders>
              <w:bottom w:val="single" w:sz="4" w:space="0" w:color="auto"/>
            </w:tcBorders>
            <w:shd w:val="clear" w:color="auto" w:fill="auto"/>
            <w:hideMark/>
          </w:tcPr>
          <w:p w14:paraId="34D62705"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0.26</w:t>
            </w:r>
          </w:p>
        </w:tc>
        <w:tc>
          <w:tcPr>
            <w:tcW w:w="998" w:type="dxa"/>
            <w:tcBorders>
              <w:bottom w:val="single" w:sz="4" w:space="0" w:color="auto"/>
            </w:tcBorders>
            <w:shd w:val="clear" w:color="auto" w:fill="auto"/>
            <w:hideMark/>
          </w:tcPr>
          <w:p w14:paraId="16A3BD2A"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0.56</w:t>
            </w:r>
          </w:p>
        </w:tc>
      </w:tr>
      <w:tr w:rsidR="00286ABF" w:rsidRPr="000F1A58" w14:paraId="252BA721" w14:textId="77777777" w:rsidTr="00422A49">
        <w:trPr>
          <w:trHeight w:val="454"/>
        </w:trPr>
        <w:tc>
          <w:tcPr>
            <w:tcW w:w="2127" w:type="dxa"/>
            <w:tcBorders>
              <w:top w:val="single" w:sz="4" w:space="0" w:color="auto"/>
            </w:tcBorders>
            <w:shd w:val="clear" w:color="auto" w:fill="auto"/>
            <w:hideMark/>
          </w:tcPr>
          <w:p w14:paraId="72709FB6" w14:textId="77777777" w:rsidR="00286ABF" w:rsidRPr="000F1A58" w:rsidRDefault="00286ABF" w:rsidP="00633EF1">
            <w:pPr>
              <w:spacing w:before="0" w:after="0"/>
              <w:rPr>
                <w:rFonts w:ascii="Calibri" w:eastAsia="Times New Roman" w:hAnsi="Calibri" w:cs="Calibri"/>
                <w:b/>
                <w:bCs/>
                <w:sz w:val="18"/>
                <w:szCs w:val="18"/>
                <w:lang w:eastAsia="de-DE"/>
              </w:rPr>
            </w:pPr>
            <w:r w:rsidRPr="000F1A58">
              <w:rPr>
                <w:rFonts w:ascii="Calibri" w:eastAsia="Times New Roman" w:hAnsi="Calibri" w:cs="Calibri"/>
                <w:b/>
                <w:bCs/>
                <w:sz w:val="18"/>
                <w:szCs w:val="18"/>
                <w:lang w:eastAsia="de-DE"/>
              </w:rPr>
              <w:t>Mean</w:t>
            </w:r>
          </w:p>
        </w:tc>
        <w:tc>
          <w:tcPr>
            <w:tcW w:w="495" w:type="dxa"/>
            <w:tcBorders>
              <w:top w:val="single" w:sz="4" w:space="0" w:color="auto"/>
            </w:tcBorders>
            <w:shd w:val="clear" w:color="auto" w:fill="auto"/>
            <w:hideMark/>
          </w:tcPr>
          <w:p w14:paraId="65ABFE9A"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22.1</w:t>
            </w:r>
          </w:p>
        </w:tc>
        <w:tc>
          <w:tcPr>
            <w:tcW w:w="2243" w:type="dxa"/>
            <w:tcBorders>
              <w:top w:val="single" w:sz="4" w:space="0" w:color="auto"/>
            </w:tcBorders>
            <w:shd w:val="clear" w:color="auto" w:fill="auto"/>
            <w:hideMark/>
          </w:tcPr>
          <w:p w14:paraId="125352F5"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p>
        </w:tc>
        <w:tc>
          <w:tcPr>
            <w:tcW w:w="996" w:type="dxa"/>
            <w:tcBorders>
              <w:top w:val="single" w:sz="4" w:space="0" w:color="auto"/>
            </w:tcBorders>
            <w:shd w:val="clear" w:color="auto" w:fill="auto"/>
            <w:hideMark/>
          </w:tcPr>
          <w:p w14:paraId="21A241E5"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0.66</w:t>
            </w:r>
          </w:p>
        </w:tc>
        <w:tc>
          <w:tcPr>
            <w:tcW w:w="997" w:type="dxa"/>
            <w:tcBorders>
              <w:top w:val="single" w:sz="4" w:space="0" w:color="auto"/>
            </w:tcBorders>
            <w:shd w:val="clear" w:color="auto" w:fill="auto"/>
            <w:hideMark/>
          </w:tcPr>
          <w:p w14:paraId="68C6AD34"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d = 0.87</w:t>
            </w:r>
          </w:p>
        </w:tc>
        <w:tc>
          <w:tcPr>
            <w:tcW w:w="996" w:type="dxa"/>
            <w:tcBorders>
              <w:top w:val="single" w:sz="4" w:space="0" w:color="auto"/>
            </w:tcBorders>
            <w:shd w:val="clear" w:color="auto" w:fill="auto"/>
            <w:hideMark/>
          </w:tcPr>
          <w:p w14:paraId="28EF9AE1"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0.20</w:t>
            </w:r>
          </w:p>
        </w:tc>
        <w:tc>
          <w:tcPr>
            <w:tcW w:w="996" w:type="dxa"/>
            <w:tcBorders>
              <w:top w:val="single" w:sz="4" w:space="0" w:color="auto"/>
            </w:tcBorders>
            <w:shd w:val="clear" w:color="auto" w:fill="auto"/>
            <w:hideMark/>
          </w:tcPr>
          <w:p w14:paraId="0B156E4D"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0.68</w:t>
            </w:r>
          </w:p>
        </w:tc>
        <w:tc>
          <w:tcPr>
            <w:tcW w:w="998" w:type="dxa"/>
            <w:tcBorders>
              <w:top w:val="single" w:sz="4" w:space="0" w:color="auto"/>
            </w:tcBorders>
            <w:shd w:val="clear" w:color="auto" w:fill="auto"/>
            <w:hideMark/>
          </w:tcPr>
          <w:p w14:paraId="50353B2A"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0.87</w:t>
            </w:r>
          </w:p>
        </w:tc>
      </w:tr>
      <w:tr w:rsidR="00286ABF" w:rsidRPr="000F1A58" w14:paraId="493C5DA3" w14:textId="77777777" w:rsidTr="00422A49">
        <w:trPr>
          <w:trHeight w:val="454"/>
        </w:trPr>
        <w:tc>
          <w:tcPr>
            <w:tcW w:w="2127" w:type="dxa"/>
            <w:tcBorders>
              <w:bottom w:val="single" w:sz="4" w:space="0" w:color="auto"/>
            </w:tcBorders>
            <w:shd w:val="clear" w:color="auto" w:fill="auto"/>
            <w:hideMark/>
          </w:tcPr>
          <w:p w14:paraId="16B773E8" w14:textId="77777777" w:rsidR="00286ABF" w:rsidRPr="000F1A58" w:rsidRDefault="00286ABF" w:rsidP="00633EF1">
            <w:pPr>
              <w:spacing w:before="0" w:after="0"/>
              <w:rPr>
                <w:rFonts w:ascii="Calibri" w:eastAsia="Times New Roman" w:hAnsi="Calibri" w:cs="Calibri"/>
                <w:b/>
                <w:bCs/>
                <w:sz w:val="18"/>
                <w:szCs w:val="18"/>
                <w:lang w:eastAsia="de-DE"/>
              </w:rPr>
            </w:pPr>
            <w:r w:rsidRPr="000F1A58">
              <w:rPr>
                <w:rFonts w:ascii="Calibri" w:eastAsia="Times New Roman" w:hAnsi="Calibri" w:cs="Calibri"/>
                <w:b/>
                <w:bCs/>
                <w:sz w:val="18"/>
                <w:szCs w:val="18"/>
                <w:lang w:eastAsia="de-DE"/>
              </w:rPr>
              <w:t>Median</w:t>
            </w:r>
          </w:p>
        </w:tc>
        <w:tc>
          <w:tcPr>
            <w:tcW w:w="495" w:type="dxa"/>
            <w:tcBorders>
              <w:bottom w:val="single" w:sz="4" w:space="0" w:color="auto"/>
            </w:tcBorders>
            <w:shd w:val="clear" w:color="auto" w:fill="auto"/>
            <w:hideMark/>
          </w:tcPr>
          <w:p w14:paraId="16E659BC"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20</w:t>
            </w:r>
          </w:p>
        </w:tc>
        <w:tc>
          <w:tcPr>
            <w:tcW w:w="2243" w:type="dxa"/>
            <w:tcBorders>
              <w:bottom w:val="single" w:sz="4" w:space="0" w:color="auto"/>
            </w:tcBorders>
            <w:shd w:val="clear" w:color="auto" w:fill="auto"/>
            <w:vAlign w:val="center"/>
            <w:hideMark/>
          </w:tcPr>
          <w:p w14:paraId="1E0D3B98" w14:textId="77777777" w:rsidR="00286ABF" w:rsidRPr="000F1A58" w:rsidRDefault="00286ABF" w:rsidP="00633EF1">
            <w:pPr>
              <w:spacing w:before="0" w:after="0"/>
              <w:rPr>
                <w:rFonts w:ascii="Calibri" w:eastAsia="Times New Roman" w:hAnsi="Calibri" w:cs="Calibri"/>
                <w:color w:val="000000"/>
                <w:sz w:val="18"/>
                <w:szCs w:val="18"/>
                <w:lang w:eastAsia="de-DE"/>
              </w:rPr>
            </w:pPr>
          </w:p>
        </w:tc>
        <w:tc>
          <w:tcPr>
            <w:tcW w:w="996" w:type="dxa"/>
            <w:tcBorders>
              <w:bottom w:val="single" w:sz="4" w:space="0" w:color="auto"/>
            </w:tcBorders>
            <w:shd w:val="clear" w:color="auto" w:fill="auto"/>
            <w:hideMark/>
          </w:tcPr>
          <w:p w14:paraId="7CB3F5D4"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hAnsi="Calibri" w:cs="Calibri"/>
                <w:color w:val="000000"/>
                <w:sz w:val="18"/>
                <w:szCs w:val="18"/>
              </w:rPr>
              <w:t>d = 0.53</w:t>
            </w:r>
          </w:p>
        </w:tc>
        <w:tc>
          <w:tcPr>
            <w:tcW w:w="997" w:type="dxa"/>
            <w:tcBorders>
              <w:bottom w:val="single" w:sz="4" w:space="0" w:color="auto"/>
            </w:tcBorders>
            <w:shd w:val="clear" w:color="auto" w:fill="auto"/>
            <w:hideMark/>
          </w:tcPr>
          <w:p w14:paraId="1EEACE63"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hAnsi="Calibri" w:cs="Calibri"/>
                <w:color w:val="000000"/>
                <w:sz w:val="18"/>
                <w:szCs w:val="18"/>
              </w:rPr>
              <w:t>d = 0.69</w:t>
            </w:r>
          </w:p>
        </w:tc>
        <w:tc>
          <w:tcPr>
            <w:tcW w:w="996" w:type="dxa"/>
            <w:tcBorders>
              <w:bottom w:val="single" w:sz="4" w:space="0" w:color="auto"/>
            </w:tcBorders>
            <w:shd w:val="clear" w:color="auto" w:fill="auto"/>
            <w:hideMark/>
          </w:tcPr>
          <w:p w14:paraId="30FC75EC"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0.22</w:t>
            </w:r>
          </w:p>
        </w:tc>
        <w:tc>
          <w:tcPr>
            <w:tcW w:w="996" w:type="dxa"/>
            <w:tcBorders>
              <w:bottom w:val="single" w:sz="4" w:space="0" w:color="auto"/>
            </w:tcBorders>
            <w:shd w:val="clear" w:color="auto" w:fill="auto"/>
            <w:hideMark/>
          </w:tcPr>
          <w:p w14:paraId="60449CEC"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0.76</w:t>
            </w:r>
          </w:p>
        </w:tc>
        <w:tc>
          <w:tcPr>
            <w:tcW w:w="998" w:type="dxa"/>
            <w:tcBorders>
              <w:bottom w:val="single" w:sz="4" w:space="0" w:color="auto"/>
            </w:tcBorders>
            <w:shd w:val="clear" w:color="auto" w:fill="auto"/>
            <w:hideMark/>
          </w:tcPr>
          <w:p w14:paraId="434500CC" w14:textId="77777777" w:rsidR="00286ABF" w:rsidRPr="000F1A58" w:rsidRDefault="00286ABF" w:rsidP="00633EF1">
            <w:pPr>
              <w:spacing w:before="0" w:after="0"/>
              <w:jc w:val="center"/>
              <w:rPr>
                <w:rFonts w:ascii="Calibri" w:eastAsia="Times New Roman" w:hAnsi="Calibri" w:cs="Calibri"/>
                <w:color w:val="000000"/>
                <w:sz w:val="18"/>
                <w:szCs w:val="18"/>
                <w:lang w:eastAsia="de-DE"/>
              </w:rPr>
            </w:pPr>
            <w:r w:rsidRPr="000F1A58">
              <w:rPr>
                <w:rFonts w:ascii="Calibri" w:eastAsia="Times New Roman" w:hAnsi="Calibri" w:cs="Calibri"/>
                <w:color w:val="000000"/>
                <w:sz w:val="18"/>
                <w:szCs w:val="18"/>
                <w:lang w:eastAsia="de-DE"/>
              </w:rPr>
              <w:t>0.97</w:t>
            </w:r>
          </w:p>
        </w:tc>
      </w:tr>
    </w:tbl>
    <w:p w14:paraId="2680B5B7" w14:textId="43175A10" w:rsidR="00286ABF" w:rsidRPr="000F1A58" w:rsidRDefault="00204F47" w:rsidP="00286ABF">
      <w:pPr>
        <w:spacing w:before="240"/>
        <w:outlineLvl w:val="0"/>
        <w:rPr>
          <w:rFonts w:eastAsia="Cambria" w:cs="Times New Roman"/>
          <w:b/>
          <w:szCs w:val="24"/>
        </w:rPr>
      </w:pPr>
      <w:r w:rsidRPr="000F1A58">
        <w:t xml:space="preserve">Note that </w:t>
      </w:r>
      <w:r w:rsidR="008E6B50" w:rsidRPr="000F1A58">
        <w:t xml:space="preserve">in order </w:t>
      </w:r>
      <w:r w:rsidRPr="000F1A58">
        <w:t>to simplify the analysis</w:t>
      </w:r>
      <w:r w:rsidR="008E6B50" w:rsidRPr="000F1A58">
        <w:t>,</w:t>
      </w:r>
      <w:r w:rsidRPr="000F1A58">
        <w:t xml:space="preserve"> for some studies we performed the analysis for a different statistical test than </w:t>
      </w:r>
      <w:r w:rsidR="008E6B50" w:rsidRPr="000F1A58">
        <w:t xml:space="preserve">the one </w:t>
      </w:r>
      <w:r w:rsidRPr="000F1A58">
        <w:t>originally reported, did not take into account correction for multiple comparisons, and assumed no sphericity violation and a high correlation among repeated measures for ANOVAs. Overall, these measures should have led to overestimation of statistical power/sensitivity of the studies.</w:t>
      </w:r>
    </w:p>
    <w:p w14:paraId="12DE3451" w14:textId="608424BC" w:rsidR="005641E0" w:rsidRPr="000F1A58" w:rsidRDefault="00063588" w:rsidP="00CD631B">
      <w:pPr>
        <w:numPr>
          <w:ilvl w:val="0"/>
          <w:numId w:val="19"/>
        </w:numPr>
        <w:spacing w:before="240"/>
        <w:outlineLvl w:val="0"/>
        <w:rPr>
          <w:rFonts w:eastAsia="Cambria" w:cs="Times New Roman"/>
          <w:b/>
          <w:szCs w:val="24"/>
        </w:rPr>
      </w:pPr>
      <w:r w:rsidRPr="000F1A58">
        <w:rPr>
          <w:rFonts w:eastAsia="Cambria" w:cs="Times New Roman"/>
          <w:b/>
          <w:szCs w:val="24"/>
        </w:rPr>
        <w:t>Comparison of sensitivity of regulation performance analysis of studies not comparing the effect to the control condition/group</w:t>
      </w:r>
    </w:p>
    <w:p w14:paraId="6051DAF7" w14:textId="48822CB8" w:rsidR="00FF24C0" w:rsidRPr="000F1A58" w:rsidRDefault="00D74001" w:rsidP="00063588">
      <w:pPr>
        <w:spacing w:before="240"/>
        <w:outlineLvl w:val="0"/>
      </w:pPr>
      <w:r w:rsidRPr="000F1A58">
        <w:t xml:space="preserve">Here we report detailed results of </w:t>
      </w:r>
      <w:r w:rsidR="0067728A" w:rsidRPr="000F1A58">
        <w:t>the</w:t>
      </w:r>
      <w:r w:rsidR="00914A4C" w:rsidRPr="000F1A58">
        <w:t xml:space="preserve"> comparison of sensitivity for tests reported by studies comparing regulation performance to baseline and sensitivity for a hypothetical comparison with a control group/condition. We used </w:t>
      </w:r>
      <w:r w:rsidR="00FF24C0" w:rsidRPr="000F1A58">
        <w:t>G*Power (</w:t>
      </w:r>
      <w:proofErr w:type="spellStart"/>
      <w:r w:rsidR="00FF24C0" w:rsidRPr="000F1A58">
        <w:t>Faul</w:t>
      </w:r>
      <w:proofErr w:type="spellEnd"/>
      <w:r w:rsidR="00FF24C0" w:rsidRPr="000F1A58">
        <w:t xml:space="preserve"> et al., 2007) to </w:t>
      </w:r>
      <w:r w:rsidR="00914A4C" w:rsidRPr="000F1A58">
        <w:t>calculate</w:t>
      </w:r>
      <w:r w:rsidR="00063588" w:rsidRPr="000F1A58">
        <w:t xml:space="preserve"> </w:t>
      </w:r>
      <w:r w:rsidR="00914A4C" w:rsidRPr="000F1A58">
        <w:t xml:space="preserve">and compare the </w:t>
      </w:r>
      <w:r w:rsidR="00063588" w:rsidRPr="000F1A58">
        <w:t xml:space="preserve">sensitivity </w:t>
      </w:r>
      <w:r w:rsidR="00914A4C" w:rsidRPr="000F1A58">
        <w:t xml:space="preserve">of the baseline comparison as reported by the study and the hypothetical group comparison using </w:t>
      </w:r>
      <w:r w:rsidR="00063588" w:rsidRPr="000F1A58">
        <w:t>a statistical test that was appropriate for the respective study design</w:t>
      </w:r>
      <w:r w:rsidR="00914A4C" w:rsidRPr="000F1A58">
        <w:t xml:space="preserve">. Table S4 shows detailed results. </w:t>
      </w:r>
    </w:p>
    <w:p w14:paraId="3F8FAA25" w14:textId="1CCF4812" w:rsidR="00063588" w:rsidRPr="000F1A58" w:rsidRDefault="00063588" w:rsidP="00063588">
      <w:pPr>
        <w:spacing w:before="240"/>
        <w:outlineLvl w:val="0"/>
      </w:pPr>
      <w:r w:rsidRPr="000F1A58">
        <w:t xml:space="preserve">Interestingly, results showed that the </w:t>
      </w:r>
      <w:r w:rsidR="00797358" w:rsidRPr="000F1A58">
        <w:t>sensitivity for estimating a</w:t>
      </w:r>
      <w:r w:rsidRPr="000F1A58">
        <w:t xml:space="preserve"> </w:t>
      </w:r>
      <w:r w:rsidR="00797358" w:rsidRPr="000F1A58">
        <w:t>group/</w:t>
      </w:r>
      <w:r w:rsidRPr="000F1A58">
        <w:t xml:space="preserve">interaction effect as compared to a main effect remained the same or even increased due to switching from a </w:t>
      </w:r>
      <w:r w:rsidR="005D0562" w:rsidRPr="000F1A58">
        <w:t xml:space="preserve">linear regression or </w:t>
      </w:r>
      <w:r w:rsidRPr="000F1A58">
        <w:t xml:space="preserve">t-test to a more powerful ANOVA approach. However, in placebo-controlled treatment studies (e.g., sham neurofeedback training) effect sizes in the control group constitute a large portion of the effect size of the active group </w:t>
      </w:r>
      <w:r w:rsidRPr="000F1A58">
        <w:fldChar w:fldCharType="begin" w:fldLock="1"/>
      </w:r>
      <w:r w:rsidRPr="000F1A58">
        <w:instrText>ADDIN CSL_CITATION {"citationItems":[{"id":"ITEM-1","itemData":{"DOI":"10.1002/jclp.20129","ISSN":"0021-9762","author":[{"dropping-particle":"","family":"Wampold","given":"Bruce E.","non-dropping-particle":"","parse-names":false,"suffix":""},{"dropping-particle":"","family":"Minami","given":"Takuya","non-dropping-particle":"","parse-names":false,"suffix":""},{"dropping-particle":"","family":"Tierney","given":"Sandra Callen","non-dropping-particle":"","parse-names":false,"suffix":""},{"dropping-particle":"","family":"Baskin","given":"Thomas W.","non-dropping-particle":"","parse-names":false,"suffix":""},{"dropping-particle":"","family":"Bhati","given":"Kuldhir S.","non-dropping-particle":"","parse-names":false,"suffix":""}],"container-title":"Journal of Clinical Psychology","id":"ITEM-1","issue":"7","issued":{"date-parts":[["2005","7","1"]]},"page":"835-854","publisher":"John Wiley &amp; Sons, Ltd","title":"The placebo is powerful: Estimating placebo effects in medicine and psychotherapy from randomized clinical trials","type":"article-journal","volume":"61"},"uris":["http://www.mendeley.com/documents/?uuid=92f0488e-1e82-3fc8-b71d-f75a8257dc3d","http://www.mendeley.com/documents/?uuid=2caea0a4-9f17-4f22-82c1-89ab6c1f5692"]}],"mendeley":{"formattedCitation":"(Wampold et al., 2005)","plainTextFormattedCitation":"(Wampold et al., 2005)","previouslyFormattedCitation":"(Wampold et al., 2005)"},"properties":{"noteIndex":0},"schema":"https://github.com/citation-style-language/schema/raw/master/csl-citation.json"}</w:instrText>
      </w:r>
      <w:r w:rsidRPr="000F1A58">
        <w:fldChar w:fldCharType="separate"/>
      </w:r>
      <w:r w:rsidRPr="000F1A58">
        <w:rPr>
          <w:noProof/>
        </w:rPr>
        <w:t>(Wampold et al., 2005)</w:t>
      </w:r>
      <w:r w:rsidRPr="000F1A58">
        <w:fldChar w:fldCharType="end"/>
      </w:r>
      <w:r w:rsidRPr="000F1A58">
        <w:t xml:space="preserve"> and large effects were reported for sham neurofeedback </w:t>
      </w:r>
      <w:r w:rsidRPr="000F1A58">
        <w:fldChar w:fldCharType="begin" w:fldLock="1"/>
      </w:r>
      <w:r w:rsidR="00A42E0A" w:rsidRPr="000F1A58">
        <w:instrText>ADDIN CSL_CITATION {"citationItems":[{"id":"ITEM-1","itemData":{"DOI":"10.1016/S2215-0366(17)30291-2","ISSN":"2215-0374","PMID":"28803030","abstract":"BACKGROUND Many studies suggest that electroencephalographic (EEG) neurofeedback might be beneficial in the treatment of attention-deficit hyperactivity disorder (ADHD). However, numbers of well controlled studies are low and neurofeedback techniques are regarded as highly controversial. The present trial examined the efficacy (compared with sham neurofeedback) and efficiency (compared with meta-cognitive therapy) of a standard EEG neurofeedback protocol in adults with ADHD. METHODS We did a concurrent, triple-blind, randomised, controlled trial using authorised deception in adults with ADHD from one centre (University of Tübingen) in Tübingen, Germany. Participants were eligible if they fulfilled the DSM-IV-TR criteria for ADHD, were aged between 18 years and 60 years, and had no or stable use of medication for at least 2 months with no intention to change. We excluded participants who had comorbid schizophrenia or schizoaffective disorder, bipolar disorder, borderline personality disorder, epilepsy, or traumatic brain injury; substance abuse or dependence; or current or planned other psychological treatment. Those eligible were randomly assigned to three groups: a neurofeedback group which received 30 verum θ-to-β neurofeedback sessions over 15 weeks, a sham neurofeedback group which received 15 sham followed by 15 verum θ-to-β neurofeedback sessions over 15 weeks, or a meta-cognitive group therapy group which received 12 sessions over 12 weeks. Participants were assigned equally to one of the three interventions through a computerised minimisation randomisation procedure stratified by sex, age, and baseline symptom severity of ADHD. Participants were masked as to whether they were receiving neurofeedback or sham neurofeedback, but those receiving meta-cognitive therapy were aware of their treatment. Clinical assessors (ie, those assessing outcomes) and research staff who did the neurofeedback training were masked to participants' randomisation status only for neurofeedback and sham neurofeedback. The primary outcome was symptom score on the Conners' adult ADHD rating scale, assessed before treatment, at midtreatment (after 8 weeks), after treatment (after 16 weeks), and 6 months later. All individuals with at least one observation after randomisation were included in the analyses. This trial is registered with ClinicalTrials.gov, number NCT01883765. FINDINGS Between Feb 1, 2013, and Dec 1, 2015, 761 people were assessed for eligibility. 656 (86%) wer…","author":[{"dropping-particle":"","family":"Schönenberg","given":"Michael","non-dropping-particle":"","parse-names":false,"suffix":""},{"dropping-particle":"","family":"Wiedemann","given":"Eva","non-dropping-particle":"","parse-names":false,"suffix":""},{"dropping-particle":"","family":"Schneidt","given":"Alexander","non-dropping-particle":"","parse-names":false,"suffix":""},{"dropping-particle":"","family":"Scheeff","given":"Jonathan","non-dropping-particle":"","parse-names":false,"suffix":""},{"dropping-particle":"","family":"Logemann","given":"Alexander","non-dropping-particle":"","parse-names":false,"suffix":""},{"dropping-particle":"","family":"Keune","given":"Philipp M","non-dropping-particle":"","parse-names":false,"suffix":""},{"dropping-particle":"","family":"Hautzinger","given":"Martin","non-dropping-particle":"","parse-names":false,"suffix":""}],"container-title":"The lancet. Psychiatry","id":"ITEM-1","issue":"9","issued":{"date-parts":[["2017","9"]]},"page":"673-684","publisher":"Elsevier","title":"Neurofeedback, sham neurofeedback, and cognitive-behavioural group therapy in adults with attention-deficit hyperactivity disorder: a triple-blind, randomised, controlled trial.","type":"article-journal","volume":"4"},"uris":["http://www.mendeley.com/documents/?uuid=9fea664b-6b0f-4fff-8863-3ef52e2007d7","http://www.mendeley.com/documents/?uuid=3fb49b67-c1d4-4692-a11c-7724de502c9d"]}],"mendeley":{"formattedCitation":"(Schönenberg et al., 2017)","plainTextFormattedCitation":"(Schönenberg et al., 2017)","previouslyFormattedCitation":"(Schönenberg et al., 2017)"},"properties":{"noteIndex":0},"schema":"https://github.com/citation-style-language/schema/raw/master/csl-citation.json"}</w:instrText>
      </w:r>
      <w:r w:rsidRPr="000F1A58">
        <w:fldChar w:fldCharType="separate"/>
      </w:r>
      <w:r w:rsidR="00CC013A" w:rsidRPr="000F1A58">
        <w:rPr>
          <w:noProof/>
        </w:rPr>
        <w:t>(Schönenberg et al., 2017)</w:t>
      </w:r>
      <w:r w:rsidRPr="000F1A58">
        <w:fldChar w:fldCharType="end"/>
      </w:r>
      <w:r w:rsidRPr="000F1A58">
        <w:t xml:space="preserve">. Therefore, we can assume that an interaction effect testing </w:t>
      </w:r>
      <w:r w:rsidRPr="000F1A58">
        <w:lastRenderedPageBreak/>
        <w:t xml:space="preserve">for group differences over time is smaller than the main effect within groups, except for studies that employ bidirectional control where participants of both groups learn to regulate a brain signal in </w:t>
      </w:r>
      <w:r w:rsidR="008E6B50" w:rsidRPr="000F1A58">
        <w:t xml:space="preserve">opposite </w:t>
      </w:r>
      <w:r w:rsidRPr="000F1A58">
        <w:t xml:space="preserve">directions. Hence, for most cases we can assume that interaction effects are a fraction of main effects and require substantially larger sample sizes to achieve similar statistical power. To illustrate this, we can </w:t>
      </w:r>
      <w:r w:rsidR="008E6B50" w:rsidRPr="000F1A58">
        <w:t xml:space="preserve">consider </w:t>
      </w:r>
      <w:r w:rsidRPr="000F1A58">
        <w:t>a classical neurofeedback study design consisting of a 2</w:t>
      </w:r>
      <w:r w:rsidR="005D6324" w:rsidRPr="000F1A58">
        <w:rPr>
          <w:rFonts w:cs="Times New Roman"/>
        </w:rPr>
        <w:t>×</w:t>
      </w:r>
      <w:r w:rsidRPr="000F1A58">
        <w:t xml:space="preserve">2 within-between subject design (ANOVA approach) and assume an effect size of d = 0.4 for the main effect and half </w:t>
      </w:r>
      <w:r w:rsidR="008E6C69" w:rsidRPr="000F1A58">
        <w:t xml:space="preserve">that </w:t>
      </w:r>
      <w:r w:rsidRPr="000F1A58">
        <w:t xml:space="preserve">size d = 0.2 for the interaction effect. </w:t>
      </w:r>
      <w:r w:rsidR="005D0562" w:rsidRPr="000F1A58">
        <w:t xml:space="preserve">According to </w:t>
      </w:r>
      <w:r w:rsidR="00797358" w:rsidRPr="000F1A58">
        <w:t xml:space="preserve">an analysis with </w:t>
      </w:r>
      <w:r w:rsidR="005D0562" w:rsidRPr="000F1A58">
        <w:t>G*Power</w:t>
      </w:r>
      <w:r w:rsidR="008E6B50" w:rsidRPr="000F1A58">
        <w:t>,</w:t>
      </w:r>
      <w:r w:rsidR="005D0562" w:rsidRPr="000F1A58">
        <w:t xml:space="preserve"> s</w:t>
      </w:r>
      <w:r w:rsidRPr="000F1A58">
        <w:t>uch</w:t>
      </w:r>
      <w:r w:rsidR="008E6B50" w:rsidRPr="000F1A58">
        <w:t xml:space="preserve"> a</w:t>
      </w:r>
      <w:r w:rsidRPr="000F1A58">
        <w:t xml:space="preserve"> design </w:t>
      </w:r>
      <w:r w:rsidR="008E6B50" w:rsidRPr="000F1A58">
        <w:t xml:space="preserve">needs </w:t>
      </w:r>
      <w:r w:rsidRPr="000F1A58">
        <w:t xml:space="preserve">a total sample size of at least 22 participants to detect the main effect at 80% power, and almost four times </w:t>
      </w:r>
      <w:r w:rsidR="008E6B50" w:rsidRPr="000F1A58">
        <w:t xml:space="preserve">as many </w:t>
      </w:r>
      <w:r w:rsidRPr="000F1A58">
        <w:t>participants (N = 82) to detect the comparatively</w:t>
      </w:r>
      <w:r w:rsidR="005D0562" w:rsidRPr="000F1A58">
        <w:t xml:space="preserve"> small interaction effect</w:t>
      </w:r>
      <w:r w:rsidRPr="000F1A58">
        <w:t xml:space="preserve">. We further note that under different statistical assumptions the required sample size to detect the interaction effect is </w:t>
      </w:r>
      <w:r w:rsidR="008E6B50" w:rsidRPr="000F1A58">
        <w:t xml:space="preserve">as much as </w:t>
      </w:r>
      <w:r w:rsidRPr="000F1A58">
        <w:t xml:space="preserve">sixteen times </w:t>
      </w:r>
      <w:r w:rsidR="008E6B50" w:rsidRPr="000F1A58">
        <w:t xml:space="preserve">greater </w:t>
      </w:r>
      <w:r w:rsidRPr="000F1A58">
        <w:t>(see Gelman, 2018). Hence, studies were underpowered to reliably detect group difference</w:t>
      </w:r>
      <w:r w:rsidR="00176924" w:rsidRPr="000F1A58">
        <w:t>s</w:t>
      </w:r>
      <w:r w:rsidRPr="000F1A58">
        <w:t>, which are very likely smaller than within-effects.</w:t>
      </w:r>
    </w:p>
    <w:p w14:paraId="7D9A344B" w14:textId="77777777" w:rsidR="00AC1E01" w:rsidRPr="000F1A58" w:rsidRDefault="00AC1E01" w:rsidP="00063588">
      <w:pPr>
        <w:spacing w:before="240"/>
        <w:outlineLvl w:val="0"/>
        <w:rPr>
          <w:rFonts w:eastAsia="Cambria" w:cs="Times New Roman"/>
          <w:b/>
          <w:szCs w:val="24"/>
        </w:rPr>
        <w:sectPr w:rsidR="00AC1E01" w:rsidRPr="000F1A58" w:rsidSect="00334CFE">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138" w:right="1181" w:bottom="1138" w:left="1282" w:header="720" w:footer="720" w:gutter="0"/>
          <w:cols w:space="720"/>
          <w:titlePg/>
          <w:docGrid w:linePitch="360"/>
        </w:sectPr>
      </w:pPr>
    </w:p>
    <w:p w14:paraId="3FE8FD71" w14:textId="3B145A4C" w:rsidR="003603F6" w:rsidRPr="000F1A58" w:rsidRDefault="003603F6" w:rsidP="003603F6">
      <w:pPr>
        <w:keepNext/>
        <w:rPr>
          <w:rFonts w:cs="Times New Roman"/>
          <w:b/>
          <w:bCs/>
          <w:szCs w:val="24"/>
        </w:rPr>
      </w:pPr>
      <w:r w:rsidRPr="000F1A58">
        <w:rPr>
          <w:rFonts w:cs="Times New Roman"/>
          <w:b/>
          <w:bCs/>
          <w:szCs w:val="24"/>
        </w:rPr>
        <w:lastRenderedPageBreak/>
        <w:t>Table S</w:t>
      </w:r>
      <w:r w:rsidR="00B21E62" w:rsidRPr="000F1A58">
        <w:rPr>
          <w:rFonts w:cs="Times New Roman"/>
          <w:b/>
          <w:bCs/>
          <w:szCs w:val="24"/>
        </w:rPr>
        <w:t>5</w:t>
      </w:r>
      <w:r w:rsidR="005D6324" w:rsidRPr="000F1A58">
        <w:rPr>
          <w:rFonts w:cs="Times New Roman"/>
          <w:b/>
          <w:bCs/>
          <w:szCs w:val="24"/>
        </w:rPr>
        <w:t>.</w:t>
      </w:r>
      <w:r w:rsidRPr="000F1A58">
        <w:rPr>
          <w:rFonts w:cs="Times New Roman"/>
          <w:b/>
          <w:bCs/>
          <w:szCs w:val="24"/>
        </w:rPr>
        <w:t xml:space="preserve"> </w:t>
      </w:r>
      <w:r w:rsidRPr="000F1A58">
        <w:rPr>
          <w:rFonts w:cs="Times New Roman"/>
          <w:bCs/>
          <w:szCs w:val="24"/>
        </w:rPr>
        <w:t>Comparison of</w:t>
      </w:r>
      <w:r w:rsidRPr="000F1A58">
        <w:rPr>
          <w:rFonts w:cs="Times New Roman"/>
          <w:b/>
          <w:bCs/>
          <w:szCs w:val="24"/>
        </w:rPr>
        <w:t xml:space="preserve"> </w:t>
      </w:r>
      <w:r w:rsidRPr="000F1A58">
        <w:rPr>
          <w:rFonts w:cs="Times New Roman"/>
          <w:bCs/>
          <w:szCs w:val="24"/>
        </w:rPr>
        <w:t>sensitivity of regulation performance analysis of studies not comparing the effect to the control condition/group.</w:t>
      </w:r>
    </w:p>
    <w:tbl>
      <w:tblPr>
        <w:tblW w:w="13358" w:type="dxa"/>
        <w:tblCellMar>
          <w:left w:w="70" w:type="dxa"/>
          <w:right w:w="70" w:type="dxa"/>
        </w:tblCellMar>
        <w:tblLook w:val="04A0" w:firstRow="1" w:lastRow="0" w:firstColumn="1" w:lastColumn="0" w:noHBand="0" w:noVBand="1"/>
      </w:tblPr>
      <w:tblGrid>
        <w:gridCol w:w="1477"/>
        <w:gridCol w:w="1044"/>
        <w:gridCol w:w="1075"/>
        <w:gridCol w:w="2840"/>
        <w:gridCol w:w="1392"/>
        <w:gridCol w:w="1583"/>
        <w:gridCol w:w="1579"/>
        <w:gridCol w:w="1183"/>
        <w:gridCol w:w="1185"/>
      </w:tblGrid>
      <w:tr w:rsidR="003603F6" w:rsidRPr="000F1A58" w14:paraId="6CD77287" w14:textId="77777777" w:rsidTr="00AC1E01">
        <w:trPr>
          <w:trHeight w:val="279"/>
        </w:trPr>
        <w:tc>
          <w:tcPr>
            <w:tcW w:w="1477" w:type="dxa"/>
            <w:vMerge w:val="restart"/>
            <w:shd w:val="clear" w:color="auto" w:fill="auto"/>
            <w:noWrap/>
            <w:vAlign w:val="center"/>
            <w:hideMark/>
          </w:tcPr>
          <w:p w14:paraId="684FA646" w14:textId="77777777" w:rsidR="003603F6" w:rsidRPr="000F1A58" w:rsidRDefault="003603F6" w:rsidP="003603F6">
            <w:pPr>
              <w:spacing w:before="0" w:after="0"/>
              <w:jc w:val="center"/>
              <w:rPr>
                <w:rFonts w:eastAsia="Times New Roman" w:cs="Times New Roman"/>
                <w:sz w:val="20"/>
                <w:szCs w:val="20"/>
                <w:lang w:eastAsia="de-DE"/>
              </w:rPr>
            </w:pPr>
            <w:r w:rsidRPr="000F1A58">
              <w:rPr>
                <w:rFonts w:ascii="Calibri" w:eastAsia="Times New Roman" w:hAnsi="Calibri" w:cs="Calibri"/>
                <w:b/>
                <w:bCs/>
                <w:color w:val="000000"/>
                <w:sz w:val="20"/>
                <w:szCs w:val="20"/>
                <w:lang w:eastAsia="de-DE"/>
              </w:rPr>
              <w:t>Study</w:t>
            </w:r>
          </w:p>
        </w:tc>
        <w:tc>
          <w:tcPr>
            <w:tcW w:w="1044" w:type="dxa"/>
            <w:vMerge w:val="restart"/>
            <w:shd w:val="clear" w:color="auto" w:fill="auto"/>
            <w:noWrap/>
            <w:vAlign w:val="center"/>
            <w:hideMark/>
          </w:tcPr>
          <w:p w14:paraId="52AABD8B" w14:textId="77777777" w:rsidR="003603F6" w:rsidRPr="000F1A58" w:rsidRDefault="003603F6" w:rsidP="003603F6">
            <w:pPr>
              <w:spacing w:before="0" w:after="0"/>
              <w:jc w:val="center"/>
              <w:rPr>
                <w:rFonts w:eastAsia="Times New Roman" w:cs="Times New Roman"/>
                <w:sz w:val="20"/>
                <w:szCs w:val="20"/>
                <w:lang w:eastAsia="de-DE"/>
              </w:rPr>
            </w:pPr>
            <w:r w:rsidRPr="000F1A58">
              <w:rPr>
                <w:rFonts w:ascii="Calibri" w:eastAsia="Times New Roman" w:hAnsi="Calibri" w:cs="Calibri"/>
                <w:b/>
                <w:bCs/>
                <w:color w:val="000000"/>
                <w:sz w:val="20"/>
                <w:szCs w:val="20"/>
                <w:lang w:eastAsia="de-DE"/>
              </w:rPr>
              <w:t>N</w:t>
            </w:r>
          </w:p>
        </w:tc>
        <w:tc>
          <w:tcPr>
            <w:tcW w:w="1075" w:type="dxa"/>
            <w:vMerge w:val="restart"/>
            <w:shd w:val="clear" w:color="auto" w:fill="auto"/>
            <w:noWrap/>
            <w:vAlign w:val="center"/>
            <w:hideMark/>
          </w:tcPr>
          <w:p w14:paraId="7B366FD5" w14:textId="1EC621CC" w:rsidR="003603F6" w:rsidRPr="000F1A58" w:rsidRDefault="00204F47" w:rsidP="003603F6">
            <w:pPr>
              <w:spacing w:before="0" w:after="0"/>
              <w:jc w:val="center"/>
              <w:rPr>
                <w:rFonts w:ascii="Calibri" w:eastAsia="Times New Roman" w:hAnsi="Calibri" w:cs="Calibri"/>
                <w:b/>
                <w:bCs/>
                <w:color w:val="000000"/>
                <w:sz w:val="20"/>
                <w:szCs w:val="20"/>
                <w:lang w:eastAsia="de-DE"/>
              </w:rPr>
            </w:pPr>
            <w:r w:rsidRPr="000F1A58">
              <w:rPr>
                <w:rFonts w:ascii="Calibri" w:eastAsia="Times New Roman" w:hAnsi="Calibri" w:cs="Calibri"/>
                <w:b/>
                <w:bCs/>
                <w:color w:val="000000"/>
                <w:sz w:val="20"/>
                <w:szCs w:val="20"/>
                <w:lang w:eastAsia="de-DE"/>
              </w:rPr>
              <w:t xml:space="preserve">Sample size </w:t>
            </w:r>
            <w:r w:rsidR="003603F6" w:rsidRPr="000F1A58">
              <w:rPr>
                <w:rFonts w:ascii="Calibri" w:eastAsia="Times New Roman" w:hAnsi="Calibri" w:cs="Calibri"/>
                <w:b/>
                <w:bCs/>
                <w:color w:val="000000"/>
                <w:sz w:val="20"/>
                <w:szCs w:val="20"/>
                <w:lang w:eastAsia="de-DE"/>
              </w:rPr>
              <w:t>for test</w:t>
            </w:r>
          </w:p>
        </w:tc>
        <w:tc>
          <w:tcPr>
            <w:tcW w:w="9762" w:type="dxa"/>
            <w:gridSpan w:val="6"/>
            <w:tcBorders>
              <w:bottom w:val="single" w:sz="4" w:space="0" w:color="auto"/>
            </w:tcBorders>
            <w:shd w:val="clear" w:color="auto" w:fill="auto"/>
            <w:vAlign w:val="bottom"/>
          </w:tcPr>
          <w:p w14:paraId="726D459F" w14:textId="77777777" w:rsidR="003603F6" w:rsidRPr="000F1A58" w:rsidRDefault="003603F6" w:rsidP="003603F6">
            <w:pPr>
              <w:spacing w:before="0" w:after="0"/>
              <w:jc w:val="center"/>
              <w:rPr>
                <w:rFonts w:ascii="Calibri" w:eastAsia="Times New Roman" w:hAnsi="Calibri" w:cs="Calibri"/>
                <w:b/>
                <w:bCs/>
                <w:color w:val="000000"/>
                <w:sz w:val="20"/>
                <w:szCs w:val="20"/>
                <w:lang w:eastAsia="de-DE"/>
              </w:rPr>
            </w:pPr>
            <w:r w:rsidRPr="000F1A58">
              <w:rPr>
                <w:rFonts w:ascii="Calibri" w:eastAsia="Times New Roman" w:hAnsi="Calibri" w:cs="Calibri"/>
                <w:b/>
                <w:bCs/>
                <w:color w:val="000000"/>
                <w:sz w:val="20"/>
                <w:szCs w:val="20"/>
                <w:lang w:eastAsia="de-DE"/>
              </w:rPr>
              <w:t>Sensitivity</w:t>
            </w:r>
          </w:p>
          <w:p w14:paraId="6514DFB8" w14:textId="77777777" w:rsidR="003603F6" w:rsidRPr="000F1A58" w:rsidRDefault="003603F6" w:rsidP="003603F6">
            <w:pPr>
              <w:spacing w:before="0" w:after="0"/>
              <w:jc w:val="center"/>
              <w:rPr>
                <w:rFonts w:ascii="Calibri" w:eastAsia="Times New Roman" w:hAnsi="Calibri" w:cs="Calibri"/>
                <w:b/>
                <w:bCs/>
                <w:color w:val="000000"/>
                <w:sz w:val="20"/>
                <w:szCs w:val="20"/>
                <w:lang w:eastAsia="de-DE"/>
              </w:rPr>
            </w:pPr>
          </w:p>
        </w:tc>
      </w:tr>
      <w:tr w:rsidR="003603F6" w:rsidRPr="000F1A58" w14:paraId="2246A740" w14:textId="77777777" w:rsidTr="00AC1E01">
        <w:trPr>
          <w:trHeight w:val="670"/>
        </w:trPr>
        <w:tc>
          <w:tcPr>
            <w:tcW w:w="1477" w:type="dxa"/>
            <w:vMerge/>
            <w:tcBorders>
              <w:bottom w:val="single" w:sz="4" w:space="0" w:color="auto"/>
            </w:tcBorders>
            <w:shd w:val="clear" w:color="auto" w:fill="auto"/>
            <w:noWrap/>
            <w:vAlign w:val="center"/>
            <w:hideMark/>
          </w:tcPr>
          <w:p w14:paraId="20519955" w14:textId="77777777" w:rsidR="003603F6" w:rsidRPr="000F1A58" w:rsidRDefault="003603F6" w:rsidP="003603F6">
            <w:pPr>
              <w:spacing w:before="0" w:after="0"/>
              <w:jc w:val="center"/>
              <w:rPr>
                <w:rFonts w:ascii="Calibri" w:eastAsia="Times New Roman" w:hAnsi="Calibri" w:cs="Calibri"/>
                <w:b/>
                <w:bCs/>
                <w:color w:val="000000"/>
                <w:sz w:val="20"/>
                <w:szCs w:val="20"/>
                <w:lang w:eastAsia="de-DE"/>
              </w:rPr>
            </w:pPr>
          </w:p>
        </w:tc>
        <w:tc>
          <w:tcPr>
            <w:tcW w:w="1044" w:type="dxa"/>
            <w:vMerge/>
            <w:tcBorders>
              <w:bottom w:val="single" w:sz="4" w:space="0" w:color="auto"/>
            </w:tcBorders>
            <w:shd w:val="clear" w:color="auto" w:fill="auto"/>
            <w:noWrap/>
            <w:vAlign w:val="center"/>
            <w:hideMark/>
          </w:tcPr>
          <w:p w14:paraId="7574281E" w14:textId="77777777" w:rsidR="003603F6" w:rsidRPr="000F1A58" w:rsidRDefault="003603F6" w:rsidP="003603F6">
            <w:pPr>
              <w:spacing w:before="0" w:after="0"/>
              <w:jc w:val="center"/>
              <w:rPr>
                <w:rFonts w:ascii="Calibri" w:eastAsia="Times New Roman" w:hAnsi="Calibri" w:cs="Calibri"/>
                <w:b/>
                <w:bCs/>
                <w:color w:val="000000"/>
                <w:sz w:val="20"/>
                <w:szCs w:val="20"/>
                <w:lang w:eastAsia="de-DE"/>
              </w:rPr>
            </w:pPr>
          </w:p>
        </w:tc>
        <w:tc>
          <w:tcPr>
            <w:tcW w:w="1075" w:type="dxa"/>
            <w:vMerge/>
            <w:tcBorders>
              <w:bottom w:val="single" w:sz="4" w:space="0" w:color="auto"/>
            </w:tcBorders>
            <w:shd w:val="clear" w:color="auto" w:fill="auto"/>
            <w:noWrap/>
            <w:vAlign w:val="center"/>
            <w:hideMark/>
          </w:tcPr>
          <w:p w14:paraId="043409BA" w14:textId="77777777" w:rsidR="003603F6" w:rsidRPr="000F1A58" w:rsidRDefault="003603F6" w:rsidP="003603F6">
            <w:pPr>
              <w:spacing w:before="0" w:after="0"/>
              <w:jc w:val="center"/>
              <w:rPr>
                <w:rFonts w:ascii="Calibri" w:eastAsia="Times New Roman" w:hAnsi="Calibri" w:cs="Calibri"/>
                <w:b/>
                <w:bCs/>
                <w:color w:val="000000"/>
                <w:sz w:val="20"/>
                <w:szCs w:val="20"/>
                <w:lang w:eastAsia="de-DE"/>
              </w:rPr>
            </w:pPr>
          </w:p>
        </w:tc>
        <w:tc>
          <w:tcPr>
            <w:tcW w:w="2840" w:type="dxa"/>
            <w:tcBorders>
              <w:top w:val="single" w:sz="4" w:space="0" w:color="auto"/>
              <w:bottom w:val="single" w:sz="4" w:space="0" w:color="auto"/>
            </w:tcBorders>
            <w:shd w:val="clear" w:color="auto" w:fill="auto"/>
            <w:noWrap/>
            <w:vAlign w:val="center"/>
            <w:hideMark/>
          </w:tcPr>
          <w:p w14:paraId="5B65DDBD" w14:textId="4EEA10C2" w:rsidR="003603F6" w:rsidRPr="000F1A58" w:rsidRDefault="00176924" w:rsidP="003603F6">
            <w:pPr>
              <w:spacing w:before="0" w:after="0"/>
              <w:jc w:val="center"/>
              <w:rPr>
                <w:rFonts w:ascii="Calibri" w:eastAsia="Times New Roman" w:hAnsi="Calibri" w:cs="Calibri"/>
                <w:b/>
                <w:bCs/>
                <w:color w:val="000000"/>
                <w:sz w:val="20"/>
                <w:szCs w:val="20"/>
                <w:lang w:eastAsia="de-DE"/>
              </w:rPr>
            </w:pPr>
            <w:r w:rsidRPr="000F1A58">
              <w:rPr>
                <w:rFonts w:ascii="Calibri" w:eastAsia="Times New Roman" w:hAnsi="Calibri" w:cs="Calibri"/>
                <w:b/>
                <w:bCs/>
                <w:color w:val="000000"/>
                <w:sz w:val="20"/>
                <w:szCs w:val="20"/>
                <w:lang w:eastAsia="de-DE"/>
              </w:rPr>
              <w:t>T</w:t>
            </w:r>
            <w:r w:rsidR="003603F6" w:rsidRPr="000F1A58">
              <w:rPr>
                <w:rFonts w:ascii="Calibri" w:eastAsia="Times New Roman" w:hAnsi="Calibri" w:cs="Calibri"/>
                <w:b/>
                <w:bCs/>
                <w:color w:val="000000"/>
                <w:sz w:val="20"/>
                <w:szCs w:val="20"/>
                <w:lang w:eastAsia="de-DE"/>
              </w:rPr>
              <w:t>est applied</w:t>
            </w:r>
          </w:p>
        </w:tc>
        <w:tc>
          <w:tcPr>
            <w:tcW w:w="1392" w:type="dxa"/>
            <w:tcBorders>
              <w:top w:val="single" w:sz="4" w:space="0" w:color="auto"/>
              <w:bottom w:val="single" w:sz="4" w:space="0" w:color="auto"/>
            </w:tcBorders>
            <w:shd w:val="clear" w:color="auto" w:fill="auto"/>
            <w:noWrap/>
            <w:vAlign w:val="center"/>
            <w:hideMark/>
          </w:tcPr>
          <w:p w14:paraId="6DF88C33" w14:textId="77777777" w:rsidR="003603F6" w:rsidRPr="000F1A58" w:rsidRDefault="003603F6" w:rsidP="003603F6">
            <w:pPr>
              <w:spacing w:before="0" w:after="0"/>
              <w:jc w:val="center"/>
              <w:rPr>
                <w:rFonts w:ascii="Calibri" w:eastAsia="Times New Roman" w:hAnsi="Calibri" w:cs="Calibri"/>
                <w:b/>
                <w:bCs/>
                <w:color w:val="000000"/>
                <w:sz w:val="20"/>
                <w:szCs w:val="20"/>
                <w:lang w:eastAsia="de-DE"/>
              </w:rPr>
            </w:pPr>
            <w:r w:rsidRPr="000F1A58">
              <w:rPr>
                <w:rFonts w:ascii="Calibri" w:eastAsia="Times New Roman" w:hAnsi="Calibri" w:cs="Calibri"/>
                <w:b/>
                <w:bCs/>
                <w:color w:val="000000"/>
                <w:sz w:val="20"/>
                <w:szCs w:val="20"/>
                <w:lang w:eastAsia="de-DE"/>
              </w:rPr>
              <w:t>80%</w:t>
            </w:r>
          </w:p>
        </w:tc>
        <w:tc>
          <w:tcPr>
            <w:tcW w:w="1583" w:type="dxa"/>
            <w:tcBorders>
              <w:top w:val="single" w:sz="4" w:space="0" w:color="auto"/>
              <w:bottom w:val="single" w:sz="4" w:space="0" w:color="auto"/>
            </w:tcBorders>
            <w:shd w:val="clear" w:color="auto" w:fill="auto"/>
            <w:noWrap/>
            <w:vAlign w:val="center"/>
            <w:hideMark/>
          </w:tcPr>
          <w:p w14:paraId="732779FC" w14:textId="77777777" w:rsidR="003603F6" w:rsidRPr="000F1A58" w:rsidRDefault="003603F6" w:rsidP="003603F6">
            <w:pPr>
              <w:spacing w:before="0" w:after="0"/>
              <w:jc w:val="center"/>
              <w:rPr>
                <w:rFonts w:ascii="Calibri" w:eastAsia="Times New Roman" w:hAnsi="Calibri" w:cs="Calibri"/>
                <w:b/>
                <w:bCs/>
                <w:color w:val="000000"/>
                <w:sz w:val="20"/>
                <w:szCs w:val="20"/>
                <w:lang w:eastAsia="de-DE"/>
              </w:rPr>
            </w:pPr>
            <w:r w:rsidRPr="000F1A58">
              <w:rPr>
                <w:rFonts w:ascii="Calibri" w:eastAsia="Times New Roman" w:hAnsi="Calibri" w:cs="Calibri"/>
                <w:b/>
                <w:bCs/>
                <w:color w:val="000000"/>
                <w:sz w:val="20"/>
                <w:szCs w:val="20"/>
                <w:lang w:eastAsia="de-DE"/>
              </w:rPr>
              <w:t>95%</w:t>
            </w:r>
          </w:p>
        </w:tc>
        <w:tc>
          <w:tcPr>
            <w:tcW w:w="1579" w:type="dxa"/>
            <w:tcBorders>
              <w:top w:val="single" w:sz="4" w:space="0" w:color="auto"/>
              <w:bottom w:val="single" w:sz="4" w:space="0" w:color="auto"/>
            </w:tcBorders>
            <w:shd w:val="clear" w:color="auto" w:fill="auto"/>
            <w:noWrap/>
            <w:vAlign w:val="center"/>
            <w:hideMark/>
          </w:tcPr>
          <w:p w14:paraId="4C7FA352" w14:textId="57DC14E4" w:rsidR="003603F6" w:rsidRPr="000F1A58" w:rsidRDefault="00176924" w:rsidP="003603F6">
            <w:pPr>
              <w:spacing w:before="0" w:after="0"/>
              <w:rPr>
                <w:rFonts w:ascii="Calibri" w:hAnsi="Calibri" w:cs="Calibri"/>
                <w:b/>
                <w:bCs/>
                <w:color w:val="000000"/>
                <w:sz w:val="20"/>
                <w:szCs w:val="20"/>
              </w:rPr>
            </w:pPr>
            <w:r w:rsidRPr="000F1A58">
              <w:rPr>
                <w:rFonts w:ascii="Calibri" w:hAnsi="Calibri" w:cs="Calibri"/>
                <w:b/>
                <w:bCs/>
                <w:color w:val="000000"/>
                <w:sz w:val="20"/>
                <w:szCs w:val="20"/>
              </w:rPr>
              <w:t>T</w:t>
            </w:r>
            <w:r w:rsidR="003603F6" w:rsidRPr="000F1A58">
              <w:rPr>
                <w:rFonts w:ascii="Calibri" w:hAnsi="Calibri" w:cs="Calibri"/>
                <w:b/>
                <w:bCs/>
                <w:color w:val="000000"/>
                <w:sz w:val="20"/>
                <w:szCs w:val="20"/>
              </w:rPr>
              <w:t>est for group effect</w:t>
            </w:r>
          </w:p>
        </w:tc>
        <w:tc>
          <w:tcPr>
            <w:tcW w:w="1183" w:type="dxa"/>
            <w:tcBorders>
              <w:top w:val="single" w:sz="4" w:space="0" w:color="auto"/>
              <w:bottom w:val="single" w:sz="4" w:space="0" w:color="auto"/>
            </w:tcBorders>
            <w:shd w:val="clear" w:color="auto" w:fill="auto"/>
            <w:noWrap/>
            <w:vAlign w:val="center"/>
            <w:hideMark/>
          </w:tcPr>
          <w:p w14:paraId="57A9547C" w14:textId="77777777" w:rsidR="003603F6" w:rsidRPr="000F1A58" w:rsidRDefault="003603F6" w:rsidP="003603F6">
            <w:pPr>
              <w:spacing w:before="0" w:after="0"/>
              <w:jc w:val="center"/>
              <w:rPr>
                <w:rFonts w:ascii="Calibri" w:eastAsia="Times New Roman" w:hAnsi="Calibri" w:cs="Calibri"/>
                <w:b/>
                <w:bCs/>
                <w:color w:val="000000"/>
                <w:sz w:val="20"/>
                <w:szCs w:val="20"/>
                <w:lang w:eastAsia="de-DE"/>
              </w:rPr>
            </w:pPr>
            <w:r w:rsidRPr="000F1A58">
              <w:rPr>
                <w:rFonts w:ascii="Calibri" w:eastAsia="Times New Roman" w:hAnsi="Calibri" w:cs="Calibri"/>
                <w:b/>
                <w:bCs/>
                <w:color w:val="000000"/>
                <w:sz w:val="20"/>
                <w:szCs w:val="20"/>
                <w:lang w:eastAsia="de-DE"/>
              </w:rPr>
              <w:t>80%</w:t>
            </w:r>
          </w:p>
        </w:tc>
        <w:tc>
          <w:tcPr>
            <w:tcW w:w="1183" w:type="dxa"/>
            <w:tcBorders>
              <w:top w:val="single" w:sz="4" w:space="0" w:color="auto"/>
              <w:bottom w:val="single" w:sz="4" w:space="0" w:color="auto"/>
            </w:tcBorders>
            <w:shd w:val="clear" w:color="auto" w:fill="auto"/>
            <w:noWrap/>
            <w:vAlign w:val="center"/>
            <w:hideMark/>
          </w:tcPr>
          <w:p w14:paraId="161AEEC5" w14:textId="77777777" w:rsidR="003603F6" w:rsidRPr="000F1A58" w:rsidRDefault="003603F6" w:rsidP="003603F6">
            <w:pPr>
              <w:spacing w:before="0" w:after="0"/>
              <w:jc w:val="center"/>
              <w:rPr>
                <w:rFonts w:ascii="Calibri" w:eastAsia="Times New Roman" w:hAnsi="Calibri" w:cs="Calibri"/>
                <w:b/>
                <w:bCs/>
                <w:color w:val="000000"/>
                <w:sz w:val="20"/>
                <w:szCs w:val="20"/>
                <w:lang w:eastAsia="de-DE"/>
              </w:rPr>
            </w:pPr>
            <w:r w:rsidRPr="000F1A58">
              <w:rPr>
                <w:rFonts w:ascii="Calibri" w:eastAsia="Times New Roman" w:hAnsi="Calibri" w:cs="Calibri"/>
                <w:b/>
                <w:bCs/>
                <w:color w:val="000000"/>
                <w:sz w:val="20"/>
                <w:szCs w:val="20"/>
                <w:lang w:eastAsia="de-DE"/>
              </w:rPr>
              <w:t>95%</w:t>
            </w:r>
          </w:p>
        </w:tc>
      </w:tr>
      <w:tr w:rsidR="003603F6" w:rsidRPr="000F1A58" w14:paraId="62745EB5" w14:textId="77777777" w:rsidTr="00AC1E01">
        <w:trPr>
          <w:trHeight w:val="558"/>
        </w:trPr>
        <w:tc>
          <w:tcPr>
            <w:tcW w:w="1477" w:type="dxa"/>
            <w:shd w:val="clear" w:color="auto" w:fill="auto"/>
            <w:hideMark/>
          </w:tcPr>
          <w:p w14:paraId="0B8B181F" w14:textId="77777777" w:rsidR="003603F6" w:rsidRPr="000F1A58" w:rsidRDefault="003603F6" w:rsidP="003603F6">
            <w:pPr>
              <w:spacing w:before="0" w:after="0"/>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Hosseini et al. (2016)</w:t>
            </w:r>
          </w:p>
        </w:tc>
        <w:tc>
          <w:tcPr>
            <w:tcW w:w="1044" w:type="dxa"/>
            <w:shd w:val="clear" w:color="auto" w:fill="auto"/>
            <w:hideMark/>
          </w:tcPr>
          <w:p w14:paraId="722916E1"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20</w:t>
            </w:r>
          </w:p>
        </w:tc>
        <w:tc>
          <w:tcPr>
            <w:tcW w:w="1075" w:type="dxa"/>
            <w:shd w:val="clear" w:color="auto" w:fill="auto"/>
            <w:hideMark/>
          </w:tcPr>
          <w:p w14:paraId="2D5FA9BB"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10</w:t>
            </w:r>
          </w:p>
        </w:tc>
        <w:tc>
          <w:tcPr>
            <w:tcW w:w="2840" w:type="dxa"/>
            <w:shd w:val="clear" w:color="auto" w:fill="auto"/>
            <w:hideMark/>
          </w:tcPr>
          <w:p w14:paraId="49FF254D" w14:textId="77777777" w:rsidR="003603F6" w:rsidRPr="000F1A58" w:rsidRDefault="003603F6" w:rsidP="003603F6">
            <w:pPr>
              <w:spacing w:before="0" w:after="0"/>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one-sample t-test on regression slopes (1-sided)</w:t>
            </w:r>
          </w:p>
        </w:tc>
        <w:tc>
          <w:tcPr>
            <w:tcW w:w="1392" w:type="dxa"/>
            <w:shd w:val="clear" w:color="auto" w:fill="auto"/>
            <w:hideMark/>
          </w:tcPr>
          <w:p w14:paraId="5C46E7EB"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d = 0.85</w:t>
            </w:r>
          </w:p>
        </w:tc>
        <w:tc>
          <w:tcPr>
            <w:tcW w:w="1583" w:type="dxa"/>
            <w:shd w:val="clear" w:color="auto" w:fill="auto"/>
            <w:hideMark/>
          </w:tcPr>
          <w:p w14:paraId="273C0042"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d = 1.13</w:t>
            </w:r>
          </w:p>
        </w:tc>
        <w:tc>
          <w:tcPr>
            <w:tcW w:w="1579" w:type="dxa"/>
            <w:shd w:val="clear" w:color="auto" w:fill="auto"/>
            <w:hideMark/>
          </w:tcPr>
          <w:p w14:paraId="43E2AE4E"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hAnsi="Calibri" w:cs="Calibri"/>
                <w:color w:val="000000"/>
                <w:sz w:val="20"/>
                <w:szCs w:val="20"/>
              </w:rPr>
              <w:t>mixed-ANOVA (2x4)</w:t>
            </w:r>
          </w:p>
        </w:tc>
        <w:tc>
          <w:tcPr>
            <w:tcW w:w="1183" w:type="dxa"/>
            <w:shd w:val="clear" w:color="auto" w:fill="auto"/>
            <w:hideMark/>
          </w:tcPr>
          <w:p w14:paraId="6A45C75E"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hAnsi="Calibri" w:cs="Calibri"/>
                <w:color w:val="000000"/>
                <w:sz w:val="20"/>
                <w:szCs w:val="20"/>
              </w:rPr>
              <w:t>d = 0.34</w:t>
            </w:r>
          </w:p>
        </w:tc>
        <w:tc>
          <w:tcPr>
            <w:tcW w:w="1183" w:type="dxa"/>
            <w:shd w:val="clear" w:color="auto" w:fill="auto"/>
            <w:hideMark/>
          </w:tcPr>
          <w:p w14:paraId="11FE439B"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hAnsi="Calibri" w:cs="Calibri"/>
                <w:color w:val="000000"/>
                <w:sz w:val="20"/>
                <w:szCs w:val="20"/>
              </w:rPr>
              <w:t>d = 0.43</w:t>
            </w:r>
          </w:p>
        </w:tc>
      </w:tr>
      <w:tr w:rsidR="003603F6" w:rsidRPr="000F1A58" w14:paraId="1D5C9868" w14:textId="77777777" w:rsidTr="00AC1E01">
        <w:trPr>
          <w:trHeight w:val="558"/>
        </w:trPr>
        <w:tc>
          <w:tcPr>
            <w:tcW w:w="1477" w:type="dxa"/>
            <w:shd w:val="clear" w:color="auto" w:fill="auto"/>
            <w:hideMark/>
          </w:tcPr>
          <w:p w14:paraId="256237F2" w14:textId="77777777" w:rsidR="003603F6" w:rsidRPr="000F1A58" w:rsidRDefault="003603F6" w:rsidP="003603F6">
            <w:pPr>
              <w:spacing w:before="0" w:after="0"/>
              <w:rPr>
                <w:rFonts w:ascii="Calibri" w:eastAsia="Times New Roman" w:hAnsi="Calibri" w:cs="Calibri"/>
                <w:color w:val="000000"/>
                <w:sz w:val="20"/>
                <w:szCs w:val="20"/>
                <w:lang w:eastAsia="de-DE"/>
              </w:rPr>
            </w:pPr>
            <w:proofErr w:type="spellStart"/>
            <w:r w:rsidRPr="000F1A58">
              <w:rPr>
                <w:rFonts w:ascii="Calibri" w:eastAsia="Times New Roman" w:hAnsi="Calibri" w:cs="Calibri"/>
                <w:color w:val="000000"/>
                <w:sz w:val="20"/>
                <w:szCs w:val="20"/>
                <w:lang w:eastAsia="de-DE"/>
              </w:rPr>
              <w:t>Kober</w:t>
            </w:r>
            <w:proofErr w:type="spellEnd"/>
            <w:r w:rsidRPr="000F1A58">
              <w:rPr>
                <w:rFonts w:ascii="Calibri" w:eastAsia="Times New Roman" w:hAnsi="Calibri" w:cs="Calibri"/>
                <w:color w:val="000000"/>
                <w:sz w:val="20"/>
                <w:szCs w:val="20"/>
                <w:lang w:eastAsia="de-DE"/>
              </w:rPr>
              <w:t xml:space="preserve"> et al. (2015)</w:t>
            </w:r>
          </w:p>
        </w:tc>
        <w:tc>
          <w:tcPr>
            <w:tcW w:w="1044" w:type="dxa"/>
            <w:shd w:val="clear" w:color="auto" w:fill="auto"/>
            <w:hideMark/>
          </w:tcPr>
          <w:p w14:paraId="440911DC"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20</w:t>
            </w:r>
          </w:p>
        </w:tc>
        <w:tc>
          <w:tcPr>
            <w:tcW w:w="1075" w:type="dxa"/>
            <w:shd w:val="clear" w:color="auto" w:fill="auto"/>
            <w:hideMark/>
          </w:tcPr>
          <w:p w14:paraId="2AFF01AF"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7 sessions</w:t>
            </w:r>
          </w:p>
        </w:tc>
        <w:tc>
          <w:tcPr>
            <w:tcW w:w="2840" w:type="dxa"/>
            <w:shd w:val="clear" w:color="auto" w:fill="auto"/>
            <w:hideMark/>
          </w:tcPr>
          <w:p w14:paraId="13F06B79" w14:textId="77777777" w:rsidR="003603F6" w:rsidRPr="000F1A58" w:rsidRDefault="003603F6" w:rsidP="003603F6">
            <w:pPr>
              <w:spacing w:before="0" w:after="0"/>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linear regression</w:t>
            </w:r>
          </w:p>
        </w:tc>
        <w:tc>
          <w:tcPr>
            <w:tcW w:w="1392" w:type="dxa"/>
            <w:shd w:val="clear" w:color="auto" w:fill="auto"/>
            <w:hideMark/>
          </w:tcPr>
          <w:p w14:paraId="0957ACB8"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d = 2.66</w:t>
            </w:r>
          </w:p>
        </w:tc>
        <w:tc>
          <w:tcPr>
            <w:tcW w:w="1583" w:type="dxa"/>
            <w:shd w:val="clear" w:color="auto" w:fill="auto"/>
            <w:hideMark/>
          </w:tcPr>
          <w:p w14:paraId="0389C552"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d = 3.46</w:t>
            </w:r>
          </w:p>
        </w:tc>
        <w:tc>
          <w:tcPr>
            <w:tcW w:w="1579" w:type="dxa"/>
            <w:shd w:val="clear" w:color="auto" w:fill="auto"/>
            <w:hideMark/>
          </w:tcPr>
          <w:p w14:paraId="57639049"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hAnsi="Calibri" w:cs="Calibri"/>
                <w:color w:val="000000"/>
                <w:sz w:val="20"/>
                <w:szCs w:val="20"/>
              </w:rPr>
              <w:t>mixed-ANOVA (2x7)</w:t>
            </w:r>
          </w:p>
        </w:tc>
        <w:tc>
          <w:tcPr>
            <w:tcW w:w="1183" w:type="dxa"/>
            <w:shd w:val="clear" w:color="auto" w:fill="auto"/>
            <w:hideMark/>
          </w:tcPr>
          <w:p w14:paraId="21A334E3"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hAnsi="Calibri" w:cs="Calibri"/>
                <w:color w:val="000000"/>
                <w:sz w:val="20"/>
                <w:szCs w:val="20"/>
              </w:rPr>
              <w:t>d = 0.29</w:t>
            </w:r>
          </w:p>
        </w:tc>
        <w:tc>
          <w:tcPr>
            <w:tcW w:w="1183" w:type="dxa"/>
            <w:shd w:val="clear" w:color="auto" w:fill="auto"/>
            <w:hideMark/>
          </w:tcPr>
          <w:p w14:paraId="0D309F51"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hAnsi="Calibri" w:cs="Calibri"/>
                <w:color w:val="000000"/>
                <w:sz w:val="20"/>
                <w:szCs w:val="20"/>
              </w:rPr>
              <w:t>d = 0.36</w:t>
            </w:r>
          </w:p>
        </w:tc>
      </w:tr>
      <w:tr w:rsidR="003603F6" w:rsidRPr="000F1A58" w14:paraId="3FDC9B55" w14:textId="77777777" w:rsidTr="00AC1E01">
        <w:trPr>
          <w:trHeight w:val="558"/>
        </w:trPr>
        <w:tc>
          <w:tcPr>
            <w:tcW w:w="1477" w:type="dxa"/>
            <w:shd w:val="clear" w:color="auto" w:fill="auto"/>
            <w:hideMark/>
          </w:tcPr>
          <w:p w14:paraId="044F872E" w14:textId="77777777" w:rsidR="003603F6" w:rsidRPr="000F1A58" w:rsidRDefault="003603F6" w:rsidP="003603F6">
            <w:pPr>
              <w:spacing w:before="0" w:after="0"/>
              <w:rPr>
                <w:rFonts w:ascii="Calibri" w:eastAsia="Times New Roman" w:hAnsi="Calibri" w:cs="Calibri"/>
                <w:color w:val="000000"/>
                <w:sz w:val="20"/>
                <w:szCs w:val="20"/>
                <w:lang w:eastAsia="de-DE"/>
              </w:rPr>
            </w:pPr>
            <w:proofErr w:type="spellStart"/>
            <w:r w:rsidRPr="000F1A58">
              <w:rPr>
                <w:rFonts w:ascii="Calibri" w:eastAsia="Times New Roman" w:hAnsi="Calibri" w:cs="Calibri"/>
                <w:color w:val="000000"/>
                <w:sz w:val="20"/>
                <w:szCs w:val="20"/>
                <w:lang w:eastAsia="de-DE"/>
              </w:rPr>
              <w:t>Kober</w:t>
            </w:r>
            <w:proofErr w:type="spellEnd"/>
            <w:r w:rsidRPr="000F1A58">
              <w:rPr>
                <w:rFonts w:ascii="Calibri" w:eastAsia="Times New Roman" w:hAnsi="Calibri" w:cs="Calibri"/>
                <w:color w:val="000000"/>
                <w:sz w:val="20"/>
                <w:szCs w:val="20"/>
                <w:lang w:eastAsia="de-DE"/>
              </w:rPr>
              <w:t xml:space="preserve"> et al. (2018)</w:t>
            </w:r>
          </w:p>
        </w:tc>
        <w:tc>
          <w:tcPr>
            <w:tcW w:w="1044" w:type="dxa"/>
            <w:shd w:val="clear" w:color="auto" w:fill="auto"/>
            <w:hideMark/>
          </w:tcPr>
          <w:p w14:paraId="7A01A86E"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48</w:t>
            </w:r>
          </w:p>
        </w:tc>
        <w:tc>
          <w:tcPr>
            <w:tcW w:w="1075" w:type="dxa"/>
            <w:shd w:val="clear" w:color="auto" w:fill="auto"/>
            <w:hideMark/>
          </w:tcPr>
          <w:p w14:paraId="2CA7710F"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12</w:t>
            </w:r>
          </w:p>
        </w:tc>
        <w:tc>
          <w:tcPr>
            <w:tcW w:w="2840" w:type="dxa"/>
            <w:shd w:val="clear" w:color="auto" w:fill="auto"/>
            <w:hideMark/>
          </w:tcPr>
          <w:p w14:paraId="2EA911E9" w14:textId="77777777" w:rsidR="003603F6" w:rsidRPr="000F1A58" w:rsidRDefault="003603F6" w:rsidP="003603F6">
            <w:pPr>
              <w:spacing w:before="0" w:after="0"/>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one-sample t-test on regression slopes (1-sided)</w:t>
            </w:r>
          </w:p>
        </w:tc>
        <w:tc>
          <w:tcPr>
            <w:tcW w:w="1392" w:type="dxa"/>
            <w:shd w:val="clear" w:color="auto" w:fill="auto"/>
            <w:hideMark/>
          </w:tcPr>
          <w:p w14:paraId="2720D9BC"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d = 0.77</w:t>
            </w:r>
          </w:p>
        </w:tc>
        <w:tc>
          <w:tcPr>
            <w:tcW w:w="1583" w:type="dxa"/>
            <w:shd w:val="clear" w:color="auto" w:fill="auto"/>
            <w:hideMark/>
          </w:tcPr>
          <w:p w14:paraId="324DBCB7"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d = 1.02</w:t>
            </w:r>
          </w:p>
        </w:tc>
        <w:tc>
          <w:tcPr>
            <w:tcW w:w="1579" w:type="dxa"/>
            <w:shd w:val="clear" w:color="auto" w:fill="auto"/>
            <w:hideMark/>
          </w:tcPr>
          <w:p w14:paraId="6B4D93E4"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hAnsi="Calibri" w:cs="Calibri"/>
                <w:color w:val="000000"/>
                <w:sz w:val="20"/>
                <w:szCs w:val="20"/>
              </w:rPr>
              <w:t>independent t-test on regression slopes (1-sided)</w:t>
            </w:r>
          </w:p>
        </w:tc>
        <w:tc>
          <w:tcPr>
            <w:tcW w:w="1183" w:type="dxa"/>
            <w:shd w:val="clear" w:color="auto" w:fill="auto"/>
            <w:hideMark/>
          </w:tcPr>
          <w:p w14:paraId="1A2F82BF"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hAnsi="Calibri" w:cs="Calibri"/>
                <w:color w:val="000000"/>
                <w:sz w:val="20"/>
                <w:szCs w:val="20"/>
              </w:rPr>
              <w:t>d = 1.05</w:t>
            </w:r>
          </w:p>
        </w:tc>
        <w:tc>
          <w:tcPr>
            <w:tcW w:w="1183" w:type="dxa"/>
            <w:shd w:val="clear" w:color="auto" w:fill="auto"/>
            <w:hideMark/>
          </w:tcPr>
          <w:p w14:paraId="2BB7A909"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hAnsi="Calibri" w:cs="Calibri"/>
                <w:color w:val="000000"/>
                <w:sz w:val="20"/>
                <w:szCs w:val="20"/>
              </w:rPr>
              <w:t>d = 1.39</w:t>
            </w:r>
          </w:p>
        </w:tc>
      </w:tr>
      <w:tr w:rsidR="003603F6" w:rsidRPr="000F1A58" w14:paraId="5CC03595" w14:textId="77777777" w:rsidTr="00AC1E01">
        <w:trPr>
          <w:trHeight w:val="558"/>
        </w:trPr>
        <w:tc>
          <w:tcPr>
            <w:tcW w:w="1477" w:type="dxa"/>
            <w:shd w:val="clear" w:color="auto" w:fill="auto"/>
            <w:hideMark/>
          </w:tcPr>
          <w:p w14:paraId="0D3FD649" w14:textId="77777777" w:rsidR="003603F6" w:rsidRPr="000F1A58" w:rsidRDefault="003603F6" w:rsidP="003603F6">
            <w:pPr>
              <w:spacing w:before="0" w:after="0"/>
              <w:rPr>
                <w:rFonts w:ascii="Calibri" w:eastAsia="Times New Roman" w:hAnsi="Calibri" w:cs="Calibri"/>
                <w:color w:val="000000"/>
                <w:sz w:val="20"/>
                <w:szCs w:val="20"/>
                <w:lang w:eastAsia="de-DE"/>
              </w:rPr>
            </w:pPr>
            <w:proofErr w:type="spellStart"/>
            <w:r w:rsidRPr="000F1A58">
              <w:rPr>
                <w:rFonts w:ascii="Calibri" w:eastAsia="Times New Roman" w:hAnsi="Calibri" w:cs="Calibri"/>
                <w:color w:val="000000"/>
                <w:sz w:val="20"/>
                <w:szCs w:val="20"/>
                <w:lang w:eastAsia="de-DE"/>
              </w:rPr>
              <w:t>Lapborisuth</w:t>
            </w:r>
            <w:proofErr w:type="spellEnd"/>
            <w:r w:rsidRPr="000F1A58">
              <w:rPr>
                <w:rFonts w:ascii="Calibri" w:eastAsia="Times New Roman" w:hAnsi="Calibri" w:cs="Calibri"/>
                <w:color w:val="000000"/>
                <w:sz w:val="20"/>
                <w:szCs w:val="20"/>
                <w:lang w:eastAsia="de-DE"/>
              </w:rPr>
              <w:t xml:space="preserve"> et al. (2017)</w:t>
            </w:r>
          </w:p>
        </w:tc>
        <w:tc>
          <w:tcPr>
            <w:tcW w:w="1044" w:type="dxa"/>
            <w:shd w:val="clear" w:color="auto" w:fill="auto"/>
            <w:hideMark/>
          </w:tcPr>
          <w:p w14:paraId="650C7028"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22</w:t>
            </w:r>
          </w:p>
        </w:tc>
        <w:tc>
          <w:tcPr>
            <w:tcW w:w="1075" w:type="dxa"/>
            <w:shd w:val="clear" w:color="auto" w:fill="auto"/>
            <w:hideMark/>
          </w:tcPr>
          <w:p w14:paraId="29378CDE"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22</w:t>
            </w:r>
          </w:p>
        </w:tc>
        <w:tc>
          <w:tcPr>
            <w:tcW w:w="2840" w:type="dxa"/>
            <w:shd w:val="clear" w:color="auto" w:fill="auto"/>
            <w:hideMark/>
          </w:tcPr>
          <w:p w14:paraId="5323EE6C" w14:textId="77777777" w:rsidR="003603F6" w:rsidRPr="000F1A58" w:rsidRDefault="003603F6" w:rsidP="003603F6">
            <w:pPr>
              <w:spacing w:before="0" w:after="0"/>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one-sample t-test (1-sided)</w:t>
            </w:r>
          </w:p>
        </w:tc>
        <w:tc>
          <w:tcPr>
            <w:tcW w:w="1392" w:type="dxa"/>
            <w:shd w:val="clear" w:color="auto" w:fill="auto"/>
            <w:hideMark/>
          </w:tcPr>
          <w:p w14:paraId="247E93E8"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d = 0.55</w:t>
            </w:r>
          </w:p>
        </w:tc>
        <w:tc>
          <w:tcPr>
            <w:tcW w:w="1583" w:type="dxa"/>
            <w:shd w:val="clear" w:color="auto" w:fill="auto"/>
            <w:hideMark/>
          </w:tcPr>
          <w:p w14:paraId="26FCE9A0"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d = 0.73</w:t>
            </w:r>
          </w:p>
        </w:tc>
        <w:tc>
          <w:tcPr>
            <w:tcW w:w="1579" w:type="dxa"/>
            <w:shd w:val="clear" w:color="auto" w:fill="auto"/>
            <w:hideMark/>
          </w:tcPr>
          <w:p w14:paraId="4F9B5765"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hAnsi="Calibri" w:cs="Calibri"/>
                <w:color w:val="000000"/>
                <w:sz w:val="20"/>
                <w:szCs w:val="20"/>
              </w:rPr>
              <w:t>paired t-test 1-sided</w:t>
            </w:r>
          </w:p>
        </w:tc>
        <w:tc>
          <w:tcPr>
            <w:tcW w:w="1183" w:type="dxa"/>
            <w:shd w:val="clear" w:color="auto" w:fill="auto"/>
            <w:hideMark/>
          </w:tcPr>
          <w:p w14:paraId="1574A758"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hAnsi="Calibri" w:cs="Calibri"/>
                <w:color w:val="000000"/>
                <w:sz w:val="20"/>
                <w:szCs w:val="20"/>
              </w:rPr>
              <w:t>d = 0.55</w:t>
            </w:r>
          </w:p>
        </w:tc>
        <w:tc>
          <w:tcPr>
            <w:tcW w:w="1183" w:type="dxa"/>
            <w:shd w:val="clear" w:color="auto" w:fill="auto"/>
            <w:hideMark/>
          </w:tcPr>
          <w:p w14:paraId="374492CB"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hAnsi="Calibri" w:cs="Calibri"/>
                <w:color w:val="000000"/>
                <w:sz w:val="20"/>
                <w:szCs w:val="20"/>
              </w:rPr>
              <w:t>d = 0.73</w:t>
            </w:r>
          </w:p>
        </w:tc>
      </w:tr>
      <w:tr w:rsidR="003603F6" w:rsidRPr="000F1A58" w14:paraId="1CF61F8C" w14:textId="77777777" w:rsidTr="00AC1E01">
        <w:trPr>
          <w:trHeight w:val="558"/>
        </w:trPr>
        <w:tc>
          <w:tcPr>
            <w:tcW w:w="1477" w:type="dxa"/>
            <w:shd w:val="clear" w:color="auto" w:fill="auto"/>
            <w:hideMark/>
          </w:tcPr>
          <w:p w14:paraId="54D48C0A" w14:textId="77777777" w:rsidR="003603F6" w:rsidRPr="000F1A58" w:rsidRDefault="003603F6" w:rsidP="003603F6">
            <w:pPr>
              <w:spacing w:before="0" w:after="0"/>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Lee et al. (2015)</w:t>
            </w:r>
          </w:p>
        </w:tc>
        <w:tc>
          <w:tcPr>
            <w:tcW w:w="1044" w:type="dxa"/>
            <w:shd w:val="clear" w:color="auto" w:fill="auto"/>
            <w:hideMark/>
          </w:tcPr>
          <w:p w14:paraId="790D3F96"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4</w:t>
            </w:r>
          </w:p>
        </w:tc>
        <w:tc>
          <w:tcPr>
            <w:tcW w:w="1075" w:type="dxa"/>
            <w:shd w:val="clear" w:color="auto" w:fill="auto"/>
            <w:hideMark/>
          </w:tcPr>
          <w:p w14:paraId="0C4D432C"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4</w:t>
            </w:r>
          </w:p>
        </w:tc>
        <w:tc>
          <w:tcPr>
            <w:tcW w:w="2840" w:type="dxa"/>
            <w:shd w:val="clear" w:color="auto" w:fill="auto"/>
            <w:hideMark/>
          </w:tcPr>
          <w:p w14:paraId="0B16B532" w14:textId="77777777" w:rsidR="003603F6" w:rsidRPr="000F1A58" w:rsidRDefault="003603F6" w:rsidP="003603F6">
            <w:pPr>
              <w:spacing w:before="0" w:after="0"/>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one-sample t-test (1-sided)</w:t>
            </w:r>
          </w:p>
        </w:tc>
        <w:tc>
          <w:tcPr>
            <w:tcW w:w="1392" w:type="dxa"/>
            <w:shd w:val="clear" w:color="auto" w:fill="auto"/>
            <w:hideMark/>
          </w:tcPr>
          <w:p w14:paraId="0131FA36"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d = 1.65</w:t>
            </w:r>
          </w:p>
        </w:tc>
        <w:tc>
          <w:tcPr>
            <w:tcW w:w="1583" w:type="dxa"/>
            <w:shd w:val="clear" w:color="auto" w:fill="auto"/>
            <w:hideMark/>
          </w:tcPr>
          <w:p w14:paraId="7558A22F"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d = 2.23</w:t>
            </w:r>
          </w:p>
        </w:tc>
        <w:tc>
          <w:tcPr>
            <w:tcW w:w="1579" w:type="dxa"/>
            <w:shd w:val="clear" w:color="auto" w:fill="auto"/>
            <w:hideMark/>
          </w:tcPr>
          <w:p w14:paraId="6452EA99"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hAnsi="Calibri" w:cs="Calibri"/>
                <w:color w:val="000000"/>
                <w:sz w:val="20"/>
                <w:szCs w:val="20"/>
              </w:rPr>
              <w:t>paired t-test 1-sided</w:t>
            </w:r>
          </w:p>
        </w:tc>
        <w:tc>
          <w:tcPr>
            <w:tcW w:w="1183" w:type="dxa"/>
            <w:shd w:val="clear" w:color="auto" w:fill="auto"/>
            <w:hideMark/>
          </w:tcPr>
          <w:p w14:paraId="5BFEC8D2"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hAnsi="Calibri" w:cs="Calibri"/>
                <w:color w:val="000000"/>
                <w:sz w:val="20"/>
                <w:szCs w:val="20"/>
              </w:rPr>
              <w:t>d = 1.65</w:t>
            </w:r>
          </w:p>
        </w:tc>
        <w:tc>
          <w:tcPr>
            <w:tcW w:w="1183" w:type="dxa"/>
            <w:shd w:val="clear" w:color="auto" w:fill="auto"/>
            <w:hideMark/>
          </w:tcPr>
          <w:p w14:paraId="586B06F1"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hAnsi="Calibri" w:cs="Calibri"/>
                <w:color w:val="000000"/>
                <w:sz w:val="20"/>
                <w:szCs w:val="20"/>
              </w:rPr>
              <w:t>d = 2.23</w:t>
            </w:r>
          </w:p>
        </w:tc>
      </w:tr>
      <w:tr w:rsidR="003603F6" w:rsidRPr="000F1A58" w14:paraId="20D16E60" w14:textId="77777777" w:rsidTr="00AC1E01">
        <w:trPr>
          <w:trHeight w:val="279"/>
        </w:trPr>
        <w:tc>
          <w:tcPr>
            <w:tcW w:w="1477" w:type="dxa"/>
            <w:tcBorders>
              <w:top w:val="single" w:sz="4" w:space="0" w:color="auto"/>
            </w:tcBorders>
            <w:shd w:val="clear" w:color="auto" w:fill="auto"/>
            <w:hideMark/>
          </w:tcPr>
          <w:p w14:paraId="29250917" w14:textId="77777777" w:rsidR="003603F6" w:rsidRPr="000F1A58" w:rsidRDefault="003603F6" w:rsidP="003603F6">
            <w:pPr>
              <w:spacing w:before="0" w:after="0"/>
              <w:rPr>
                <w:rFonts w:ascii="Calibri" w:eastAsia="Times New Roman" w:hAnsi="Calibri" w:cs="Calibri"/>
                <w:b/>
                <w:bCs/>
                <w:sz w:val="20"/>
                <w:szCs w:val="20"/>
                <w:lang w:eastAsia="de-DE"/>
              </w:rPr>
            </w:pPr>
            <w:r w:rsidRPr="000F1A58">
              <w:rPr>
                <w:rFonts w:ascii="Calibri" w:eastAsia="Times New Roman" w:hAnsi="Calibri" w:cs="Calibri"/>
                <w:b/>
                <w:bCs/>
                <w:sz w:val="20"/>
                <w:szCs w:val="20"/>
                <w:lang w:eastAsia="de-DE"/>
              </w:rPr>
              <w:t xml:space="preserve">Mean </w:t>
            </w:r>
          </w:p>
        </w:tc>
        <w:tc>
          <w:tcPr>
            <w:tcW w:w="1044" w:type="dxa"/>
            <w:tcBorders>
              <w:top w:val="single" w:sz="4" w:space="0" w:color="auto"/>
            </w:tcBorders>
            <w:shd w:val="clear" w:color="auto" w:fill="auto"/>
            <w:hideMark/>
          </w:tcPr>
          <w:p w14:paraId="0CDA78EC"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22.11</w:t>
            </w:r>
          </w:p>
        </w:tc>
        <w:tc>
          <w:tcPr>
            <w:tcW w:w="1075" w:type="dxa"/>
            <w:tcBorders>
              <w:top w:val="single" w:sz="4" w:space="0" w:color="auto"/>
            </w:tcBorders>
            <w:shd w:val="clear" w:color="auto" w:fill="auto"/>
            <w:hideMark/>
          </w:tcPr>
          <w:p w14:paraId="345DA6BD"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p>
        </w:tc>
        <w:tc>
          <w:tcPr>
            <w:tcW w:w="2840" w:type="dxa"/>
            <w:tcBorders>
              <w:top w:val="single" w:sz="4" w:space="0" w:color="auto"/>
            </w:tcBorders>
            <w:shd w:val="clear" w:color="auto" w:fill="auto"/>
            <w:hideMark/>
          </w:tcPr>
          <w:p w14:paraId="07D2728F" w14:textId="77777777" w:rsidR="003603F6" w:rsidRPr="000F1A58" w:rsidRDefault="003603F6" w:rsidP="003603F6">
            <w:pPr>
              <w:spacing w:before="0" w:after="0"/>
              <w:jc w:val="center"/>
              <w:rPr>
                <w:rFonts w:eastAsia="Times New Roman" w:cs="Times New Roman"/>
                <w:sz w:val="20"/>
                <w:szCs w:val="20"/>
                <w:lang w:eastAsia="de-DE"/>
              </w:rPr>
            </w:pPr>
          </w:p>
        </w:tc>
        <w:tc>
          <w:tcPr>
            <w:tcW w:w="1392" w:type="dxa"/>
            <w:tcBorders>
              <w:top w:val="single" w:sz="4" w:space="0" w:color="auto"/>
            </w:tcBorders>
            <w:shd w:val="clear" w:color="auto" w:fill="auto"/>
            <w:hideMark/>
          </w:tcPr>
          <w:p w14:paraId="2F819FE2"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d = 1.3</w:t>
            </w:r>
          </w:p>
        </w:tc>
        <w:tc>
          <w:tcPr>
            <w:tcW w:w="1583" w:type="dxa"/>
            <w:tcBorders>
              <w:top w:val="single" w:sz="4" w:space="0" w:color="auto"/>
            </w:tcBorders>
            <w:shd w:val="clear" w:color="auto" w:fill="auto"/>
            <w:hideMark/>
          </w:tcPr>
          <w:p w14:paraId="1ADF62F7"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d = 1.71</w:t>
            </w:r>
          </w:p>
        </w:tc>
        <w:tc>
          <w:tcPr>
            <w:tcW w:w="1579" w:type="dxa"/>
            <w:tcBorders>
              <w:top w:val="single" w:sz="4" w:space="0" w:color="auto"/>
            </w:tcBorders>
            <w:shd w:val="clear" w:color="auto" w:fill="auto"/>
          </w:tcPr>
          <w:p w14:paraId="06E46A9C"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p>
        </w:tc>
        <w:tc>
          <w:tcPr>
            <w:tcW w:w="1183" w:type="dxa"/>
            <w:tcBorders>
              <w:top w:val="single" w:sz="4" w:space="0" w:color="auto"/>
            </w:tcBorders>
            <w:shd w:val="clear" w:color="auto" w:fill="auto"/>
            <w:hideMark/>
          </w:tcPr>
          <w:p w14:paraId="03DAA417"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hAnsi="Calibri" w:cs="Calibri"/>
                <w:color w:val="000000"/>
                <w:sz w:val="20"/>
                <w:szCs w:val="20"/>
              </w:rPr>
              <w:t>d = 0.78</w:t>
            </w:r>
          </w:p>
        </w:tc>
        <w:tc>
          <w:tcPr>
            <w:tcW w:w="1183" w:type="dxa"/>
            <w:tcBorders>
              <w:top w:val="single" w:sz="4" w:space="0" w:color="auto"/>
            </w:tcBorders>
            <w:shd w:val="clear" w:color="auto" w:fill="auto"/>
            <w:hideMark/>
          </w:tcPr>
          <w:p w14:paraId="75D5A96B"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hAnsi="Calibri" w:cs="Calibri"/>
                <w:color w:val="000000"/>
                <w:sz w:val="20"/>
                <w:szCs w:val="20"/>
              </w:rPr>
              <w:t>d = 1.03</w:t>
            </w:r>
          </w:p>
        </w:tc>
      </w:tr>
      <w:tr w:rsidR="003603F6" w:rsidRPr="000F1A58" w14:paraId="4BC8F63D" w14:textId="77777777" w:rsidTr="00AC1E01">
        <w:trPr>
          <w:trHeight w:val="279"/>
        </w:trPr>
        <w:tc>
          <w:tcPr>
            <w:tcW w:w="1477" w:type="dxa"/>
            <w:tcBorders>
              <w:bottom w:val="single" w:sz="4" w:space="0" w:color="auto"/>
            </w:tcBorders>
            <w:shd w:val="clear" w:color="auto" w:fill="auto"/>
            <w:hideMark/>
          </w:tcPr>
          <w:p w14:paraId="1D842022" w14:textId="77777777" w:rsidR="003603F6" w:rsidRPr="000F1A58" w:rsidRDefault="003603F6" w:rsidP="003603F6">
            <w:pPr>
              <w:spacing w:before="0" w:after="0"/>
              <w:rPr>
                <w:rFonts w:ascii="Calibri" w:eastAsia="Times New Roman" w:hAnsi="Calibri" w:cs="Calibri"/>
                <w:b/>
                <w:bCs/>
                <w:sz w:val="20"/>
                <w:szCs w:val="20"/>
                <w:lang w:eastAsia="de-DE"/>
              </w:rPr>
            </w:pPr>
            <w:r w:rsidRPr="000F1A58">
              <w:rPr>
                <w:rFonts w:ascii="Calibri" w:eastAsia="Times New Roman" w:hAnsi="Calibri" w:cs="Calibri"/>
                <w:b/>
                <w:bCs/>
                <w:sz w:val="20"/>
                <w:szCs w:val="20"/>
                <w:lang w:eastAsia="de-DE"/>
              </w:rPr>
              <w:t>Median</w:t>
            </w:r>
          </w:p>
        </w:tc>
        <w:tc>
          <w:tcPr>
            <w:tcW w:w="1044" w:type="dxa"/>
            <w:tcBorders>
              <w:bottom w:val="single" w:sz="4" w:space="0" w:color="auto"/>
            </w:tcBorders>
            <w:shd w:val="clear" w:color="auto" w:fill="auto"/>
            <w:hideMark/>
          </w:tcPr>
          <w:p w14:paraId="70D18839"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20</w:t>
            </w:r>
          </w:p>
        </w:tc>
        <w:tc>
          <w:tcPr>
            <w:tcW w:w="1075" w:type="dxa"/>
            <w:tcBorders>
              <w:bottom w:val="single" w:sz="4" w:space="0" w:color="auto"/>
            </w:tcBorders>
            <w:shd w:val="clear" w:color="auto" w:fill="auto"/>
            <w:hideMark/>
          </w:tcPr>
          <w:p w14:paraId="3163E4AD"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p>
        </w:tc>
        <w:tc>
          <w:tcPr>
            <w:tcW w:w="2840" w:type="dxa"/>
            <w:tcBorders>
              <w:bottom w:val="single" w:sz="4" w:space="0" w:color="auto"/>
            </w:tcBorders>
            <w:shd w:val="clear" w:color="auto" w:fill="auto"/>
            <w:hideMark/>
          </w:tcPr>
          <w:p w14:paraId="60487EF6" w14:textId="77777777" w:rsidR="003603F6" w:rsidRPr="000F1A58" w:rsidRDefault="003603F6" w:rsidP="003603F6">
            <w:pPr>
              <w:spacing w:before="0" w:after="0"/>
              <w:jc w:val="center"/>
              <w:rPr>
                <w:rFonts w:eastAsia="Times New Roman" w:cs="Times New Roman"/>
                <w:sz w:val="20"/>
                <w:szCs w:val="20"/>
                <w:lang w:eastAsia="de-DE"/>
              </w:rPr>
            </w:pPr>
          </w:p>
        </w:tc>
        <w:tc>
          <w:tcPr>
            <w:tcW w:w="1392" w:type="dxa"/>
            <w:tcBorders>
              <w:bottom w:val="single" w:sz="4" w:space="0" w:color="auto"/>
            </w:tcBorders>
            <w:shd w:val="clear" w:color="auto" w:fill="auto"/>
            <w:hideMark/>
          </w:tcPr>
          <w:p w14:paraId="583B9375"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d = 0.85</w:t>
            </w:r>
          </w:p>
        </w:tc>
        <w:tc>
          <w:tcPr>
            <w:tcW w:w="1583" w:type="dxa"/>
            <w:tcBorders>
              <w:bottom w:val="single" w:sz="4" w:space="0" w:color="auto"/>
            </w:tcBorders>
            <w:shd w:val="clear" w:color="auto" w:fill="auto"/>
            <w:hideMark/>
          </w:tcPr>
          <w:p w14:paraId="0094E585"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eastAsia="Times New Roman" w:hAnsi="Calibri" w:cs="Calibri"/>
                <w:color w:val="000000"/>
                <w:sz w:val="20"/>
                <w:szCs w:val="20"/>
                <w:lang w:eastAsia="de-DE"/>
              </w:rPr>
              <w:t>d = 1.13</w:t>
            </w:r>
          </w:p>
        </w:tc>
        <w:tc>
          <w:tcPr>
            <w:tcW w:w="1579" w:type="dxa"/>
            <w:tcBorders>
              <w:bottom w:val="single" w:sz="4" w:space="0" w:color="auto"/>
            </w:tcBorders>
            <w:shd w:val="clear" w:color="auto" w:fill="auto"/>
          </w:tcPr>
          <w:p w14:paraId="6B35D603"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p>
        </w:tc>
        <w:tc>
          <w:tcPr>
            <w:tcW w:w="1183" w:type="dxa"/>
            <w:tcBorders>
              <w:bottom w:val="single" w:sz="4" w:space="0" w:color="auto"/>
            </w:tcBorders>
            <w:shd w:val="clear" w:color="auto" w:fill="auto"/>
            <w:hideMark/>
          </w:tcPr>
          <w:p w14:paraId="0B6021DD"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hAnsi="Calibri" w:cs="Calibri"/>
                <w:color w:val="000000"/>
                <w:sz w:val="20"/>
                <w:szCs w:val="20"/>
              </w:rPr>
              <w:t>d = 0.55</w:t>
            </w:r>
          </w:p>
        </w:tc>
        <w:tc>
          <w:tcPr>
            <w:tcW w:w="1183" w:type="dxa"/>
            <w:tcBorders>
              <w:bottom w:val="single" w:sz="4" w:space="0" w:color="auto"/>
            </w:tcBorders>
            <w:shd w:val="clear" w:color="auto" w:fill="auto"/>
            <w:hideMark/>
          </w:tcPr>
          <w:p w14:paraId="01FFC22D" w14:textId="77777777" w:rsidR="003603F6" w:rsidRPr="000F1A58" w:rsidRDefault="003603F6" w:rsidP="003603F6">
            <w:pPr>
              <w:spacing w:before="0" w:after="0"/>
              <w:jc w:val="center"/>
              <w:rPr>
                <w:rFonts w:ascii="Calibri" w:eastAsia="Times New Roman" w:hAnsi="Calibri" w:cs="Calibri"/>
                <w:color w:val="000000"/>
                <w:sz w:val="20"/>
                <w:szCs w:val="20"/>
                <w:lang w:eastAsia="de-DE"/>
              </w:rPr>
            </w:pPr>
            <w:r w:rsidRPr="000F1A58">
              <w:rPr>
                <w:rFonts w:ascii="Calibri" w:hAnsi="Calibri" w:cs="Calibri"/>
                <w:color w:val="000000"/>
                <w:sz w:val="20"/>
                <w:szCs w:val="20"/>
              </w:rPr>
              <w:t>d = 0.73</w:t>
            </w:r>
          </w:p>
        </w:tc>
      </w:tr>
    </w:tbl>
    <w:p w14:paraId="779B5D59" w14:textId="161DF602" w:rsidR="003603F6" w:rsidRPr="000F1A58" w:rsidRDefault="003603F6" w:rsidP="003603F6">
      <w:pPr>
        <w:spacing w:before="0" w:after="0"/>
        <w:rPr>
          <w:rFonts w:asciiTheme="minorHAnsi" w:hAnsiTheme="minorHAnsi" w:cstheme="minorHAnsi"/>
          <w:sz w:val="20"/>
          <w:szCs w:val="20"/>
        </w:rPr>
      </w:pPr>
      <w:r w:rsidRPr="000F1A58">
        <w:rPr>
          <w:rFonts w:asciiTheme="minorHAnsi" w:hAnsiTheme="minorHAnsi" w:cstheme="minorHAnsi"/>
          <w:sz w:val="20"/>
          <w:szCs w:val="20"/>
        </w:rPr>
        <w:t>Comparison of sensitivity for test</w:t>
      </w:r>
      <w:r w:rsidR="00176924" w:rsidRPr="000F1A58">
        <w:rPr>
          <w:rFonts w:asciiTheme="minorHAnsi" w:hAnsiTheme="minorHAnsi" w:cstheme="minorHAnsi"/>
          <w:sz w:val="20"/>
          <w:szCs w:val="20"/>
        </w:rPr>
        <w:t>s</w:t>
      </w:r>
      <w:r w:rsidRPr="000F1A58">
        <w:rPr>
          <w:rFonts w:asciiTheme="minorHAnsi" w:hAnsiTheme="minorHAnsi" w:cstheme="minorHAnsi"/>
          <w:sz w:val="20"/>
          <w:szCs w:val="20"/>
        </w:rPr>
        <w:t xml:space="preserve"> reported by </w:t>
      </w:r>
      <w:r w:rsidR="008E6C69" w:rsidRPr="000F1A58">
        <w:rPr>
          <w:rFonts w:asciiTheme="minorHAnsi" w:hAnsiTheme="minorHAnsi" w:cstheme="minorHAnsi"/>
          <w:sz w:val="20"/>
          <w:szCs w:val="20"/>
        </w:rPr>
        <w:t xml:space="preserve">studies </w:t>
      </w:r>
      <w:r w:rsidRPr="000F1A58">
        <w:rPr>
          <w:rFonts w:asciiTheme="minorHAnsi" w:hAnsiTheme="minorHAnsi" w:cstheme="minorHAnsi"/>
          <w:sz w:val="20"/>
          <w:szCs w:val="20"/>
        </w:rPr>
        <w:t xml:space="preserve">comparing the effect to baseline and sensitivity for hypothetical comparison with control group/condition. Note that </w:t>
      </w:r>
      <w:r w:rsidR="008E6C69" w:rsidRPr="000F1A58">
        <w:rPr>
          <w:rFonts w:asciiTheme="minorHAnsi" w:hAnsiTheme="minorHAnsi" w:cstheme="minorHAnsi"/>
          <w:sz w:val="20"/>
          <w:szCs w:val="20"/>
        </w:rPr>
        <w:t xml:space="preserve">in order </w:t>
      </w:r>
      <w:r w:rsidRPr="000F1A58">
        <w:rPr>
          <w:rFonts w:asciiTheme="minorHAnsi" w:hAnsiTheme="minorHAnsi" w:cstheme="minorHAnsi"/>
          <w:sz w:val="20"/>
          <w:szCs w:val="20"/>
        </w:rPr>
        <w:t>to simplify the analysis</w:t>
      </w:r>
      <w:r w:rsidR="00176924" w:rsidRPr="000F1A58">
        <w:rPr>
          <w:rFonts w:asciiTheme="minorHAnsi" w:hAnsiTheme="minorHAnsi" w:cstheme="minorHAnsi"/>
          <w:sz w:val="20"/>
          <w:szCs w:val="20"/>
        </w:rPr>
        <w:t>,</w:t>
      </w:r>
      <w:r w:rsidRPr="000F1A58">
        <w:rPr>
          <w:rFonts w:asciiTheme="minorHAnsi" w:hAnsiTheme="minorHAnsi" w:cstheme="minorHAnsi"/>
          <w:sz w:val="20"/>
          <w:szCs w:val="20"/>
        </w:rPr>
        <w:t xml:space="preserve"> for some studies we performed the analysis for a different statistical test than </w:t>
      </w:r>
      <w:r w:rsidR="00176924" w:rsidRPr="000F1A58">
        <w:rPr>
          <w:rFonts w:asciiTheme="minorHAnsi" w:hAnsiTheme="minorHAnsi" w:cstheme="minorHAnsi"/>
          <w:sz w:val="20"/>
          <w:szCs w:val="20"/>
        </w:rPr>
        <w:t xml:space="preserve">the one </w:t>
      </w:r>
      <w:r w:rsidRPr="000F1A58">
        <w:rPr>
          <w:rFonts w:asciiTheme="minorHAnsi" w:hAnsiTheme="minorHAnsi" w:cstheme="minorHAnsi"/>
          <w:sz w:val="20"/>
          <w:szCs w:val="20"/>
        </w:rPr>
        <w:t>originally reported, did not take into account correction for multiple comparisons, and assumed no sphericity violation and a high correlation among repeated measures for ANOVAs. Overall, these measures should have led to overestimation of statistical power/sensitivity of the studies.</w:t>
      </w:r>
    </w:p>
    <w:p w14:paraId="28995521" w14:textId="77777777" w:rsidR="00AC1E01" w:rsidRPr="000F1A58" w:rsidRDefault="00AC1E01">
      <w:pPr>
        <w:spacing w:before="0" w:after="200" w:line="276" w:lineRule="auto"/>
        <w:sectPr w:rsidR="00AC1E01" w:rsidRPr="000F1A58" w:rsidSect="00334CFE">
          <w:headerReference w:type="default" r:id="rId28"/>
          <w:footerReference w:type="first" r:id="rId29"/>
          <w:type w:val="continuous"/>
          <w:pgSz w:w="15840" w:h="12240" w:orient="landscape"/>
          <w:pgMar w:top="1282" w:right="1138" w:bottom="1181" w:left="1138" w:header="720" w:footer="720" w:gutter="0"/>
          <w:cols w:space="720"/>
          <w:titlePg/>
          <w:docGrid w:linePitch="360"/>
        </w:sectPr>
      </w:pPr>
    </w:p>
    <w:p w14:paraId="4E475D15" w14:textId="274D81DA" w:rsidR="00CC013A" w:rsidRPr="000F1A58" w:rsidRDefault="00F77BAE" w:rsidP="004F7F51">
      <w:pPr>
        <w:pStyle w:val="Heading1"/>
        <w:numPr>
          <w:ilvl w:val="0"/>
          <w:numId w:val="0"/>
        </w:numPr>
      </w:pPr>
      <w:r w:rsidRPr="000F1A58">
        <w:lastRenderedPageBreak/>
        <w:t>References</w:t>
      </w:r>
    </w:p>
    <w:p w14:paraId="563BF7F4" w14:textId="37B6AF27" w:rsidR="00343258" w:rsidRPr="000F1A58" w:rsidRDefault="00343258" w:rsidP="00343258">
      <w:pPr>
        <w:ind w:left="482" w:hanging="482"/>
      </w:pPr>
      <w:r w:rsidRPr="000F1A58">
        <w:t xml:space="preserve">Gelman, A. (2018, March 15). You need 16 times the sample size to estimate an interaction than to estimate a main effect [Blog post]. Retrieved from </w:t>
      </w:r>
      <w:hyperlink r:id="rId30" w:anchor="comment-685111/" w:history="1">
        <w:r w:rsidRPr="000F1A58">
          <w:rPr>
            <w:rStyle w:val="Hyperlink"/>
          </w:rPr>
          <w:t>https://statmodeling.stat.columbia.edu/2018/03/15/need-16-times-sample-size-estimate-interaction-estimate-main-effect/#comment-685111/</w:t>
        </w:r>
      </w:hyperlink>
    </w:p>
    <w:p w14:paraId="44CF38F9" w14:textId="2809C272" w:rsidR="00467EF2" w:rsidRPr="00334CFE" w:rsidRDefault="00CC013A" w:rsidP="00467EF2">
      <w:pPr>
        <w:widowControl w:val="0"/>
        <w:autoSpaceDE w:val="0"/>
        <w:autoSpaceDN w:val="0"/>
        <w:adjustRightInd w:val="0"/>
        <w:ind w:left="480" w:hanging="480"/>
        <w:rPr>
          <w:rFonts w:cs="Times New Roman"/>
          <w:noProof/>
          <w:szCs w:val="24"/>
        </w:rPr>
      </w:pPr>
      <w:r w:rsidRPr="000F1A58">
        <w:fldChar w:fldCharType="begin" w:fldLock="1"/>
      </w:r>
      <w:r w:rsidRPr="00334CFE">
        <w:rPr>
          <w:lang w:val="en-GB"/>
        </w:rPr>
        <w:instrText xml:space="preserve">ADDIN Mendeley Bibliography CSL_BIBLIOGRAPHY </w:instrText>
      </w:r>
      <w:r w:rsidRPr="000F1A58">
        <w:fldChar w:fldCharType="separate"/>
      </w:r>
      <w:r w:rsidR="00467EF2" w:rsidRPr="00334CFE">
        <w:rPr>
          <w:rFonts w:cs="Times New Roman"/>
          <w:noProof/>
          <w:szCs w:val="24"/>
          <w:lang w:val="en-GB"/>
        </w:rPr>
        <w:t xml:space="preserve">Hudak, J., Blume, F., Dresler, T., Haeussinger, F. B., Renner, T. J., Fallgatter, A. J., et al. </w:t>
      </w:r>
      <w:r w:rsidR="00467EF2" w:rsidRPr="00467EF2">
        <w:rPr>
          <w:rFonts w:cs="Times New Roman"/>
          <w:noProof/>
          <w:szCs w:val="24"/>
        </w:rPr>
        <w:t xml:space="preserve">(2017). Near-Infrared Spectroscopy-Based Frontal Lobe Neurofeedback Integrated in Virtual Reality Modulates Brain and Behavior in Highly Impulsive Adults. </w:t>
      </w:r>
      <w:r w:rsidR="00467EF2" w:rsidRPr="00334CFE">
        <w:rPr>
          <w:rFonts w:cs="Times New Roman"/>
          <w:i/>
          <w:iCs/>
          <w:noProof/>
          <w:szCs w:val="24"/>
        </w:rPr>
        <w:t>Front. Hum. Neurosci.</w:t>
      </w:r>
      <w:r w:rsidR="00467EF2" w:rsidRPr="00334CFE">
        <w:rPr>
          <w:rFonts w:cs="Times New Roman"/>
          <w:noProof/>
          <w:szCs w:val="24"/>
        </w:rPr>
        <w:t xml:space="preserve"> 11, 1–13. doi:10.3389/fnhum.2017.00425.</w:t>
      </w:r>
    </w:p>
    <w:p w14:paraId="5CC984B1" w14:textId="77777777" w:rsidR="00467EF2" w:rsidRPr="00467EF2" w:rsidRDefault="00467EF2" w:rsidP="00467EF2">
      <w:pPr>
        <w:widowControl w:val="0"/>
        <w:autoSpaceDE w:val="0"/>
        <w:autoSpaceDN w:val="0"/>
        <w:adjustRightInd w:val="0"/>
        <w:ind w:left="480" w:hanging="480"/>
        <w:rPr>
          <w:rFonts w:cs="Times New Roman"/>
          <w:noProof/>
          <w:szCs w:val="24"/>
        </w:rPr>
      </w:pPr>
      <w:r w:rsidRPr="00334CFE">
        <w:rPr>
          <w:rFonts w:cs="Times New Roman"/>
          <w:noProof/>
          <w:szCs w:val="24"/>
        </w:rPr>
        <w:t xml:space="preserve">Marx, A.-M. M., Ehlis, A.-C. C., Furdea, A., Holtmann, M., Banaschewski, T., Brandeis, D., et al. </w:t>
      </w:r>
      <w:r w:rsidRPr="00467EF2">
        <w:rPr>
          <w:rFonts w:cs="Times New Roman"/>
          <w:noProof/>
          <w:szCs w:val="24"/>
        </w:rPr>
        <w:t xml:space="preserve">(2015). Near-infrared spectroscopy (NIRS) neurofeedback as a treatment for children with attention deficit hyperactivity disorder (ADHD)-a pilot study. </w:t>
      </w:r>
      <w:r w:rsidRPr="00467EF2">
        <w:rPr>
          <w:rFonts w:cs="Times New Roman"/>
          <w:i/>
          <w:iCs/>
          <w:noProof/>
          <w:szCs w:val="24"/>
        </w:rPr>
        <w:t>Front Hum Neurosci</w:t>
      </w:r>
      <w:r w:rsidRPr="00467EF2">
        <w:rPr>
          <w:rFonts w:cs="Times New Roman"/>
          <w:noProof/>
          <w:szCs w:val="24"/>
        </w:rPr>
        <w:t xml:space="preserve"> 8, 1038. doi:10.3389/fnhum.2014.01038.</w:t>
      </w:r>
    </w:p>
    <w:p w14:paraId="39F46B25" w14:textId="77777777" w:rsidR="00467EF2" w:rsidRPr="00E609D8" w:rsidRDefault="00467EF2" w:rsidP="00467EF2">
      <w:pPr>
        <w:widowControl w:val="0"/>
        <w:autoSpaceDE w:val="0"/>
        <w:autoSpaceDN w:val="0"/>
        <w:adjustRightInd w:val="0"/>
        <w:ind w:left="480" w:hanging="480"/>
        <w:rPr>
          <w:rFonts w:cs="Times New Roman"/>
          <w:noProof/>
          <w:szCs w:val="24"/>
          <w:lang w:val="de-DE"/>
        </w:rPr>
      </w:pPr>
      <w:r w:rsidRPr="00467EF2">
        <w:rPr>
          <w:rFonts w:cs="Times New Roman"/>
          <w:noProof/>
          <w:szCs w:val="24"/>
        </w:rPr>
        <w:t xml:space="preserve">Ros, T., Enriquez-Geppert, S., Zotev, V., Young, K. D., Wood, G., Whitfield-Gabrieli, S., et al. (2020). Consensus on the reporting and experimental design of clinical and cognitive-behavioural neurofeedback studies (CRED-nf checklist). </w:t>
      </w:r>
      <w:r w:rsidRPr="00E609D8">
        <w:rPr>
          <w:rFonts w:cs="Times New Roman"/>
          <w:i/>
          <w:iCs/>
          <w:noProof/>
          <w:szCs w:val="24"/>
          <w:lang w:val="de-DE"/>
        </w:rPr>
        <w:t>Brain</w:t>
      </w:r>
      <w:r w:rsidRPr="00E609D8">
        <w:rPr>
          <w:rFonts w:cs="Times New Roman"/>
          <w:noProof/>
          <w:szCs w:val="24"/>
          <w:lang w:val="de-DE"/>
        </w:rPr>
        <w:t>. doi:10.1093/brain/awaa009.</w:t>
      </w:r>
    </w:p>
    <w:p w14:paraId="70BF330B" w14:textId="77777777" w:rsidR="00467EF2" w:rsidRPr="00467EF2" w:rsidRDefault="00467EF2" w:rsidP="00467EF2">
      <w:pPr>
        <w:widowControl w:val="0"/>
        <w:autoSpaceDE w:val="0"/>
        <w:autoSpaceDN w:val="0"/>
        <w:adjustRightInd w:val="0"/>
        <w:ind w:left="480" w:hanging="480"/>
        <w:rPr>
          <w:rFonts w:cs="Times New Roman"/>
          <w:noProof/>
          <w:szCs w:val="24"/>
        </w:rPr>
      </w:pPr>
      <w:r w:rsidRPr="00E609D8">
        <w:rPr>
          <w:rFonts w:cs="Times New Roman"/>
          <w:noProof/>
          <w:szCs w:val="24"/>
          <w:lang w:val="de-DE"/>
        </w:rPr>
        <w:t xml:space="preserve">Schönenberg, M., Wiedemann, E., Schneidt, A., Scheeff, J., Logemann, A., Keune, P. M., et al. </w:t>
      </w:r>
      <w:r w:rsidRPr="00467EF2">
        <w:rPr>
          <w:rFonts w:cs="Times New Roman"/>
          <w:noProof/>
          <w:szCs w:val="24"/>
        </w:rPr>
        <w:t xml:space="preserve">(2017). Neurofeedback, sham neurofeedback, and cognitive-behavioural group therapy in adults with attention-deficit hyperactivity disorder: a triple-blind, randomised, controlled trial. </w:t>
      </w:r>
      <w:r w:rsidRPr="00467EF2">
        <w:rPr>
          <w:rFonts w:cs="Times New Roman"/>
          <w:i/>
          <w:iCs/>
          <w:noProof/>
          <w:szCs w:val="24"/>
        </w:rPr>
        <w:t>The lancet. Psychiatry</w:t>
      </w:r>
      <w:r w:rsidRPr="00467EF2">
        <w:rPr>
          <w:rFonts w:cs="Times New Roman"/>
          <w:noProof/>
          <w:szCs w:val="24"/>
        </w:rPr>
        <w:t xml:space="preserve"> 4, 673–684. doi:10.1016/S2215-0366(17)30291-2.</w:t>
      </w:r>
    </w:p>
    <w:p w14:paraId="72162D92" w14:textId="77777777" w:rsidR="00467EF2" w:rsidRPr="00467EF2" w:rsidRDefault="00467EF2" w:rsidP="00467EF2">
      <w:pPr>
        <w:widowControl w:val="0"/>
        <w:autoSpaceDE w:val="0"/>
        <w:autoSpaceDN w:val="0"/>
        <w:adjustRightInd w:val="0"/>
        <w:ind w:left="480" w:hanging="480"/>
        <w:rPr>
          <w:rFonts w:cs="Times New Roman"/>
          <w:noProof/>
          <w:szCs w:val="24"/>
        </w:rPr>
      </w:pPr>
      <w:r w:rsidRPr="00467EF2">
        <w:rPr>
          <w:rFonts w:cs="Times New Roman"/>
          <w:noProof/>
          <w:szCs w:val="24"/>
        </w:rPr>
        <w:t xml:space="preserve">Tufanaru, C., Munn, Z., Aromataris, E., Campbell, J., and Hopp, L. (2017). “Chapter 3: Systematic reviews of effectiveness.,” in </w:t>
      </w:r>
      <w:r w:rsidRPr="00467EF2">
        <w:rPr>
          <w:rFonts w:cs="Times New Roman"/>
          <w:i/>
          <w:iCs/>
          <w:noProof/>
          <w:szCs w:val="24"/>
        </w:rPr>
        <w:t>Joanna Briggs Institute Reviewer’s Manual.</w:t>
      </w:r>
      <w:r w:rsidRPr="00467EF2">
        <w:rPr>
          <w:rFonts w:cs="Times New Roman"/>
          <w:noProof/>
          <w:szCs w:val="24"/>
        </w:rPr>
        <w:t>, eds. E. Aromataris and Z. Munn (The Joanna Briggs Institute). Available at: https://reviewersmanual.joannabriggs.org/.</w:t>
      </w:r>
    </w:p>
    <w:p w14:paraId="57DF2E8D" w14:textId="77777777" w:rsidR="00467EF2" w:rsidRPr="00467EF2" w:rsidRDefault="00467EF2" w:rsidP="00467EF2">
      <w:pPr>
        <w:widowControl w:val="0"/>
        <w:autoSpaceDE w:val="0"/>
        <w:autoSpaceDN w:val="0"/>
        <w:adjustRightInd w:val="0"/>
        <w:ind w:left="480" w:hanging="480"/>
        <w:rPr>
          <w:rFonts w:cs="Times New Roman"/>
          <w:noProof/>
        </w:rPr>
      </w:pPr>
      <w:r w:rsidRPr="00467EF2">
        <w:rPr>
          <w:rFonts w:cs="Times New Roman"/>
          <w:noProof/>
          <w:szCs w:val="24"/>
        </w:rPr>
        <w:t xml:space="preserve">Wampold, B. E., Minami, T., Tierney, S. C., Baskin, T. W., and Bhati, K. S. (2005). The placebo is powerful: Estimating placebo effects in medicine and psychotherapy from randomized clinical trials. </w:t>
      </w:r>
      <w:r w:rsidRPr="00467EF2">
        <w:rPr>
          <w:rFonts w:cs="Times New Roman"/>
          <w:i/>
          <w:iCs/>
          <w:noProof/>
          <w:szCs w:val="24"/>
        </w:rPr>
        <w:t>J. Clin. Psychol.</w:t>
      </w:r>
      <w:r w:rsidRPr="00467EF2">
        <w:rPr>
          <w:rFonts w:cs="Times New Roman"/>
          <w:noProof/>
          <w:szCs w:val="24"/>
        </w:rPr>
        <w:t xml:space="preserve"> 61, 835–854. doi:10.1002/jclp.20129.</w:t>
      </w:r>
    </w:p>
    <w:p w14:paraId="65F5B458" w14:textId="652A6946" w:rsidR="00F77BAE" w:rsidRPr="00467EF2" w:rsidRDefault="00CC013A" w:rsidP="00F77BAE">
      <w:pPr>
        <w:rPr>
          <w:rFonts w:eastAsia="Times New Roman" w:cs="Times New Roman"/>
          <w:szCs w:val="24"/>
          <w:lang w:eastAsia="en-GB"/>
        </w:rPr>
      </w:pPr>
      <w:r w:rsidRPr="000F1A58">
        <w:fldChar w:fldCharType="end"/>
      </w:r>
    </w:p>
    <w:sectPr w:rsidR="00F77BAE" w:rsidRPr="00467EF2" w:rsidSect="00334CFE">
      <w:headerReference w:type="default" r:id="rId31"/>
      <w:footerReference w:type="first" r:id="rId32"/>
      <w:type w:val="continuous"/>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2D246" w14:textId="77777777" w:rsidR="0022560C" w:rsidRDefault="0022560C" w:rsidP="00117666">
      <w:pPr>
        <w:spacing w:after="0"/>
      </w:pPr>
      <w:r>
        <w:separator/>
      </w:r>
    </w:p>
  </w:endnote>
  <w:endnote w:type="continuationSeparator" w:id="0">
    <w:p w14:paraId="3A1001FD" w14:textId="77777777" w:rsidR="0022560C" w:rsidRDefault="0022560C" w:rsidP="00117666">
      <w:pPr>
        <w:spacing w:after="0"/>
      </w:pPr>
      <w:r>
        <w:continuationSeparator/>
      </w:r>
    </w:p>
  </w:endnote>
  <w:endnote w:type="continuationNotice" w:id="1">
    <w:p w14:paraId="2B1F5FD4" w14:textId="77777777" w:rsidR="0022560C" w:rsidRDefault="0022560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9"/>
      <w:gridCol w:w="3259"/>
      <w:gridCol w:w="3259"/>
    </w:tblGrid>
    <w:tr w:rsidR="000F1A58" w14:paraId="10E5231F" w14:textId="77777777" w:rsidTr="1120862E">
      <w:tc>
        <w:tcPr>
          <w:tcW w:w="3259" w:type="dxa"/>
        </w:tcPr>
        <w:p w14:paraId="3BCD1162" w14:textId="1D618040" w:rsidR="000F1A58" w:rsidRDefault="000F1A58" w:rsidP="1120862E">
          <w:pPr>
            <w:pStyle w:val="Header"/>
            <w:ind w:left="-115"/>
          </w:pPr>
        </w:p>
      </w:tc>
      <w:tc>
        <w:tcPr>
          <w:tcW w:w="3259" w:type="dxa"/>
        </w:tcPr>
        <w:p w14:paraId="331A0724" w14:textId="132E81F6" w:rsidR="000F1A58" w:rsidRDefault="000F1A58" w:rsidP="1120862E">
          <w:pPr>
            <w:pStyle w:val="Header"/>
            <w:jc w:val="center"/>
          </w:pPr>
        </w:p>
      </w:tc>
      <w:tc>
        <w:tcPr>
          <w:tcW w:w="3259" w:type="dxa"/>
        </w:tcPr>
        <w:p w14:paraId="5F82726B" w14:textId="2D716B06" w:rsidR="000F1A58" w:rsidRDefault="000F1A58" w:rsidP="1120862E">
          <w:pPr>
            <w:pStyle w:val="Header"/>
            <w:ind w:right="-115"/>
            <w:jc w:val="right"/>
          </w:pPr>
        </w:p>
      </w:tc>
    </w:tr>
  </w:tbl>
  <w:p w14:paraId="11DC5E2E" w14:textId="03EB388A" w:rsidR="000F1A58" w:rsidRDefault="000F1A58" w:rsidP="1120862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21"/>
      <w:gridCol w:w="4521"/>
      <w:gridCol w:w="4521"/>
    </w:tblGrid>
    <w:tr w:rsidR="000F1A58" w14:paraId="1A6BF076" w14:textId="77777777" w:rsidTr="1120862E">
      <w:tc>
        <w:tcPr>
          <w:tcW w:w="4521" w:type="dxa"/>
        </w:tcPr>
        <w:p w14:paraId="243ADE04" w14:textId="3CB787D8" w:rsidR="000F1A58" w:rsidRDefault="000F1A58" w:rsidP="1120862E">
          <w:pPr>
            <w:pStyle w:val="Header"/>
            <w:ind w:left="-115"/>
          </w:pPr>
        </w:p>
      </w:tc>
      <w:tc>
        <w:tcPr>
          <w:tcW w:w="4521" w:type="dxa"/>
        </w:tcPr>
        <w:p w14:paraId="40764A83" w14:textId="2EB7B8FE" w:rsidR="000F1A58" w:rsidRDefault="000F1A58" w:rsidP="1120862E">
          <w:pPr>
            <w:pStyle w:val="Header"/>
            <w:jc w:val="center"/>
          </w:pPr>
        </w:p>
      </w:tc>
      <w:tc>
        <w:tcPr>
          <w:tcW w:w="4521" w:type="dxa"/>
        </w:tcPr>
        <w:p w14:paraId="64166705" w14:textId="50CBD6FB" w:rsidR="000F1A58" w:rsidRDefault="000F1A58" w:rsidP="1120862E">
          <w:pPr>
            <w:pStyle w:val="Header"/>
            <w:ind w:right="-115"/>
            <w:jc w:val="right"/>
          </w:pPr>
        </w:p>
      </w:tc>
    </w:tr>
  </w:tbl>
  <w:p w14:paraId="188C7492" w14:textId="54CFC539" w:rsidR="000F1A58" w:rsidRDefault="000F1A58" w:rsidP="1120862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9"/>
      <w:gridCol w:w="3259"/>
      <w:gridCol w:w="3259"/>
    </w:tblGrid>
    <w:tr w:rsidR="000F1A58" w14:paraId="1B30DA07" w14:textId="77777777" w:rsidTr="1120862E">
      <w:tc>
        <w:tcPr>
          <w:tcW w:w="3259" w:type="dxa"/>
        </w:tcPr>
        <w:p w14:paraId="41CD0734" w14:textId="1F535612" w:rsidR="000F1A58" w:rsidRDefault="000F1A58" w:rsidP="1120862E">
          <w:pPr>
            <w:pStyle w:val="Header"/>
            <w:ind w:left="-115"/>
          </w:pPr>
        </w:p>
      </w:tc>
      <w:tc>
        <w:tcPr>
          <w:tcW w:w="3259" w:type="dxa"/>
        </w:tcPr>
        <w:p w14:paraId="5BB3B966" w14:textId="3F2D23A5" w:rsidR="000F1A58" w:rsidRDefault="000F1A58" w:rsidP="1120862E">
          <w:pPr>
            <w:pStyle w:val="Header"/>
            <w:jc w:val="center"/>
          </w:pPr>
        </w:p>
      </w:tc>
      <w:tc>
        <w:tcPr>
          <w:tcW w:w="3259" w:type="dxa"/>
        </w:tcPr>
        <w:p w14:paraId="3D8C8839" w14:textId="15F44EE7" w:rsidR="000F1A58" w:rsidRDefault="000F1A58" w:rsidP="1120862E">
          <w:pPr>
            <w:pStyle w:val="Header"/>
            <w:ind w:right="-115"/>
            <w:jc w:val="right"/>
          </w:pPr>
        </w:p>
      </w:tc>
    </w:tr>
  </w:tbl>
  <w:p w14:paraId="1A1C6BDB" w14:textId="3AD4959A" w:rsidR="000F1A58" w:rsidRDefault="000F1A58" w:rsidP="11208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9"/>
      <w:gridCol w:w="3259"/>
      <w:gridCol w:w="3259"/>
    </w:tblGrid>
    <w:tr w:rsidR="000F1A58" w14:paraId="7D0046CB" w14:textId="77777777" w:rsidTr="1120862E">
      <w:tc>
        <w:tcPr>
          <w:tcW w:w="3259" w:type="dxa"/>
        </w:tcPr>
        <w:p w14:paraId="172149AE" w14:textId="7E28CCDA" w:rsidR="000F1A58" w:rsidRDefault="000F1A58" w:rsidP="1120862E">
          <w:pPr>
            <w:pStyle w:val="Header"/>
            <w:ind w:left="-115"/>
          </w:pPr>
        </w:p>
      </w:tc>
      <w:tc>
        <w:tcPr>
          <w:tcW w:w="3259" w:type="dxa"/>
        </w:tcPr>
        <w:p w14:paraId="2DC07646" w14:textId="176599EA" w:rsidR="000F1A58" w:rsidRDefault="000F1A58" w:rsidP="1120862E">
          <w:pPr>
            <w:pStyle w:val="Header"/>
            <w:jc w:val="center"/>
          </w:pPr>
        </w:p>
      </w:tc>
      <w:tc>
        <w:tcPr>
          <w:tcW w:w="3259" w:type="dxa"/>
        </w:tcPr>
        <w:p w14:paraId="7C5A671A" w14:textId="4DBA782B" w:rsidR="000F1A58" w:rsidRDefault="000F1A58" w:rsidP="1120862E">
          <w:pPr>
            <w:pStyle w:val="Header"/>
            <w:ind w:right="-115"/>
            <w:jc w:val="right"/>
          </w:pPr>
        </w:p>
      </w:tc>
    </w:tr>
  </w:tbl>
  <w:p w14:paraId="24EEBF03" w14:textId="1E9E5548" w:rsidR="000F1A58" w:rsidRDefault="000F1A58" w:rsidP="112086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9"/>
      <w:gridCol w:w="3259"/>
      <w:gridCol w:w="3259"/>
    </w:tblGrid>
    <w:tr w:rsidR="000F1A58" w14:paraId="5243FD82" w14:textId="77777777" w:rsidTr="1120862E">
      <w:tc>
        <w:tcPr>
          <w:tcW w:w="3259" w:type="dxa"/>
        </w:tcPr>
        <w:p w14:paraId="76703B9B" w14:textId="309FC9C1" w:rsidR="000F1A58" w:rsidRDefault="000F1A58" w:rsidP="1120862E">
          <w:pPr>
            <w:pStyle w:val="Header"/>
            <w:ind w:left="-115"/>
          </w:pPr>
        </w:p>
      </w:tc>
      <w:tc>
        <w:tcPr>
          <w:tcW w:w="3259" w:type="dxa"/>
        </w:tcPr>
        <w:p w14:paraId="762E6646" w14:textId="73A6FEBC" w:rsidR="000F1A58" w:rsidRDefault="000F1A58" w:rsidP="1120862E">
          <w:pPr>
            <w:pStyle w:val="Header"/>
            <w:jc w:val="center"/>
          </w:pPr>
        </w:p>
      </w:tc>
      <w:tc>
        <w:tcPr>
          <w:tcW w:w="3259" w:type="dxa"/>
        </w:tcPr>
        <w:p w14:paraId="3EBDDBCC" w14:textId="7D1E4B80" w:rsidR="000F1A58" w:rsidRDefault="000F1A58" w:rsidP="1120862E">
          <w:pPr>
            <w:pStyle w:val="Header"/>
            <w:ind w:right="-115"/>
            <w:jc w:val="right"/>
          </w:pPr>
        </w:p>
      </w:tc>
    </w:tr>
  </w:tbl>
  <w:p w14:paraId="1C8BB887" w14:textId="1EE116F5" w:rsidR="000F1A58" w:rsidRDefault="000F1A58" w:rsidP="112086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21"/>
      <w:gridCol w:w="4521"/>
      <w:gridCol w:w="4521"/>
    </w:tblGrid>
    <w:tr w:rsidR="000F1A58" w14:paraId="426D5E32" w14:textId="77777777" w:rsidTr="1120862E">
      <w:tc>
        <w:tcPr>
          <w:tcW w:w="4521" w:type="dxa"/>
        </w:tcPr>
        <w:p w14:paraId="2BD635EE" w14:textId="01046996" w:rsidR="000F1A58" w:rsidRDefault="000F1A58" w:rsidP="1120862E">
          <w:pPr>
            <w:pStyle w:val="Header"/>
            <w:ind w:left="-115"/>
          </w:pPr>
        </w:p>
      </w:tc>
      <w:tc>
        <w:tcPr>
          <w:tcW w:w="4521" w:type="dxa"/>
        </w:tcPr>
        <w:p w14:paraId="101265EB" w14:textId="3695BCC5" w:rsidR="000F1A58" w:rsidRDefault="000F1A58" w:rsidP="1120862E">
          <w:pPr>
            <w:pStyle w:val="Header"/>
            <w:jc w:val="center"/>
          </w:pPr>
        </w:p>
      </w:tc>
      <w:tc>
        <w:tcPr>
          <w:tcW w:w="4521" w:type="dxa"/>
        </w:tcPr>
        <w:p w14:paraId="2BDF7949" w14:textId="23288769" w:rsidR="000F1A58" w:rsidRDefault="000F1A58" w:rsidP="1120862E">
          <w:pPr>
            <w:pStyle w:val="Header"/>
            <w:ind w:right="-115"/>
            <w:jc w:val="right"/>
          </w:pPr>
        </w:p>
      </w:tc>
    </w:tr>
  </w:tbl>
  <w:p w14:paraId="4BD9013F" w14:textId="2C488E52" w:rsidR="000F1A58" w:rsidRDefault="000F1A58" w:rsidP="112086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21"/>
      <w:gridCol w:w="4521"/>
      <w:gridCol w:w="4521"/>
    </w:tblGrid>
    <w:tr w:rsidR="000F1A58" w14:paraId="21AEF795" w14:textId="77777777" w:rsidTr="1120862E">
      <w:tc>
        <w:tcPr>
          <w:tcW w:w="4521" w:type="dxa"/>
        </w:tcPr>
        <w:p w14:paraId="74DBE0B5" w14:textId="27F5489D" w:rsidR="000F1A58" w:rsidRDefault="000F1A58" w:rsidP="1120862E">
          <w:pPr>
            <w:pStyle w:val="Header"/>
            <w:ind w:left="-115"/>
          </w:pPr>
        </w:p>
      </w:tc>
      <w:tc>
        <w:tcPr>
          <w:tcW w:w="4521" w:type="dxa"/>
        </w:tcPr>
        <w:p w14:paraId="7E92F34C" w14:textId="3058F9FE" w:rsidR="000F1A58" w:rsidRDefault="000F1A58" w:rsidP="1120862E">
          <w:pPr>
            <w:pStyle w:val="Header"/>
            <w:jc w:val="center"/>
          </w:pPr>
        </w:p>
      </w:tc>
      <w:tc>
        <w:tcPr>
          <w:tcW w:w="4521" w:type="dxa"/>
        </w:tcPr>
        <w:p w14:paraId="5C10D617" w14:textId="3ECE2443" w:rsidR="000F1A58" w:rsidRDefault="000F1A58" w:rsidP="1120862E">
          <w:pPr>
            <w:pStyle w:val="Header"/>
            <w:ind w:right="-115"/>
            <w:jc w:val="right"/>
          </w:pPr>
        </w:p>
      </w:tc>
    </w:tr>
  </w:tbl>
  <w:p w14:paraId="31639A43" w14:textId="55F4944B" w:rsidR="000F1A58" w:rsidRDefault="000F1A58" w:rsidP="112086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21"/>
      <w:gridCol w:w="4521"/>
      <w:gridCol w:w="4521"/>
    </w:tblGrid>
    <w:tr w:rsidR="000F1A58" w14:paraId="314AB8E6" w14:textId="77777777" w:rsidTr="1120862E">
      <w:tc>
        <w:tcPr>
          <w:tcW w:w="4521" w:type="dxa"/>
        </w:tcPr>
        <w:p w14:paraId="305626DE" w14:textId="6CD5FAE7" w:rsidR="000F1A58" w:rsidRDefault="000F1A58" w:rsidP="1120862E">
          <w:pPr>
            <w:pStyle w:val="Header"/>
            <w:ind w:left="-115"/>
          </w:pPr>
        </w:p>
      </w:tc>
      <w:tc>
        <w:tcPr>
          <w:tcW w:w="4521" w:type="dxa"/>
        </w:tcPr>
        <w:p w14:paraId="351CB341" w14:textId="3662421D" w:rsidR="000F1A58" w:rsidRDefault="000F1A58" w:rsidP="1120862E">
          <w:pPr>
            <w:pStyle w:val="Header"/>
            <w:jc w:val="center"/>
          </w:pPr>
        </w:p>
      </w:tc>
      <w:tc>
        <w:tcPr>
          <w:tcW w:w="4521" w:type="dxa"/>
        </w:tcPr>
        <w:p w14:paraId="17040BB8" w14:textId="1CFCA736" w:rsidR="000F1A58" w:rsidRDefault="000F1A58" w:rsidP="1120862E">
          <w:pPr>
            <w:pStyle w:val="Header"/>
            <w:ind w:right="-115"/>
            <w:jc w:val="right"/>
          </w:pPr>
        </w:p>
      </w:tc>
    </w:tr>
  </w:tbl>
  <w:p w14:paraId="75BE9D2C" w14:textId="61FE91AA" w:rsidR="000F1A58" w:rsidRDefault="000F1A58" w:rsidP="1120862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0F1A58" w:rsidRPr="00577C4C" w:rsidRDefault="000F1A58">
    <w:pPr>
      <w:rPr>
        <w:color w:val="C00000"/>
        <w:szCs w:val="24"/>
      </w:rPr>
    </w:pPr>
    <w:r>
      <w:rPr>
        <w:noProof/>
        <w:lang w:val="de-DE" w:eastAsia="de-DE"/>
      </w:rPr>
      <mc:AlternateContent>
        <mc:Choice Requires="wps">
          <w:drawing>
            <wp:anchor distT="0" distB="0" distL="114300" distR="114300" simplePos="0" relativeHeight="251658241"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B4CBFD9" w:rsidR="000F1A58" w:rsidRPr="00577C4C" w:rsidRDefault="000F1A58">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F7486">
                            <w:rPr>
                              <w:noProof/>
                              <w:color w:val="000000" w:themeColor="text1"/>
                              <w:szCs w:val="40"/>
                            </w:rPr>
                            <w:t>8</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8241;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B4CBFD9" w:rsidR="000F1A58" w:rsidRPr="00577C4C" w:rsidRDefault="000F1A58">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F7486">
                      <w:rPr>
                        <w:noProof/>
                        <w:color w:val="000000" w:themeColor="text1"/>
                        <w:szCs w:val="40"/>
                      </w:rPr>
                      <w:t>8</w:t>
                    </w:r>
                    <w:r w:rsidRPr="00577C4C">
                      <w:rPr>
                        <w:color w:val="000000" w:themeColor="text1"/>
                        <w:szCs w:val="40"/>
                      </w:rPr>
                      <w:fldChar w:fldCharType="end"/>
                    </w:r>
                  </w:p>
                </w:txbxContent>
              </v:textbox>
              <w10:wrap anchorx="margin"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0F1A58" w:rsidRPr="00577C4C" w:rsidRDefault="000F1A58">
    <w:pPr>
      <w:rPr>
        <w:b/>
        <w:sz w:val="20"/>
        <w:szCs w:val="24"/>
      </w:rPr>
    </w:pPr>
    <w:r>
      <w:rPr>
        <w:noProof/>
        <w:lang w:val="de-DE" w:eastAsia="de-DE"/>
      </w:rPr>
      <mc:AlternateContent>
        <mc:Choice Requires="wps">
          <w:drawing>
            <wp:anchor distT="0" distB="0" distL="114300" distR="114300" simplePos="0" relativeHeight="251658240"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40F2FC4B" w:rsidR="000F1A58" w:rsidRPr="00577C4C" w:rsidRDefault="000F1A58">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F7486">
                            <w:rPr>
                              <w:noProof/>
                              <w:color w:val="000000" w:themeColor="text1"/>
                              <w:szCs w:val="40"/>
                            </w:rPr>
                            <w:t>7</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40F2FC4B" w:rsidR="000F1A58" w:rsidRPr="00577C4C" w:rsidRDefault="000F1A58">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F7486">
                      <w:rPr>
                        <w:noProof/>
                        <w:color w:val="000000" w:themeColor="text1"/>
                        <w:szCs w:val="40"/>
                      </w:rPr>
                      <w:t>7</w:t>
                    </w:r>
                    <w:r w:rsidRPr="00577C4C">
                      <w:rPr>
                        <w:color w:val="000000" w:themeColor="text1"/>
                        <w:szCs w:val="40"/>
                      </w:rPr>
                      <w:fldChar w:fldCharType="end"/>
                    </w: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9"/>
      <w:gridCol w:w="3259"/>
      <w:gridCol w:w="3259"/>
    </w:tblGrid>
    <w:tr w:rsidR="000F1A58" w14:paraId="3EDC67A9" w14:textId="77777777" w:rsidTr="1120862E">
      <w:tc>
        <w:tcPr>
          <w:tcW w:w="3259" w:type="dxa"/>
        </w:tcPr>
        <w:p w14:paraId="5FCE889B" w14:textId="0D21317D" w:rsidR="000F1A58" w:rsidRDefault="000F1A58" w:rsidP="1120862E">
          <w:pPr>
            <w:pStyle w:val="Header"/>
            <w:ind w:left="-115"/>
          </w:pPr>
        </w:p>
      </w:tc>
      <w:tc>
        <w:tcPr>
          <w:tcW w:w="3259" w:type="dxa"/>
        </w:tcPr>
        <w:p w14:paraId="0AAC44B8" w14:textId="7892ADB9" w:rsidR="000F1A58" w:rsidRDefault="000F1A58" w:rsidP="1120862E">
          <w:pPr>
            <w:pStyle w:val="Header"/>
            <w:jc w:val="center"/>
          </w:pPr>
        </w:p>
      </w:tc>
      <w:tc>
        <w:tcPr>
          <w:tcW w:w="3259" w:type="dxa"/>
        </w:tcPr>
        <w:p w14:paraId="0895ACB7" w14:textId="36FEFCAA" w:rsidR="000F1A58" w:rsidRDefault="000F1A58" w:rsidP="1120862E">
          <w:pPr>
            <w:pStyle w:val="Header"/>
            <w:ind w:right="-115"/>
            <w:jc w:val="right"/>
          </w:pPr>
        </w:p>
      </w:tc>
    </w:tr>
  </w:tbl>
  <w:p w14:paraId="7D8E2F2B" w14:textId="655D526C" w:rsidR="000F1A58" w:rsidRDefault="000F1A58" w:rsidP="11208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2B19C" w14:textId="77777777" w:rsidR="0022560C" w:rsidRDefault="0022560C" w:rsidP="00117666">
      <w:pPr>
        <w:spacing w:after="0"/>
      </w:pPr>
      <w:r>
        <w:separator/>
      </w:r>
    </w:p>
  </w:footnote>
  <w:footnote w:type="continuationSeparator" w:id="0">
    <w:p w14:paraId="79042422" w14:textId="77777777" w:rsidR="0022560C" w:rsidRDefault="0022560C" w:rsidP="00117666">
      <w:pPr>
        <w:spacing w:after="0"/>
      </w:pPr>
      <w:r>
        <w:continuationSeparator/>
      </w:r>
    </w:p>
  </w:footnote>
  <w:footnote w:type="continuationNotice" w:id="1">
    <w:p w14:paraId="10C28232" w14:textId="77777777" w:rsidR="0022560C" w:rsidRDefault="0022560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9"/>
      <w:gridCol w:w="3259"/>
      <w:gridCol w:w="3259"/>
    </w:tblGrid>
    <w:tr w:rsidR="000F1A58" w14:paraId="21A5EA42" w14:textId="77777777" w:rsidTr="1120862E">
      <w:tc>
        <w:tcPr>
          <w:tcW w:w="3259" w:type="dxa"/>
        </w:tcPr>
        <w:p w14:paraId="4B363E3F" w14:textId="0A7EA029" w:rsidR="000F1A58" w:rsidRDefault="000F1A58" w:rsidP="1120862E">
          <w:pPr>
            <w:pStyle w:val="Header"/>
            <w:ind w:left="-115"/>
          </w:pPr>
        </w:p>
      </w:tc>
      <w:tc>
        <w:tcPr>
          <w:tcW w:w="3259" w:type="dxa"/>
        </w:tcPr>
        <w:p w14:paraId="2520C59F" w14:textId="520B2168" w:rsidR="000F1A58" w:rsidRDefault="000F1A58" w:rsidP="1120862E">
          <w:pPr>
            <w:pStyle w:val="Header"/>
            <w:jc w:val="center"/>
          </w:pPr>
        </w:p>
      </w:tc>
      <w:tc>
        <w:tcPr>
          <w:tcW w:w="3259" w:type="dxa"/>
        </w:tcPr>
        <w:p w14:paraId="2F6BD49E" w14:textId="77C5B13B" w:rsidR="000F1A58" w:rsidRDefault="000F1A58" w:rsidP="1120862E">
          <w:pPr>
            <w:pStyle w:val="Header"/>
            <w:ind w:right="-115"/>
            <w:jc w:val="right"/>
          </w:pPr>
        </w:p>
      </w:tc>
    </w:tr>
  </w:tbl>
  <w:p w14:paraId="016620C8" w14:textId="5ED6CBA9" w:rsidR="000F1A58" w:rsidRDefault="000F1A58" w:rsidP="1120862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9"/>
      <w:gridCol w:w="3259"/>
      <w:gridCol w:w="3259"/>
    </w:tblGrid>
    <w:tr w:rsidR="000F1A58" w14:paraId="2B0B53A4" w14:textId="77777777" w:rsidTr="1120862E">
      <w:tc>
        <w:tcPr>
          <w:tcW w:w="3259" w:type="dxa"/>
        </w:tcPr>
        <w:p w14:paraId="2E9C21AA" w14:textId="5667DAC6" w:rsidR="000F1A58" w:rsidRDefault="000F1A58" w:rsidP="1120862E">
          <w:pPr>
            <w:pStyle w:val="Header"/>
            <w:ind w:left="-115"/>
          </w:pPr>
        </w:p>
      </w:tc>
      <w:tc>
        <w:tcPr>
          <w:tcW w:w="3259" w:type="dxa"/>
        </w:tcPr>
        <w:p w14:paraId="0C1BB1C9" w14:textId="363A7082" w:rsidR="000F1A58" w:rsidRDefault="000F1A58" w:rsidP="1120862E">
          <w:pPr>
            <w:pStyle w:val="Header"/>
            <w:jc w:val="center"/>
          </w:pPr>
        </w:p>
      </w:tc>
      <w:tc>
        <w:tcPr>
          <w:tcW w:w="3259" w:type="dxa"/>
        </w:tcPr>
        <w:p w14:paraId="60801F3E" w14:textId="1FE86CB6" w:rsidR="000F1A58" w:rsidRDefault="000F1A58" w:rsidP="1120862E">
          <w:pPr>
            <w:pStyle w:val="Header"/>
            <w:ind w:right="-115"/>
            <w:jc w:val="right"/>
          </w:pPr>
        </w:p>
      </w:tc>
    </w:tr>
  </w:tbl>
  <w:p w14:paraId="250A02E6" w14:textId="00EF2221" w:rsidR="000F1A58" w:rsidRDefault="000F1A58" w:rsidP="112086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9"/>
      <w:gridCol w:w="3259"/>
      <w:gridCol w:w="3259"/>
    </w:tblGrid>
    <w:tr w:rsidR="000F1A58" w14:paraId="24EA9301" w14:textId="77777777" w:rsidTr="1120862E">
      <w:tc>
        <w:tcPr>
          <w:tcW w:w="3259" w:type="dxa"/>
        </w:tcPr>
        <w:p w14:paraId="6C464A68" w14:textId="461CCAE0" w:rsidR="000F1A58" w:rsidRDefault="000F1A58" w:rsidP="1120862E">
          <w:pPr>
            <w:pStyle w:val="Header"/>
            <w:ind w:left="-115"/>
          </w:pPr>
        </w:p>
      </w:tc>
      <w:tc>
        <w:tcPr>
          <w:tcW w:w="3259" w:type="dxa"/>
        </w:tcPr>
        <w:p w14:paraId="311F7789" w14:textId="76C59F23" w:rsidR="000F1A58" w:rsidRDefault="000F1A58" w:rsidP="1120862E">
          <w:pPr>
            <w:pStyle w:val="Header"/>
            <w:jc w:val="center"/>
          </w:pPr>
        </w:p>
      </w:tc>
      <w:tc>
        <w:tcPr>
          <w:tcW w:w="3259" w:type="dxa"/>
        </w:tcPr>
        <w:p w14:paraId="7BFC8A53" w14:textId="2B1CE61A" w:rsidR="000F1A58" w:rsidRDefault="000F1A58" w:rsidP="1120862E">
          <w:pPr>
            <w:pStyle w:val="Header"/>
            <w:ind w:right="-115"/>
            <w:jc w:val="right"/>
          </w:pPr>
        </w:p>
      </w:tc>
    </w:tr>
  </w:tbl>
  <w:p w14:paraId="5ED5B873" w14:textId="40B4B21D" w:rsidR="000F1A58" w:rsidRDefault="000F1A58" w:rsidP="112086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21"/>
      <w:gridCol w:w="4521"/>
      <w:gridCol w:w="4521"/>
    </w:tblGrid>
    <w:tr w:rsidR="000F1A58" w14:paraId="04BCDFBF" w14:textId="77777777" w:rsidTr="1120862E">
      <w:tc>
        <w:tcPr>
          <w:tcW w:w="4521" w:type="dxa"/>
        </w:tcPr>
        <w:p w14:paraId="2CCA0B27" w14:textId="02F8A7A4" w:rsidR="000F1A58" w:rsidRDefault="000F1A58" w:rsidP="1120862E">
          <w:pPr>
            <w:pStyle w:val="Header"/>
            <w:ind w:left="-115"/>
          </w:pPr>
        </w:p>
      </w:tc>
      <w:tc>
        <w:tcPr>
          <w:tcW w:w="4521" w:type="dxa"/>
        </w:tcPr>
        <w:p w14:paraId="7679141B" w14:textId="12C8C2CF" w:rsidR="000F1A58" w:rsidRDefault="000F1A58" w:rsidP="1120862E">
          <w:pPr>
            <w:pStyle w:val="Header"/>
            <w:jc w:val="center"/>
          </w:pPr>
        </w:p>
      </w:tc>
      <w:tc>
        <w:tcPr>
          <w:tcW w:w="4521" w:type="dxa"/>
        </w:tcPr>
        <w:p w14:paraId="16583091" w14:textId="22467CC1" w:rsidR="000F1A58" w:rsidRDefault="000F1A58" w:rsidP="1120862E">
          <w:pPr>
            <w:pStyle w:val="Header"/>
            <w:ind w:right="-115"/>
            <w:jc w:val="right"/>
          </w:pPr>
        </w:p>
      </w:tc>
    </w:tr>
  </w:tbl>
  <w:p w14:paraId="7FC6F22C" w14:textId="38A72DAD" w:rsidR="000F1A58" w:rsidRDefault="000F1A58" w:rsidP="112086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21"/>
      <w:gridCol w:w="4521"/>
      <w:gridCol w:w="4521"/>
    </w:tblGrid>
    <w:tr w:rsidR="000F1A58" w14:paraId="2ABB691A" w14:textId="77777777" w:rsidTr="1120862E">
      <w:tc>
        <w:tcPr>
          <w:tcW w:w="4521" w:type="dxa"/>
        </w:tcPr>
        <w:p w14:paraId="0C5BDA66" w14:textId="759801AF" w:rsidR="000F1A58" w:rsidRDefault="000F1A58" w:rsidP="1120862E">
          <w:pPr>
            <w:pStyle w:val="Header"/>
            <w:ind w:left="-115"/>
          </w:pPr>
        </w:p>
      </w:tc>
      <w:tc>
        <w:tcPr>
          <w:tcW w:w="4521" w:type="dxa"/>
        </w:tcPr>
        <w:p w14:paraId="73D46C80" w14:textId="27152B07" w:rsidR="000F1A58" w:rsidRDefault="000F1A58" w:rsidP="1120862E">
          <w:pPr>
            <w:pStyle w:val="Header"/>
            <w:jc w:val="center"/>
          </w:pPr>
        </w:p>
      </w:tc>
      <w:tc>
        <w:tcPr>
          <w:tcW w:w="4521" w:type="dxa"/>
        </w:tcPr>
        <w:p w14:paraId="5EFCFF26" w14:textId="6C0A14D7" w:rsidR="000F1A58" w:rsidRDefault="000F1A58" w:rsidP="1120862E">
          <w:pPr>
            <w:pStyle w:val="Header"/>
            <w:ind w:right="-115"/>
            <w:jc w:val="right"/>
          </w:pPr>
        </w:p>
      </w:tc>
    </w:tr>
  </w:tbl>
  <w:p w14:paraId="077A2256" w14:textId="2126D9B2" w:rsidR="000F1A58" w:rsidRDefault="000F1A58" w:rsidP="112086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029B" w14:textId="6A1DBECB" w:rsidR="000F1A58" w:rsidRDefault="000F1A58" w:rsidP="112086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0F1A58" w:rsidRPr="009151AA" w:rsidRDefault="000F1A58">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5685" w14:textId="4483A0F7" w:rsidR="000F1A58" w:rsidRDefault="000F1A58" w:rsidP="1120862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0F1A58" w:rsidRDefault="000F1A58" w:rsidP="0093429D">
    <w:r w:rsidRPr="005A1D84">
      <w:rPr>
        <w:b/>
        <w:noProof/>
        <w:color w:val="A6A6A6" w:themeColor="background1" w:themeShade="A6"/>
        <w:lang w:val="de-DE" w:eastAsia="de-DE"/>
      </w:rPr>
      <w:drawing>
        <wp:inline distT="0" distB="0" distL="0" distR="0" wp14:anchorId="07D26A56" wp14:editId="2E460F0E">
          <wp:extent cx="1382534" cy="497091"/>
          <wp:effectExtent l="0" t="0" r="0" b="0"/>
          <wp:docPr id="4" name="Picture 4"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21"/>
      <w:gridCol w:w="4521"/>
      <w:gridCol w:w="4521"/>
    </w:tblGrid>
    <w:tr w:rsidR="000F1A58" w14:paraId="13EB602C" w14:textId="77777777" w:rsidTr="1120862E">
      <w:tc>
        <w:tcPr>
          <w:tcW w:w="4521" w:type="dxa"/>
        </w:tcPr>
        <w:p w14:paraId="5101AA18" w14:textId="6A217658" w:rsidR="000F1A58" w:rsidRDefault="000F1A58" w:rsidP="1120862E">
          <w:pPr>
            <w:pStyle w:val="Header"/>
            <w:ind w:left="-115"/>
          </w:pPr>
        </w:p>
      </w:tc>
      <w:tc>
        <w:tcPr>
          <w:tcW w:w="4521" w:type="dxa"/>
        </w:tcPr>
        <w:p w14:paraId="740F6E55" w14:textId="4E59A451" w:rsidR="000F1A58" w:rsidRDefault="000F1A58" w:rsidP="1120862E">
          <w:pPr>
            <w:pStyle w:val="Header"/>
            <w:jc w:val="center"/>
          </w:pPr>
        </w:p>
      </w:tc>
      <w:tc>
        <w:tcPr>
          <w:tcW w:w="4521" w:type="dxa"/>
        </w:tcPr>
        <w:p w14:paraId="135C46FD" w14:textId="3B9EB5AD" w:rsidR="000F1A58" w:rsidRDefault="000F1A58" w:rsidP="1120862E">
          <w:pPr>
            <w:pStyle w:val="Header"/>
            <w:ind w:right="-115"/>
            <w:jc w:val="right"/>
          </w:pPr>
        </w:p>
      </w:tc>
    </w:tr>
  </w:tbl>
  <w:p w14:paraId="395C4401" w14:textId="280BCD9C" w:rsidR="000F1A58" w:rsidRDefault="000F1A58" w:rsidP="11208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02A7CAC"/>
    <w:multiLevelType w:val="multilevel"/>
    <w:tmpl w:val="2D740DBE"/>
    <w:numStyleLink w:val="Headings"/>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76386270">
    <w:abstractNumId w:val="0"/>
  </w:num>
  <w:num w:numId="2" w16cid:durableId="711930052">
    <w:abstractNumId w:val="5"/>
  </w:num>
  <w:num w:numId="3" w16cid:durableId="351422281">
    <w:abstractNumId w:val="1"/>
  </w:num>
  <w:num w:numId="4" w16cid:durableId="1026370148">
    <w:abstractNumId w:val="6"/>
  </w:num>
  <w:num w:numId="5" w16cid:durableId="1607228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0942311">
    <w:abstractNumId w:val="3"/>
  </w:num>
  <w:num w:numId="7" w16cid:durableId="2039700139">
    <w:abstractNumId w:val="7"/>
  </w:num>
  <w:num w:numId="8" w16cid:durableId="1655452041">
    <w:abstractNumId w:val="7"/>
  </w:num>
  <w:num w:numId="9" w16cid:durableId="1009258202">
    <w:abstractNumId w:val="7"/>
  </w:num>
  <w:num w:numId="10" w16cid:durableId="193349030">
    <w:abstractNumId w:val="7"/>
  </w:num>
  <w:num w:numId="11" w16cid:durableId="574127553">
    <w:abstractNumId w:val="7"/>
  </w:num>
  <w:num w:numId="12" w16cid:durableId="319234299">
    <w:abstractNumId w:val="7"/>
  </w:num>
  <w:num w:numId="13" w16cid:durableId="249894372">
    <w:abstractNumId w:val="3"/>
  </w:num>
  <w:num w:numId="14" w16cid:durableId="484394502">
    <w:abstractNumId w:val="2"/>
  </w:num>
  <w:num w:numId="15" w16cid:durableId="261914044">
    <w:abstractNumId w:val="2"/>
  </w:num>
  <w:num w:numId="16" w16cid:durableId="1348942915">
    <w:abstractNumId w:val="2"/>
  </w:num>
  <w:num w:numId="17" w16cid:durableId="1370960692">
    <w:abstractNumId w:val="2"/>
  </w:num>
  <w:num w:numId="18" w16cid:durableId="1094210108">
    <w:abstractNumId w:val="2"/>
  </w:num>
  <w:num w:numId="19" w16cid:durableId="526678547">
    <w:abstractNumId w:val="2"/>
  </w:num>
  <w:num w:numId="20" w16cid:durableId="1444612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2MDS3MDMxNzY3NzdW0lEKTi0uzszPAykwMqkFAKpY7zAtAAAA"/>
  </w:docVars>
  <w:rsids>
    <w:rsidRoot w:val="00ED20B5"/>
    <w:rsid w:val="00006CBD"/>
    <w:rsid w:val="0001436A"/>
    <w:rsid w:val="00021F61"/>
    <w:rsid w:val="00023A37"/>
    <w:rsid w:val="000253B0"/>
    <w:rsid w:val="00033AFD"/>
    <w:rsid w:val="00034304"/>
    <w:rsid w:val="00035434"/>
    <w:rsid w:val="00046046"/>
    <w:rsid w:val="000521B7"/>
    <w:rsid w:val="00052A14"/>
    <w:rsid w:val="000572AD"/>
    <w:rsid w:val="00063588"/>
    <w:rsid w:val="00077D53"/>
    <w:rsid w:val="0009796F"/>
    <w:rsid w:val="000A12B7"/>
    <w:rsid w:val="000C4CC3"/>
    <w:rsid w:val="000F1A58"/>
    <w:rsid w:val="000F7077"/>
    <w:rsid w:val="00105FD9"/>
    <w:rsid w:val="001126C5"/>
    <w:rsid w:val="00117666"/>
    <w:rsid w:val="00125025"/>
    <w:rsid w:val="001313DB"/>
    <w:rsid w:val="001549D3"/>
    <w:rsid w:val="00160065"/>
    <w:rsid w:val="00170EFB"/>
    <w:rsid w:val="00176924"/>
    <w:rsid w:val="00177D84"/>
    <w:rsid w:val="001D331E"/>
    <w:rsid w:val="00204F47"/>
    <w:rsid w:val="0021423F"/>
    <w:rsid w:val="0022560C"/>
    <w:rsid w:val="00225D02"/>
    <w:rsid w:val="0023240F"/>
    <w:rsid w:val="00267D18"/>
    <w:rsid w:val="00273662"/>
    <w:rsid w:val="00274347"/>
    <w:rsid w:val="002858E8"/>
    <w:rsid w:val="002868E2"/>
    <w:rsid w:val="002869C3"/>
    <w:rsid w:val="00286ABF"/>
    <w:rsid w:val="00287874"/>
    <w:rsid w:val="002936E4"/>
    <w:rsid w:val="002B0266"/>
    <w:rsid w:val="002B4A57"/>
    <w:rsid w:val="002C74CA"/>
    <w:rsid w:val="002E5452"/>
    <w:rsid w:val="002E57C3"/>
    <w:rsid w:val="003123F4"/>
    <w:rsid w:val="003173E7"/>
    <w:rsid w:val="00334CFE"/>
    <w:rsid w:val="00343258"/>
    <w:rsid w:val="003544FB"/>
    <w:rsid w:val="003603F6"/>
    <w:rsid w:val="00367FAB"/>
    <w:rsid w:val="003B7528"/>
    <w:rsid w:val="003D2F2D"/>
    <w:rsid w:val="003D4096"/>
    <w:rsid w:val="00401590"/>
    <w:rsid w:val="0040685D"/>
    <w:rsid w:val="00422A49"/>
    <w:rsid w:val="00447801"/>
    <w:rsid w:val="00452E9C"/>
    <w:rsid w:val="00467EF2"/>
    <w:rsid w:val="004735C8"/>
    <w:rsid w:val="0048191F"/>
    <w:rsid w:val="00483C3B"/>
    <w:rsid w:val="004947A6"/>
    <w:rsid w:val="004961FF"/>
    <w:rsid w:val="004B3394"/>
    <w:rsid w:val="004D1486"/>
    <w:rsid w:val="004D537B"/>
    <w:rsid w:val="004F7F51"/>
    <w:rsid w:val="00517A89"/>
    <w:rsid w:val="005250F2"/>
    <w:rsid w:val="00544F37"/>
    <w:rsid w:val="00545703"/>
    <w:rsid w:val="005641E0"/>
    <w:rsid w:val="00593EEA"/>
    <w:rsid w:val="005A5EEE"/>
    <w:rsid w:val="005D0562"/>
    <w:rsid w:val="005D6324"/>
    <w:rsid w:val="00632847"/>
    <w:rsid w:val="00633EF1"/>
    <w:rsid w:val="006375C7"/>
    <w:rsid w:val="00654E8F"/>
    <w:rsid w:val="00655EF0"/>
    <w:rsid w:val="00660D05"/>
    <w:rsid w:val="00661BC3"/>
    <w:rsid w:val="0067728A"/>
    <w:rsid w:val="006820B1"/>
    <w:rsid w:val="00693067"/>
    <w:rsid w:val="006B7D14"/>
    <w:rsid w:val="006F7486"/>
    <w:rsid w:val="00701727"/>
    <w:rsid w:val="0070566C"/>
    <w:rsid w:val="00714C50"/>
    <w:rsid w:val="007165A8"/>
    <w:rsid w:val="00725A7D"/>
    <w:rsid w:val="007501BE"/>
    <w:rsid w:val="00790BB3"/>
    <w:rsid w:val="00797358"/>
    <w:rsid w:val="007A47B4"/>
    <w:rsid w:val="007C18A0"/>
    <w:rsid w:val="007C206C"/>
    <w:rsid w:val="0080324E"/>
    <w:rsid w:val="008123B5"/>
    <w:rsid w:val="00817DD6"/>
    <w:rsid w:val="0083759F"/>
    <w:rsid w:val="008544A6"/>
    <w:rsid w:val="008627C2"/>
    <w:rsid w:val="00874694"/>
    <w:rsid w:val="00885156"/>
    <w:rsid w:val="008B4C88"/>
    <w:rsid w:val="008C28F1"/>
    <w:rsid w:val="008E6B50"/>
    <w:rsid w:val="008E6C69"/>
    <w:rsid w:val="00910199"/>
    <w:rsid w:val="0091274C"/>
    <w:rsid w:val="00914A4C"/>
    <w:rsid w:val="009151AA"/>
    <w:rsid w:val="0092629C"/>
    <w:rsid w:val="00933F63"/>
    <w:rsid w:val="0093429D"/>
    <w:rsid w:val="00934345"/>
    <w:rsid w:val="00943573"/>
    <w:rsid w:val="009536D9"/>
    <w:rsid w:val="009560ED"/>
    <w:rsid w:val="00964134"/>
    <w:rsid w:val="00970F7D"/>
    <w:rsid w:val="0099077D"/>
    <w:rsid w:val="00994A3D"/>
    <w:rsid w:val="009C1CC4"/>
    <w:rsid w:val="009C2B12"/>
    <w:rsid w:val="00A013E9"/>
    <w:rsid w:val="00A174D9"/>
    <w:rsid w:val="00A212F8"/>
    <w:rsid w:val="00A252C8"/>
    <w:rsid w:val="00A36536"/>
    <w:rsid w:val="00A42E0A"/>
    <w:rsid w:val="00A45399"/>
    <w:rsid w:val="00A56366"/>
    <w:rsid w:val="00A70DBC"/>
    <w:rsid w:val="00A97095"/>
    <w:rsid w:val="00AA4D24"/>
    <w:rsid w:val="00AB6715"/>
    <w:rsid w:val="00AC1E01"/>
    <w:rsid w:val="00AC2376"/>
    <w:rsid w:val="00AD5295"/>
    <w:rsid w:val="00AE03B1"/>
    <w:rsid w:val="00B02B6D"/>
    <w:rsid w:val="00B04DEB"/>
    <w:rsid w:val="00B1671E"/>
    <w:rsid w:val="00B173B8"/>
    <w:rsid w:val="00B21E62"/>
    <w:rsid w:val="00B2239F"/>
    <w:rsid w:val="00B25EB8"/>
    <w:rsid w:val="00B3520C"/>
    <w:rsid w:val="00B37F4D"/>
    <w:rsid w:val="00B611AB"/>
    <w:rsid w:val="00B74416"/>
    <w:rsid w:val="00BC1A68"/>
    <w:rsid w:val="00BD0DDB"/>
    <w:rsid w:val="00BD1674"/>
    <w:rsid w:val="00BE2B0D"/>
    <w:rsid w:val="00C416B3"/>
    <w:rsid w:val="00C41B03"/>
    <w:rsid w:val="00C52A7B"/>
    <w:rsid w:val="00C56BAF"/>
    <w:rsid w:val="00C679AA"/>
    <w:rsid w:val="00C75972"/>
    <w:rsid w:val="00CA2F76"/>
    <w:rsid w:val="00CC013A"/>
    <w:rsid w:val="00CD066B"/>
    <w:rsid w:val="00CD631B"/>
    <w:rsid w:val="00CD6CCB"/>
    <w:rsid w:val="00CE4FEE"/>
    <w:rsid w:val="00CF05FF"/>
    <w:rsid w:val="00D060CF"/>
    <w:rsid w:val="00D470ED"/>
    <w:rsid w:val="00D74001"/>
    <w:rsid w:val="00DB59C3"/>
    <w:rsid w:val="00DB6520"/>
    <w:rsid w:val="00DC259A"/>
    <w:rsid w:val="00DD246F"/>
    <w:rsid w:val="00DE23E8"/>
    <w:rsid w:val="00DE6D40"/>
    <w:rsid w:val="00DF2A28"/>
    <w:rsid w:val="00E12582"/>
    <w:rsid w:val="00E35805"/>
    <w:rsid w:val="00E456E9"/>
    <w:rsid w:val="00E51E0C"/>
    <w:rsid w:val="00E52377"/>
    <w:rsid w:val="00E537AD"/>
    <w:rsid w:val="00E609D8"/>
    <w:rsid w:val="00E64E17"/>
    <w:rsid w:val="00E866C9"/>
    <w:rsid w:val="00EA3D3C"/>
    <w:rsid w:val="00EB748B"/>
    <w:rsid w:val="00EC090A"/>
    <w:rsid w:val="00ED08D9"/>
    <w:rsid w:val="00ED20B5"/>
    <w:rsid w:val="00F068AC"/>
    <w:rsid w:val="00F122FC"/>
    <w:rsid w:val="00F2528F"/>
    <w:rsid w:val="00F46900"/>
    <w:rsid w:val="00F56AF7"/>
    <w:rsid w:val="00F61D89"/>
    <w:rsid w:val="00F65BE8"/>
    <w:rsid w:val="00F77BAE"/>
    <w:rsid w:val="00F838F6"/>
    <w:rsid w:val="00FA5C0C"/>
    <w:rsid w:val="00FD137A"/>
    <w:rsid w:val="00FD2AD8"/>
    <w:rsid w:val="00FD4715"/>
    <w:rsid w:val="00FF24C0"/>
    <w:rsid w:val="11208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table" w:customStyle="1" w:styleId="TableGrid1">
    <w:name w:val="Table Grid1"/>
    <w:basedOn w:val="TableNormal"/>
    <w:next w:val="TableGrid"/>
    <w:uiPriority w:val="39"/>
    <w:rsid w:val="005641E0"/>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2B0D"/>
    <w:pPr>
      <w:autoSpaceDE w:val="0"/>
      <w:autoSpaceDN w:val="0"/>
      <w:adjustRightInd w:val="0"/>
      <w:spacing w:after="0" w:line="240" w:lineRule="auto"/>
    </w:pPr>
    <w:rPr>
      <w:rFonts w:ascii="Calibri" w:hAnsi="Calibri" w:cs="Calibri"/>
      <w:color w:val="000000"/>
      <w:sz w:val="24"/>
      <w:szCs w:val="24"/>
      <w:lang w:val="de-DE"/>
    </w:rPr>
  </w:style>
  <w:style w:type="paragraph" w:styleId="Revision">
    <w:name w:val="Revision"/>
    <w:hidden/>
    <w:uiPriority w:val="99"/>
    <w:semiHidden/>
    <w:rsid w:val="00F65BE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yperlink" Target="https://statmodeling.stat.columbia.edu/2018/03/15/need-16-times-sample-size-estimate-interaction-estimate-main-effect/" TargetMode="External"/><Relationship Id="rId8" Type="http://schemas.openxmlformats.org/officeDocument/2006/relationships/webSettings" Target="webSettings.xml"/></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825452C6B2B4DABCE35CE8CFC6127" ma:contentTypeVersion="10" ma:contentTypeDescription="Create a new document." ma:contentTypeScope="" ma:versionID="89e0940962570967d56e80a8d8825545">
  <xsd:schema xmlns:xsd="http://www.w3.org/2001/XMLSchema" xmlns:xs="http://www.w3.org/2001/XMLSchema" xmlns:p="http://schemas.microsoft.com/office/2006/metadata/properties" xmlns:ns2="cdcb386f-0da8-4521-8045-35f6ba5969dc" xmlns:ns3="74802176-383f-45d7-ae77-1daf620c6ef8" targetNamespace="http://schemas.microsoft.com/office/2006/metadata/properties" ma:root="true" ma:fieldsID="e41795ae0e8f37464a826c61e192a263" ns2:_="" ns3:_="">
    <xsd:import namespace="cdcb386f-0da8-4521-8045-35f6ba5969dc"/>
    <xsd:import namespace="74802176-383f-45d7-ae77-1daf620c6e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b386f-0da8-4521-8045-35f6ba59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802176-383f-45d7-ae77-1daf620c6e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5C1A83-FF82-420F-80B3-DFBB1DA56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b386f-0da8-4521-8045-35f6ba5969dc"/>
    <ds:schemaRef ds:uri="74802176-383f-45d7-ae77-1daf620c6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066D69-8BB7-4F8B-B7FA-AA2779039D9C}">
  <ds:schemaRefs>
    <ds:schemaRef ds:uri="http://schemas.openxmlformats.org/officeDocument/2006/bibliography"/>
  </ds:schemaRefs>
</ds:datastoreItem>
</file>

<file path=customXml/itemProps3.xml><?xml version="1.0" encoding="utf-8"?>
<ds:datastoreItem xmlns:ds="http://schemas.openxmlformats.org/officeDocument/2006/customXml" ds:itemID="{D765F810-FBE2-4D38-89ED-6AFEAC7F4A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B8C9CA-925A-41FA-9221-0B0FBEC767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10</Pages>
  <Words>7884</Words>
  <Characters>44943</Characters>
  <Application>Microsoft Office Word</Application>
  <DocSecurity>0</DocSecurity>
  <Lines>374</Lines>
  <Paragraphs>105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 Media SA</dc:creator>
  <cp:lastModifiedBy>Frontiers</cp:lastModifiedBy>
  <cp:revision>11</cp:revision>
  <cp:lastPrinted>2013-10-03T12:51:00Z</cp:lastPrinted>
  <dcterms:created xsi:type="dcterms:W3CDTF">2020-04-20T08:21:00Z</dcterms:created>
  <dcterms:modified xsi:type="dcterms:W3CDTF">2022-08-19T14:54:00Z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0x010100575825452C6B2B4DABCE35CE8CFC6127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http://www.zotero.org/styles/frontiers-in-neuroscience</vt:lpwstr>
  </property>
  <property fmtid="{D5CDD505-2E9C-101B-9397-08002B2CF9AE}" pid="16" name="Mendeley Recent Style Name 6_1">
    <vt:lpwstr>Frontiers in Neuroscience</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Document_1">
    <vt:lpwstr>True</vt:lpwstr>
  </property>
  <property fmtid="{D5CDD505-2E9C-101B-9397-08002B2CF9AE}" pid="24" name="Mendeley Unique User Id_1">
    <vt:lpwstr>c774b4f3-26d3-350f-8ec4-17ac4bf96817</vt:lpwstr>
  </property>
  <property fmtid="{D5CDD505-2E9C-101B-9397-08002B2CF9AE}" pid="25" name="Mendeley Citation Style_1">
    <vt:lpwstr>http://www.zotero.org/styles/frontiers-in-neuroscience</vt:lpwstr>
  </property>
</Properties>
</file>