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C4666" w14:textId="1CF7701B" w:rsidR="00F67367" w:rsidRPr="00F67367" w:rsidRDefault="00654E8F" w:rsidP="00F67367">
      <w:pPr>
        <w:pStyle w:val="SupplementaryMaterial"/>
        <w:rPr>
          <w:szCs w:val="24"/>
        </w:rPr>
      </w:pPr>
      <w:r w:rsidRPr="001549D3">
        <w:t>Supplementary Material</w:t>
      </w:r>
      <w:r w:rsidR="00994A3D" w:rsidRPr="001549D3">
        <w:rPr>
          <w:szCs w:val="24"/>
        </w:rPr>
        <w:t xml:space="preserve"> </w:t>
      </w:r>
    </w:p>
    <w:tbl>
      <w:tblPr>
        <w:tblW w:w="97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5"/>
        <w:gridCol w:w="2587"/>
        <w:gridCol w:w="2587"/>
        <w:gridCol w:w="762"/>
      </w:tblGrid>
      <w:tr w:rsidR="00F67367" w:rsidRPr="00F67367" w14:paraId="01AE5281" w14:textId="77777777" w:rsidTr="00F67367">
        <w:trPr>
          <w:trHeight w:val="428"/>
        </w:trPr>
        <w:tc>
          <w:tcPr>
            <w:tcW w:w="9741" w:type="dxa"/>
            <w:gridSpan w:val="4"/>
            <w:tcBorders>
              <w:top w:val="none" w:sz="0" w:space="0" w:color="FCFCFC"/>
              <w:left w:val="none" w:sz="0" w:space="0" w:color="FCFCFC"/>
              <w:bottom w:val="double" w:sz="4" w:space="0" w:color="000000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742EBD5" w14:textId="6FE3A85E" w:rsidR="00F67367" w:rsidRPr="00F67367" w:rsidRDefault="00F67367" w:rsidP="00F67367">
            <w:pPr>
              <w:spacing w:before="240"/>
            </w:pPr>
            <w:r w:rsidRPr="00A5724D">
              <w:rPr>
                <w:b/>
              </w:rPr>
              <w:t>Supplementary Table 1</w:t>
            </w:r>
            <w:r w:rsidRPr="00F67367">
              <w:rPr>
                <w:b/>
              </w:rPr>
              <w:t xml:space="preserve">. </w:t>
            </w:r>
            <w:r w:rsidRPr="00F67367">
              <w:t xml:space="preserve">Comparison of </w:t>
            </w:r>
            <w:r w:rsidR="004F35D0">
              <w:t xml:space="preserve">patients with </w:t>
            </w:r>
            <w:r w:rsidRPr="00F67367">
              <w:t>Parkinson’s disease (PD)</w:t>
            </w:r>
            <w:r w:rsidR="004F35D0">
              <w:t xml:space="preserve"> </w:t>
            </w:r>
            <w:r w:rsidRPr="00F67367">
              <w:t xml:space="preserve">with </w:t>
            </w:r>
            <w:r w:rsidR="00DA7415">
              <w:t xml:space="preserve">and without </w:t>
            </w:r>
            <w:r w:rsidRPr="00F67367">
              <w:t xml:space="preserve">motor fluctuations </w:t>
            </w:r>
            <w:r w:rsidR="00352929">
              <w:t xml:space="preserve">at </w:t>
            </w:r>
            <w:r w:rsidR="009B6F43">
              <w:t>5</w:t>
            </w:r>
            <w:r w:rsidRPr="00F67367">
              <w:t xml:space="preserve"> years </w:t>
            </w:r>
            <w:r w:rsidR="004F35D0">
              <w:t xml:space="preserve">after </w:t>
            </w:r>
            <w:r w:rsidR="001A1E9D">
              <w:t xml:space="preserve">disease </w:t>
            </w:r>
            <w:r w:rsidR="004F35D0">
              <w:t xml:space="preserve">onset </w:t>
            </w:r>
          </w:p>
          <w:p w14:paraId="5D5E31EE" w14:textId="77777777" w:rsidR="00F67367" w:rsidRPr="00F67367" w:rsidRDefault="00F67367" w:rsidP="00F67367">
            <w:pPr>
              <w:spacing w:before="240"/>
            </w:pPr>
          </w:p>
        </w:tc>
      </w:tr>
      <w:tr w:rsidR="00F67367" w:rsidRPr="00F67367" w14:paraId="17FA97C4" w14:textId="77777777" w:rsidTr="00F67367">
        <w:trPr>
          <w:trHeight w:val="510"/>
        </w:trPr>
        <w:tc>
          <w:tcPr>
            <w:tcW w:w="3805" w:type="dxa"/>
            <w:tcBorders>
              <w:top w:val="double" w:sz="4" w:space="0" w:color="000000"/>
              <w:left w:val="none" w:sz="0" w:space="0" w:color="FCFCFC"/>
              <w:bottom w:val="single" w:sz="4" w:space="0" w:color="auto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79FC694" w14:textId="77777777" w:rsidR="00F67367" w:rsidRPr="00F67367" w:rsidRDefault="00F67367" w:rsidP="00F67367">
            <w:pPr>
              <w:spacing w:before="240"/>
            </w:pPr>
          </w:p>
        </w:tc>
        <w:tc>
          <w:tcPr>
            <w:tcW w:w="5935" w:type="dxa"/>
            <w:gridSpan w:val="3"/>
            <w:tcBorders>
              <w:top w:val="double" w:sz="4" w:space="0" w:color="000000"/>
              <w:left w:val="none" w:sz="0" w:space="0" w:color="FCFCFC"/>
              <w:bottom w:val="single" w:sz="4" w:space="0" w:color="auto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1551459" w14:textId="43469AD2" w:rsidR="00F67367" w:rsidRPr="00F67367" w:rsidRDefault="00EC4292" w:rsidP="00EC4292">
            <w:pPr>
              <w:spacing w:before="240"/>
            </w:pPr>
            <w:r>
              <w:t xml:space="preserve">                      </w:t>
            </w:r>
            <w:r w:rsidR="009D792C">
              <w:t>PD patients</w:t>
            </w:r>
            <w:r>
              <w:t xml:space="preserve"> </w:t>
            </w:r>
            <w:r w:rsidR="00F67367" w:rsidRPr="00F67367">
              <w:t>(</w:t>
            </w:r>
            <w:r w:rsidR="004F35D0">
              <w:t>n</w:t>
            </w:r>
            <w:r w:rsidR="00F67367" w:rsidRPr="00F67367">
              <w:t xml:space="preserve"> = 741)</w:t>
            </w:r>
          </w:p>
        </w:tc>
      </w:tr>
      <w:tr w:rsidR="00F67367" w:rsidRPr="00F67367" w14:paraId="752FF64C" w14:textId="77777777" w:rsidTr="00F67367">
        <w:trPr>
          <w:trHeight w:val="510"/>
        </w:trPr>
        <w:tc>
          <w:tcPr>
            <w:tcW w:w="3805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39CF03B" w14:textId="77777777" w:rsidR="00F67367" w:rsidRPr="00F67367" w:rsidRDefault="00F67367" w:rsidP="00F67367">
            <w:pPr>
              <w:spacing w:before="240"/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6B8B97D" w14:textId="77777777" w:rsidR="00F67367" w:rsidRPr="00F67367" w:rsidRDefault="00F67367" w:rsidP="00F67367">
            <w:pPr>
              <w:spacing w:before="240"/>
            </w:pPr>
            <w:r w:rsidRPr="00F67367">
              <w:t>Motor fluctuations (+)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7B0B0C5" w14:textId="77777777" w:rsidR="00F67367" w:rsidRPr="00F67367" w:rsidRDefault="00F67367" w:rsidP="00F67367">
            <w:pPr>
              <w:spacing w:before="240"/>
            </w:pPr>
            <w:r w:rsidRPr="00F67367">
              <w:t>Motor fluctuations (-)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07A76E6" w14:textId="040A09EC" w:rsidR="00F67367" w:rsidRPr="00F67367" w:rsidRDefault="00F67367" w:rsidP="00151B6B">
            <w:pPr>
              <w:spacing w:before="240"/>
              <w:ind w:right="-93"/>
            </w:pPr>
            <w:r w:rsidRPr="00F67367">
              <w:rPr>
                <w:i/>
              </w:rPr>
              <w:t>P</w:t>
            </w:r>
            <w:r w:rsidR="00210082">
              <w:t>-</w:t>
            </w:r>
            <w:r w:rsidRPr="00F67367">
              <w:t>value</w:t>
            </w:r>
          </w:p>
        </w:tc>
      </w:tr>
      <w:tr w:rsidR="00F67367" w:rsidRPr="00F67367" w14:paraId="14F11A08" w14:textId="77777777" w:rsidTr="00F67367">
        <w:trPr>
          <w:trHeight w:val="510"/>
        </w:trPr>
        <w:tc>
          <w:tcPr>
            <w:tcW w:w="3805" w:type="dxa"/>
            <w:tcBorders>
              <w:top w:val="single" w:sz="8" w:space="0" w:color="000000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C08A9E9" w14:textId="77777777" w:rsidR="00F67367" w:rsidRPr="00F67367" w:rsidRDefault="00F67367" w:rsidP="00F67367">
            <w:pPr>
              <w:spacing w:before="240"/>
            </w:pPr>
            <w:r w:rsidRPr="00F67367">
              <w:t>Total sample, n (%)</w:t>
            </w:r>
          </w:p>
        </w:tc>
        <w:tc>
          <w:tcPr>
            <w:tcW w:w="2587" w:type="dxa"/>
            <w:tcBorders>
              <w:top w:val="single" w:sz="8" w:space="0" w:color="000000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36B2F08" w14:textId="77777777" w:rsidR="00F67367" w:rsidRPr="00F67367" w:rsidRDefault="00F67367" w:rsidP="00F67367">
            <w:pPr>
              <w:spacing w:before="240"/>
            </w:pPr>
            <w:r w:rsidRPr="00F67367">
              <w:t>219 (29.6)</w:t>
            </w:r>
          </w:p>
        </w:tc>
        <w:tc>
          <w:tcPr>
            <w:tcW w:w="2587" w:type="dxa"/>
            <w:tcBorders>
              <w:top w:val="single" w:sz="8" w:space="0" w:color="000000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1F80226" w14:textId="77777777" w:rsidR="00F67367" w:rsidRPr="00F67367" w:rsidRDefault="00F67367" w:rsidP="00F67367">
            <w:pPr>
              <w:spacing w:before="240"/>
            </w:pPr>
            <w:r w:rsidRPr="00F67367">
              <w:t>522 (70.4)</w:t>
            </w:r>
          </w:p>
        </w:tc>
        <w:tc>
          <w:tcPr>
            <w:tcW w:w="760" w:type="dxa"/>
            <w:tcBorders>
              <w:top w:val="single" w:sz="8" w:space="0" w:color="000000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2774724" w14:textId="77777777" w:rsidR="00F67367" w:rsidRPr="00F67367" w:rsidRDefault="00F67367" w:rsidP="00F67367">
            <w:pPr>
              <w:spacing w:before="240"/>
            </w:pPr>
            <w:r w:rsidRPr="00F67367">
              <w:t>-</w:t>
            </w:r>
          </w:p>
        </w:tc>
      </w:tr>
      <w:tr w:rsidR="00F67367" w:rsidRPr="00F67367" w14:paraId="7C1EB4A8" w14:textId="77777777" w:rsidTr="00F67367">
        <w:trPr>
          <w:trHeight w:val="510"/>
        </w:trPr>
        <w:tc>
          <w:tcPr>
            <w:tcW w:w="3805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080523E" w14:textId="77777777" w:rsidR="00F67367" w:rsidRPr="00F67367" w:rsidRDefault="00F67367" w:rsidP="00F67367">
            <w:pPr>
              <w:spacing w:before="240"/>
            </w:pPr>
            <w:r w:rsidRPr="00F67367">
              <w:t xml:space="preserve">Men, n (%) </w:t>
            </w:r>
          </w:p>
        </w:tc>
        <w:tc>
          <w:tcPr>
            <w:tcW w:w="2587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5DFC3E1" w14:textId="77777777" w:rsidR="00F67367" w:rsidRPr="00F67367" w:rsidRDefault="00F67367" w:rsidP="00F67367">
            <w:pPr>
              <w:spacing w:before="240"/>
            </w:pPr>
            <w:r w:rsidRPr="00F67367">
              <w:t>92 (42.0)</w:t>
            </w:r>
          </w:p>
        </w:tc>
        <w:tc>
          <w:tcPr>
            <w:tcW w:w="2587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46A60CA" w14:textId="77777777" w:rsidR="00F67367" w:rsidRPr="00F67367" w:rsidRDefault="00F67367" w:rsidP="00F67367">
            <w:pPr>
              <w:spacing w:before="240"/>
            </w:pPr>
            <w:r w:rsidRPr="00F67367">
              <w:t>233 (44.6)</w:t>
            </w:r>
          </w:p>
        </w:tc>
        <w:tc>
          <w:tcPr>
            <w:tcW w:w="76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00FE05B" w14:textId="77777777" w:rsidR="00F67367" w:rsidRPr="00F67367" w:rsidRDefault="00F67367" w:rsidP="00F67367">
            <w:pPr>
              <w:spacing w:before="240"/>
            </w:pPr>
            <w:r w:rsidRPr="00F67367">
              <w:t>0.480</w:t>
            </w:r>
          </w:p>
        </w:tc>
      </w:tr>
      <w:tr w:rsidR="00F67367" w:rsidRPr="00F67367" w14:paraId="77865A47" w14:textId="77777777" w:rsidTr="00F67367">
        <w:trPr>
          <w:trHeight w:val="510"/>
        </w:trPr>
        <w:tc>
          <w:tcPr>
            <w:tcW w:w="3805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1059AAD" w14:textId="06E036E2" w:rsidR="00F67367" w:rsidRPr="00F67367" w:rsidRDefault="00F67367" w:rsidP="00F67367">
            <w:pPr>
              <w:spacing w:before="240"/>
            </w:pPr>
            <w:r w:rsidRPr="00F67367">
              <w:t xml:space="preserve">Age at </w:t>
            </w:r>
            <w:r w:rsidR="00432390">
              <w:t xml:space="preserve">PD </w:t>
            </w:r>
            <w:r w:rsidRPr="00F67367">
              <w:t>onset, year</w:t>
            </w:r>
            <w:r w:rsidR="00432390">
              <w:t>s</w:t>
            </w:r>
            <w:r w:rsidRPr="00F67367">
              <w:t>, mean ± SD (range)</w:t>
            </w:r>
          </w:p>
        </w:tc>
        <w:tc>
          <w:tcPr>
            <w:tcW w:w="2587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F0BB9E4" w14:textId="77777777" w:rsidR="00F67367" w:rsidRPr="00F67367" w:rsidRDefault="00F67367" w:rsidP="00F67367">
            <w:pPr>
              <w:spacing w:before="240"/>
            </w:pPr>
            <w:r w:rsidRPr="00F67367">
              <w:t>54.0 ± 10.3 (28–82)</w:t>
            </w:r>
          </w:p>
        </w:tc>
        <w:tc>
          <w:tcPr>
            <w:tcW w:w="2587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FE7078A" w14:textId="77777777" w:rsidR="00F67367" w:rsidRPr="00F67367" w:rsidRDefault="00F67367" w:rsidP="00F67367">
            <w:pPr>
              <w:spacing w:before="240"/>
            </w:pPr>
            <w:r w:rsidRPr="00F67367">
              <w:t>58.4 ± 9.7 (28–87)</w:t>
            </w:r>
          </w:p>
        </w:tc>
        <w:tc>
          <w:tcPr>
            <w:tcW w:w="76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D191D4F" w14:textId="10D7D9CB" w:rsidR="00F67367" w:rsidRPr="00F67367" w:rsidRDefault="00F67367" w:rsidP="00F67367">
            <w:pPr>
              <w:spacing w:before="240"/>
            </w:pPr>
            <w:r w:rsidRPr="00F67367">
              <w:t>&lt;0.001</w:t>
            </w:r>
          </w:p>
        </w:tc>
      </w:tr>
      <w:tr w:rsidR="00F67367" w:rsidRPr="00F67367" w14:paraId="44CF81F8" w14:textId="77777777" w:rsidTr="00F67367">
        <w:trPr>
          <w:trHeight w:val="510"/>
        </w:trPr>
        <w:tc>
          <w:tcPr>
            <w:tcW w:w="3805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8425C49" w14:textId="1D7C847D" w:rsidR="00F67367" w:rsidRPr="00F67367" w:rsidRDefault="00F67367" w:rsidP="00705AAE">
            <w:pPr>
              <w:spacing w:before="240"/>
            </w:pPr>
            <w:r w:rsidRPr="00F67367">
              <w:t>D</w:t>
            </w:r>
            <w:r w:rsidR="00705AAE">
              <w:t>isease d</w:t>
            </w:r>
            <w:r w:rsidRPr="00F67367">
              <w:t>uration, year</w:t>
            </w:r>
            <w:r w:rsidR="00432390">
              <w:t>s</w:t>
            </w:r>
            <w:r w:rsidRPr="00F67367">
              <w:t>, mean ± SD (range)</w:t>
            </w:r>
          </w:p>
        </w:tc>
        <w:tc>
          <w:tcPr>
            <w:tcW w:w="2587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4DB5E86" w14:textId="77777777" w:rsidR="00F67367" w:rsidRPr="00F67367" w:rsidRDefault="00F67367" w:rsidP="00F67367">
            <w:pPr>
              <w:spacing w:before="240"/>
            </w:pPr>
            <w:r w:rsidRPr="00F67367">
              <w:t>9.5 ± 4.0 (5–25)</w:t>
            </w:r>
          </w:p>
        </w:tc>
        <w:tc>
          <w:tcPr>
            <w:tcW w:w="2587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EC5F3DA" w14:textId="77777777" w:rsidR="00F67367" w:rsidRPr="00F67367" w:rsidRDefault="00F67367" w:rsidP="00F67367">
            <w:pPr>
              <w:spacing w:before="240"/>
            </w:pPr>
            <w:r w:rsidRPr="00F67367">
              <w:t>11.3 ± 4.6 (5–31)</w:t>
            </w:r>
          </w:p>
        </w:tc>
        <w:tc>
          <w:tcPr>
            <w:tcW w:w="76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B28BC5F" w14:textId="12C56570" w:rsidR="00F67367" w:rsidRPr="00F67367" w:rsidRDefault="00F67367" w:rsidP="00F67367">
            <w:pPr>
              <w:spacing w:before="240"/>
            </w:pPr>
            <w:r w:rsidRPr="00F67367">
              <w:t>&lt;0.001</w:t>
            </w:r>
          </w:p>
        </w:tc>
      </w:tr>
      <w:tr w:rsidR="00F67367" w:rsidRPr="00F67367" w14:paraId="695264EA" w14:textId="77777777" w:rsidTr="00F67367">
        <w:trPr>
          <w:trHeight w:val="510"/>
        </w:trPr>
        <w:tc>
          <w:tcPr>
            <w:tcW w:w="3805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7B9F1CA" w14:textId="4CF042F7" w:rsidR="00F67367" w:rsidRPr="00F67367" w:rsidRDefault="00F67367" w:rsidP="00F67367">
            <w:pPr>
              <w:spacing w:before="240"/>
            </w:pPr>
            <w:r w:rsidRPr="00F67367">
              <w:t>MMSE</w:t>
            </w:r>
            <w:r w:rsidR="00432390">
              <w:t xml:space="preserve"> score</w:t>
            </w:r>
            <w:r w:rsidRPr="00F67367">
              <w:t>, mean ± SD (range)</w:t>
            </w:r>
          </w:p>
        </w:tc>
        <w:tc>
          <w:tcPr>
            <w:tcW w:w="2587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37DC565" w14:textId="77777777" w:rsidR="00F67367" w:rsidRPr="00F67367" w:rsidRDefault="00F67367" w:rsidP="00F67367">
            <w:pPr>
              <w:spacing w:before="240"/>
            </w:pPr>
            <w:r w:rsidRPr="00F67367">
              <w:t>26.4 ± 3.3 (12–30)</w:t>
            </w:r>
          </w:p>
        </w:tc>
        <w:tc>
          <w:tcPr>
            <w:tcW w:w="2587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B0AACEC" w14:textId="77777777" w:rsidR="00F67367" w:rsidRPr="00F67367" w:rsidRDefault="00F67367" w:rsidP="00F67367">
            <w:pPr>
              <w:spacing w:before="240"/>
            </w:pPr>
            <w:r w:rsidRPr="00F67367">
              <w:t>25.9 ± 3.2 (10–30)</w:t>
            </w:r>
          </w:p>
        </w:tc>
        <w:tc>
          <w:tcPr>
            <w:tcW w:w="76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398D5E5" w14:textId="77777777" w:rsidR="00F67367" w:rsidRPr="00F67367" w:rsidRDefault="00F67367" w:rsidP="00F67367">
            <w:pPr>
              <w:spacing w:before="240"/>
            </w:pPr>
            <w:r w:rsidRPr="00F67367">
              <w:t>0.010</w:t>
            </w:r>
          </w:p>
        </w:tc>
      </w:tr>
      <w:tr w:rsidR="00F67367" w:rsidRPr="00F67367" w14:paraId="12890B54" w14:textId="77777777" w:rsidTr="00F67367">
        <w:trPr>
          <w:trHeight w:val="510"/>
        </w:trPr>
        <w:tc>
          <w:tcPr>
            <w:tcW w:w="3805" w:type="dxa"/>
            <w:tcBorders>
              <w:top w:val="none" w:sz="0" w:space="0" w:color="FCFCFC"/>
              <w:left w:val="none" w:sz="0" w:space="0" w:color="FCFCFC"/>
              <w:bottom w:val="single" w:sz="8" w:space="0" w:color="000000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8F66417" w14:textId="3845DA6B" w:rsidR="00F67367" w:rsidRPr="00F67367" w:rsidRDefault="00F67367" w:rsidP="00F67367">
            <w:pPr>
              <w:spacing w:before="240"/>
            </w:pPr>
            <w:r w:rsidRPr="00F67367">
              <w:t>MoCA</w:t>
            </w:r>
            <w:r w:rsidR="00432390">
              <w:t xml:space="preserve"> score</w:t>
            </w:r>
            <w:r w:rsidRPr="00F67367">
              <w:t>, mean ± SD (range)</w:t>
            </w:r>
          </w:p>
        </w:tc>
        <w:tc>
          <w:tcPr>
            <w:tcW w:w="2587" w:type="dxa"/>
            <w:tcBorders>
              <w:top w:val="none" w:sz="0" w:space="0" w:color="FCFCFC"/>
              <w:left w:val="none" w:sz="0" w:space="0" w:color="FCFCFC"/>
              <w:bottom w:val="single" w:sz="8" w:space="0" w:color="000000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F6A7C3B" w14:textId="77777777" w:rsidR="00F67367" w:rsidRPr="00F67367" w:rsidRDefault="00F67367" w:rsidP="00F67367">
            <w:pPr>
              <w:spacing w:before="240"/>
            </w:pPr>
            <w:r w:rsidRPr="00F67367">
              <w:t>23.0 ± 6.1 (3–30)</w:t>
            </w:r>
          </w:p>
        </w:tc>
        <w:tc>
          <w:tcPr>
            <w:tcW w:w="2587" w:type="dxa"/>
            <w:tcBorders>
              <w:top w:val="none" w:sz="0" w:space="0" w:color="FCFCFC"/>
              <w:left w:val="none" w:sz="0" w:space="0" w:color="FCFCFC"/>
              <w:bottom w:val="single" w:sz="8" w:space="0" w:color="000000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32CADE9" w14:textId="77777777" w:rsidR="00F67367" w:rsidRPr="00F67367" w:rsidRDefault="00F67367" w:rsidP="00F67367">
            <w:pPr>
              <w:spacing w:before="240"/>
            </w:pPr>
            <w:r w:rsidRPr="00F67367">
              <w:t>22.4 ± 5.3 (3–30)</w:t>
            </w:r>
          </w:p>
        </w:tc>
        <w:tc>
          <w:tcPr>
            <w:tcW w:w="760" w:type="dxa"/>
            <w:tcBorders>
              <w:top w:val="none" w:sz="0" w:space="0" w:color="FCFCFC"/>
              <w:left w:val="none" w:sz="0" w:space="0" w:color="FCFCFC"/>
              <w:bottom w:val="single" w:sz="8" w:space="0" w:color="000000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418B29E" w14:textId="77777777" w:rsidR="00F67367" w:rsidRPr="00F67367" w:rsidRDefault="00F67367" w:rsidP="00F67367">
            <w:pPr>
              <w:spacing w:before="240"/>
            </w:pPr>
            <w:r w:rsidRPr="00F67367">
              <w:t>0.069</w:t>
            </w:r>
          </w:p>
        </w:tc>
      </w:tr>
    </w:tbl>
    <w:p w14:paraId="2E844446" w14:textId="6ABA4F4A" w:rsidR="00F67367" w:rsidRDefault="00F67367" w:rsidP="00F67367">
      <w:pPr>
        <w:spacing w:before="240"/>
      </w:pPr>
      <w:r w:rsidRPr="00F67367">
        <w:t xml:space="preserve">PD, Parkinson’s disease; SD, </w:t>
      </w:r>
      <w:r w:rsidR="009B6F43">
        <w:t>s</w:t>
      </w:r>
      <w:r w:rsidR="009B6F43" w:rsidRPr="00F67367">
        <w:t xml:space="preserve">tandard </w:t>
      </w:r>
      <w:r w:rsidRPr="00F67367">
        <w:t>deviation; MMSE, Mini–Mental State Examination; MoCA, Montreal Cognitive Assessment.</w:t>
      </w:r>
      <w:r>
        <w:br w:type="page"/>
      </w:r>
    </w:p>
    <w:tbl>
      <w:tblPr>
        <w:tblW w:w="98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3"/>
        <w:gridCol w:w="2579"/>
        <w:gridCol w:w="2580"/>
        <w:gridCol w:w="772"/>
      </w:tblGrid>
      <w:tr w:rsidR="00F67367" w:rsidRPr="00F67367" w14:paraId="59CD75EA" w14:textId="77777777" w:rsidTr="00BF4970">
        <w:trPr>
          <w:trHeight w:val="244"/>
        </w:trPr>
        <w:tc>
          <w:tcPr>
            <w:tcW w:w="9844" w:type="dxa"/>
            <w:gridSpan w:val="4"/>
            <w:tcBorders>
              <w:top w:val="none" w:sz="0" w:space="0" w:color="FCFCFC"/>
              <w:left w:val="none" w:sz="0" w:space="0" w:color="FCFCFC"/>
              <w:bottom w:val="double" w:sz="4" w:space="0" w:color="000000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EE1F4D5" w14:textId="3AF2DDA4" w:rsidR="00F67367" w:rsidRPr="00F67367" w:rsidRDefault="00F67367" w:rsidP="00F67367">
            <w:pPr>
              <w:spacing w:before="240"/>
            </w:pPr>
            <w:r w:rsidRPr="00A5724D">
              <w:rPr>
                <w:b/>
              </w:rPr>
              <w:lastRenderedPageBreak/>
              <w:t>S</w:t>
            </w:r>
            <w:r>
              <w:rPr>
                <w:b/>
              </w:rPr>
              <w:t>upplementary Table 2</w:t>
            </w:r>
            <w:r w:rsidRPr="00F67367">
              <w:rPr>
                <w:b/>
              </w:rPr>
              <w:t xml:space="preserve">. </w:t>
            </w:r>
            <w:r w:rsidRPr="00F67367">
              <w:t xml:space="preserve">Comparison of </w:t>
            </w:r>
            <w:r w:rsidR="00DA7415">
              <w:t xml:space="preserve">patients with </w:t>
            </w:r>
            <w:r w:rsidRPr="00F67367">
              <w:t>Parkinson’s disease (PD) with</w:t>
            </w:r>
            <w:r w:rsidR="00DA7415">
              <w:t xml:space="preserve"> and without</w:t>
            </w:r>
            <w:r w:rsidRPr="00F67367">
              <w:t xml:space="preserve"> levodopa-induced dyskinesia at </w:t>
            </w:r>
            <w:r w:rsidR="009B6F43">
              <w:t>5</w:t>
            </w:r>
            <w:r w:rsidR="00352929" w:rsidRPr="00F67367">
              <w:t xml:space="preserve"> </w:t>
            </w:r>
            <w:r w:rsidRPr="00F67367">
              <w:t xml:space="preserve">years </w:t>
            </w:r>
            <w:r w:rsidR="00DA7415">
              <w:t xml:space="preserve">after </w:t>
            </w:r>
            <w:r w:rsidR="00352929">
              <w:t xml:space="preserve">disease </w:t>
            </w:r>
            <w:r w:rsidR="00DA7415">
              <w:t xml:space="preserve">onset </w:t>
            </w:r>
          </w:p>
          <w:p w14:paraId="7D7A59A1" w14:textId="77777777" w:rsidR="00F67367" w:rsidRPr="00F67367" w:rsidRDefault="00F67367" w:rsidP="00F67367">
            <w:pPr>
              <w:spacing w:before="240"/>
              <w:rPr>
                <w:b/>
              </w:rPr>
            </w:pPr>
          </w:p>
        </w:tc>
      </w:tr>
      <w:tr w:rsidR="00F67367" w:rsidRPr="00F67367" w14:paraId="5C86C1B6" w14:textId="77777777" w:rsidTr="00BF4970">
        <w:trPr>
          <w:trHeight w:val="512"/>
        </w:trPr>
        <w:tc>
          <w:tcPr>
            <w:tcW w:w="3913" w:type="dxa"/>
            <w:tcBorders>
              <w:top w:val="double" w:sz="4" w:space="0" w:color="000000"/>
              <w:left w:val="none" w:sz="0" w:space="0" w:color="FCFCFC"/>
              <w:bottom w:val="single" w:sz="4" w:space="0" w:color="auto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A3178BC" w14:textId="77777777" w:rsidR="00F67367" w:rsidRPr="00F67367" w:rsidRDefault="00F67367" w:rsidP="00F67367">
            <w:pPr>
              <w:spacing w:before="240"/>
            </w:pPr>
          </w:p>
        </w:tc>
        <w:tc>
          <w:tcPr>
            <w:tcW w:w="5931" w:type="dxa"/>
            <w:gridSpan w:val="3"/>
            <w:tcBorders>
              <w:top w:val="double" w:sz="4" w:space="0" w:color="000000"/>
              <w:left w:val="none" w:sz="0" w:space="0" w:color="FCFCFC"/>
              <w:bottom w:val="single" w:sz="4" w:space="0" w:color="auto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E779472" w14:textId="3C37B264" w:rsidR="00F67367" w:rsidRPr="00F67367" w:rsidRDefault="00DA7415" w:rsidP="00DA7415">
            <w:pPr>
              <w:spacing w:before="240"/>
            </w:pPr>
            <w:r>
              <w:t xml:space="preserve">              </w:t>
            </w:r>
            <w:r w:rsidR="00F67367" w:rsidRPr="00F67367">
              <w:t>PD patient</w:t>
            </w:r>
            <w:r w:rsidR="009D792C">
              <w:t>s</w:t>
            </w:r>
            <w:r>
              <w:t xml:space="preserve"> </w:t>
            </w:r>
            <w:r w:rsidR="00F67367" w:rsidRPr="00F67367">
              <w:t>(</w:t>
            </w:r>
            <w:r>
              <w:t>n</w:t>
            </w:r>
            <w:r w:rsidR="00F67367" w:rsidRPr="00F67367">
              <w:t xml:space="preserve"> = 741)</w:t>
            </w:r>
          </w:p>
        </w:tc>
      </w:tr>
      <w:tr w:rsidR="00F67367" w:rsidRPr="00F67367" w14:paraId="5DFA151F" w14:textId="77777777" w:rsidTr="00BF4970">
        <w:trPr>
          <w:trHeight w:val="512"/>
        </w:trPr>
        <w:tc>
          <w:tcPr>
            <w:tcW w:w="3913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8C25D53" w14:textId="77777777" w:rsidR="00F67367" w:rsidRPr="00F67367" w:rsidRDefault="00F67367" w:rsidP="00F67367">
            <w:pPr>
              <w:spacing w:before="240"/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3831CCF" w14:textId="77777777" w:rsidR="00F67367" w:rsidRPr="00F67367" w:rsidRDefault="00F67367" w:rsidP="00F67367">
            <w:pPr>
              <w:spacing w:before="240"/>
            </w:pPr>
            <w:r w:rsidRPr="00F67367">
              <w:t>LID (+)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7F4FB01" w14:textId="77777777" w:rsidR="00F67367" w:rsidRPr="00F67367" w:rsidRDefault="00F67367" w:rsidP="00F67367">
            <w:pPr>
              <w:spacing w:before="240"/>
            </w:pPr>
            <w:r w:rsidRPr="00F67367">
              <w:t>LID (-)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C4E2BFA" w14:textId="0B3A670E" w:rsidR="00F67367" w:rsidRPr="00F67367" w:rsidRDefault="00F67367" w:rsidP="00F67367">
            <w:pPr>
              <w:spacing w:before="240"/>
            </w:pPr>
            <w:r w:rsidRPr="00F67367">
              <w:rPr>
                <w:i/>
              </w:rPr>
              <w:t>P</w:t>
            </w:r>
            <w:r w:rsidR="00352929">
              <w:t>-</w:t>
            </w:r>
            <w:r w:rsidRPr="00F67367">
              <w:t>value</w:t>
            </w:r>
          </w:p>
        </w:tc>
      </w:tr>
      <w:tr w:rsidR="00F67367" w:rsidRPr="00F67367" w14:paraId="25F8750E" w14:textId="77777777" w:rsidTr="00BF4970">
        <w:trPr>
          <w:trHeight w:val="512"/>
        </w:trPr>
        <w:tc>
          <w:tcPr>
            <w:tcW w:w="3913" w:type="dxa"/>
            <w:tcBorders>
              <w:top w:val="single" w:sz="8" w:space="0" w:color="000000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E09377A" w14:textId="77777777" w:rsidR="00F67367" w:rsidRPr="00F67367" w:rsidRDefault="00F67367" w:rsidP="00F67367">
            <w:pPr>
              <w:spacing w:before="240"/>
            </w:pPr>
            <w:r w:rsidRPr="00F67367">
              <w:t>Total sample, n (%)</w:t>
            </w:r>
          </w:p>
        </w:tc>
        <w:tc>
          <w:tcPr>
            <w:tcW w:w="2579" w:type="dxa"/>
            <w:tcBorders>
              <w:top w:val="single" w:sz="8" w:space="0" w:color="000000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2A22EC5" w14:textId="77777777" w:rsidR="00F67367" w:rsidRPr="00F67367" w:rsidRDefault="00F67367" w:rsidP="00F67367">
            <w:pPr>
              <w:spacing w:before="240"/>
            </w:pPr>
            <w:r w:rsidRPr="00F67367">
              <w:t>172 (23.2)</w:t>
            </w:r>
          </w:p>
        </w:tc>
        <w:tc>
          <w:tcPr>
            <w:tcW w:w="2580" w:type="dxa"/>
            <w:tcBorders>
              <w:top w:val="single" w:sz="8" w:space="0" w:color="000000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2E9012D" w14:textId="77777777" w:rsidR="00F67367" w:rsidRPr="00F67367" w:rsidRDefault="00F67367" w:rsidP="00F67367">
            <w:pPr>
              <w:spacing w:before="240"/>
            </w:pPr>
            <w:r w:rsidRPr="00F67367">
              <w:t>569 (76.8)</w:t>
            </w:r>
          </w:p>
        </w:tc>
        <w:tc>
          <w:tcPr>
            <w:tcW w:w="771" w:type="dxa"/>
            <w:tcBorders>
              <w:top w:val="single" w:sz="8" w:space="0" w:color="000000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FDEEB5E" w14:textId="77777777" w:rsidR="00F67367" w:rsidRPr="00F67367" w:rsidRDefault="00F67367" w:rsidP="00F67367">
            <w:pPr>
              <w:spacing w:before="240"/>
            </w:pPr>
            <w:r w:rsidRPr="00F67367">
              <w:t>-</w:t>
            </w:r>
          </w:p>
        </w:tc>
      </w:tr>
      <w:tr w:rsidR="00F67367" w:rsidRPr="00F67367" w14:paraId="7CC27D11" w14:textId="77777777" w:rsidTr="00BF4970">
        <w:trPr>
          <w:trHeight w:val="512"/>
        </w:trPr>
        <w:tc>
          <w:tcPr>
            <w:tcW w:w="3913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7AF4FF6" w14:textId="77777777" w:rsidR="00F67367" w:rsidRPr="00F67367" w:rsidRDefault="00F67367" w:rsidP="00F67367">
            <w:pPr>
              <w:spacing w:before="240"/>
            </w:pPr>
            <w:r w:rsidRPr="00F67367">
              <w:t xml:space="preserve">Men, n (%) </w:t>
            </w:r>
          </w:p>
        </w:tc>
        <w:tc>
          <w:tcPr>
            <w:tcW w:w="2579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B9B5AD9" w14:textId="77777777" w:rsidR="00F67367" w:rsidRPr="00F67367" w:rsidRDefault="00F67367" w:rsidP="00F67367">
            <w:pPr>
              <w:spacing w:before="240"/>
            </w:pPr>
            <w:r w:rsidRPr="00F67367">
              <w:t>75 (43.6)</w:t>
            </w:r>
          </w:p>
        </w:tc>
        <w:tc>
          <w:tcPr>
            <w:tcW w:w="258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1F8FF71" w14:textId="77777777" w:rsidR="00F67367" w:rsidRPr="00F67367" w:rsidRDefault="00F67367" w:rsidP="00F67367">
            <w:pPr>
              <w:spacing w:before="240"/>
            </w:pPr>
            <w:r w:rsidRPr="00F67367">
              <w:t>250 (43.9)</w:t>
            </w:r>
          </w:p>
        </w:tc>
        <w:tc>
          <w:tcPr>
            <w:tcW w:w="771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86C45E7" w14:textId="77777777" w:rsidR="00F67367" w:rsidRPr="00F67367" w:rsidRDefault="00F67367" w:rsidP="00F67367">
            <w:pPr>
              <w:spacing w:before="240"/>
            </w:pPr>
            <w:r w:rsidRPr="00F67367">
              <w:t>0.892</w:t>
            </w:r>
          </w:p>
        </w:tc>
      </w:tr>
      <w:tr w:rsidR="00F67367" w:rsidRPr="00F67367" w14:paraId="479CD9B0" w14:textId="77777777" w:rsidTr="00BF4970">
        <w:trPr>
          <w:trHeight w:val="512"/>
        </w:trPr>
        <w:tc>
          <w:tcPr>
            <w:tcW w:w="3913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C44F753" w14:textId="5734548D" w:rsidR="00F67367" w:rsidRPr="00F67367" w:rsidRDefault="00F67367" w:rsidP="00F67367">
            <w:pPr>
              <w:spacing w:before="240"/>
            </w:pPr>
            <w:r w:rsidRPr="00F67367">
              <w:t xml:space="preserve">Age at </w:t>
            </w:r>
            <w:r w:rsidR="00352929">
              <w:t xml:space="preserve">PD </w:t>
            </w:r>
            <w:r w:rsidRPr="00F67367">
              <w:t>onset, year</w:t>
            </w:r>
            <w:r w:rsidR="00352929">
              <w:t>s</w:t>
            </w:r>
            <w:r w:rsidRPr="00F67367">
              <w:t>, mean ± SD (range)</w:t>
            </w:r>
          </w:p>
        </w:tc>
        <w:tc>
          <w:tcPr>
            <w:tcW w:w="2579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CD118A0" w14:textId="77777777" w:rsidR="00F67367" w:rsidRPr="00F67367" w:rsidRDefault="00F67367" w:rsidP="00F67367">
            <w:pPr>
              <w:spacing w:before="240"/>
            </w:pPr>
            <w:r w:rsidRPr="00F67367">
              <w:t>55.2 ± 10.7 (28–79)</w:t>
            </w:r>
          </w:p>
        </w:tc>
        <w:tc>
          <w:tcPr>
            <w:tcW w:w="258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CAA7410" w14:textId="77777777" w:rsidR="00F67367" w:rsidRPr="00F67367" w:rsidRDefault="00F67367" w:rsidP="00F67367">
            <w:pPr>
              <w:spacing w:before="240"/>
            </w:pPr>
            <w:r w:rsidRPr="00F67367">
              <w:t>57.7 ± 9.8 (29–87)</w:t>
            </w:r>
          </w:p>
        </w:tc>
        <w:tc>
          <w:tcPr>
            <w:tcW w:w="771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2335DA8" w14:textId="77777777" w:rsidR="00F67367" w:rsidRPr="00F67367" w:rsidRDefault="00F67367" w:rsidP="00F67367">
            <w:pPr>
              <w:spacing w:before="240"/>
            </w:pPr>
            <w:r w:rsidRPr="00F67367">
              <w:t>0.007</w:t>
            </w:r>
          </w:p>
        </w:tc>
      </w:tr>
      <w:tr w:rsidR="00F67367" w:rsidRPr="00F67367" w14:paraId="47166733" w14:textId="77777777" w:rsidTr="00BF4970">
        <w:trPr>
          <w:trHeight w:val="512"/>
        </w:trPr>
        <w:tc>
          <w:tcPr>
            <w:tcW w:w="3913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757FEBD" w14:textId="4A7FCB7D" w:rsidR="00F67367" w:rsidRPr="00F67367" w:rsidRDefault="00F67367" w:rsidP="00705AAE">
            <w:pPr>
              <w:spacing w:before="240"/>
            </w:pPr>
            <w:r w:rsidRPr="00F67367">
              <w:t>D</w:t>
            </w:r>
            <w:r w:rsidR="00705AAE">
              <w:t>isease d</w:t>
            </w:r>
            <w:r w:rsidRPr="00F67367">
              <w:t>uration, year</w:t>
            </w:r>
            <w:r w:rsidR="00352929">
              <w:t>s</w:t>
            </w:r>
            <w:r w:rsidRPr="00F67367">
              <w:t>, mean ± SD (range)</w:t>
            </w:r>
          </w:p>
        </w:tc>
        <w:tc>
          <w:tcPr>
            <w:tcW w:w="2579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5D495A4" w14:textId="77777777" w:rsidR="00F67367" w:rsidRPr="00F67367" w:rsidRDefault="00F67367" w:rsidP="00F67367">
            <w:pPr>
              <w:spacing w:before="240"/>
            </w:pPr>
            <w:r w:rsidRPr="00F67367">
              <w:t>9.1 ± 3.5 (5–20)</w:t>
            </w:r>
          </w:p>
        </w:tc>
        <w:tc>
          <w:tcPr>
            <w:tcW w:w="258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77D8D85" w14:textId="77777777" w:rsidR="00F67367" w:rsidRPr="00F67367" w:rsidRDefault="00F67367" w:rsidP="00F67367">
            <w:pPr>
              <w:spacing w:before="240"/>
            </w:pPr>
            <w:r w:rsidRPr="00F67367">
              <w:t>11.3 ± 4.6 (5–31)</w:t>
            </w:r>
          </w:p>
        </w:tc>
        <w:tc>
          <w:tcPr>
            <w:tcW w:w="771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6AAF218" w14:textId="77777777" w:rsidR="00F67367" w:rsidRPr="00F67367" w:rsidRDefault="00F67367" w:rsidP="00F67367">
            <w:pPr>
              <w:spacing w:before="240"/>
            </w:pPr>
            <w:r w:rsidRPr="00F67367">
              <w:t>&lt;0.001</w:t>
            </w:r>
          </w:p>
        </w:tc>
      </w:tr>
      <w:tr w:rsidR="00F67367" w:rsidRPr="00F67367" w14:paraId="79F3C61A" w14:textId="77777777" w:rsidTr="00BF4970">
        <w:trPr>
          <w:trHeight w:val="512"/>
        </w:trPr>
        <w:tc>
          <w:tcPr>
            <w:tcW w:w="3913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181D942" w14:textId="7E038987" w:rsidR="00F67367" w:rsidRPr="00F67367" w:rsidRDefault="00F67367" w:rsidP="00F67367">
            <w:pPr>
              <w:spacing w:before="240"/>
            </w:pPr>
            <w:r w:rsidRPr="00F67367">
              <w:t>MMSE</w:t>
            </w:r>
            <w:r w:rsidR="00352929">
              <w:t xml:space="preserve"> score</w:t>
            </w:r>
            <w:r w:rsidRPr="00F67367">
              <w:t>, mean ± SD (range)</w:t>
            </w:r>
          </w:p>
        </w:tc>
        <w:tc>
          <w:tcPr>
            <w:tcW w:w="2579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D7888A0" w14:textId="77777777" w:rsidR="00F67367" w:rsidRPr="00F67367" w:rsidRDefault="00F67367" w:rsidP="00F67367">
            <w:pPr>
              <w:spacing w:before="240"/>
            </w:pPr>
            <w:r w:rsidRPr="00F67367">
              <w:t>26.4 ± 3.0 (12–30)</w:t>
            </w:r>
          </w:p>
        </w:tc>
        <w:tc>
          <w:tcPr>
            <w:tcW w:w="258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41E3F31" w14:textId="77777777" w:rsidR="00F67367" w:rsidRPr="00F67367" w:rsidRDefault="00F67367" w:rsidP="00F67367">
            <w:pPr>
              <w:spacing w:before="240"/>
            </w:pPr>
            <w:r w:rsidRPr="00F67367">
              <w:t>26.0 ± 3.3 (10–30)</w:t>
            </w:r>
          </w:p>
        </w:tc>
        <w:tc>
          <w:tcPr>
            <w:tcW w:w="771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76ADED8" w14:textId="77777777" w:rsidR="00F67367" w:rsidRPr="00F67367" w:rsidRDefault="00F67367" w:rsidP="00F67367">
            <w:pPr>
              <w:spacing w:before="240"/>
            </w:pPr>
            <w:r w:rsidRPr="00F67367">
              <w:t>0.130</w:t>
            </w:r>
          </w:p>
        </w:tc>
      </w:tr>
      <w:tr w:rsidR="00F67367" w:rsidRPr="00F67367" w14:paraId="2E5AAD91" w14:textId="77777777" w:rsidTr="00BF4970">
        <w:trPr>
          <w:trHeight w:val="512"/>
        </w:trPr>
        <w:tc>
          <w:tcPr>
            <w:tcW w:w="3913" w:type="dxa"/>
            <w:tcBorders>
              <w:top w:val="none" w:sz="0" w:space="0" w:color="FCFCFC"/>
              <w:left w:val="none" w:sz="0" w:space="0" w:color="FCFCFC"/>
              <w:bottom w:val="single" w:sz="8" w:space="0" w:color="000000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803D825" w14:textId="68BFF468" w:rsidR="00F67367" w:rsidRPr="00F67367" w:rsidRDefault="00F67367" w:rsidP="00F67367">
            <w:pPr>
              <w:spacing w:before="240"/>
            </w:pPr>
            <w:r w:rsidRPr="00F67367">
              <w:t>MoCA</w:t>
            </w:r>
            <w:r w:rsidR="00352929">
              <w:t xml:space="preserve"> score</w:t>
            </w:r>
            <w:r w:rsidRPr="00F67367">
              <w:t>, mean ± SD (range)</w:t>
            </w:r>
          </w:p>
        </w:tc>
        <w:tc>
          <w:tcPr>
            <w:tcW w:w="2579" w:type="dxa"/>
            <w:tcBorders>
              <w:top w:val="none" w:sz="0" w:space="0" w:color="FCFCFC"/>
              <w:left w:val="none" w:sz="0" w:space="0" w:color="FCFCFC"/>
              <w:bottom w:val="single" w:sz="8" w:space="0" w:color="000000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687D14A" w14:textId="77777777" w:rsidR="00F67367" w:rsidRPr="00F67367" w:rsidRDefault="00F67367" w:rsidP="00F67367">
            <w:pPr>
              <w:spacing w:before="240"/>
            </w:pPr>
            <w:r w:rsidRPr="00F67367">
              <w:t>23.0 ± 5.4 (5–30)</w:t>
            </w:r>
          </w:p>
        </w:tc>
        <w:tc>
          <w:tcPr>
            <w:tcW w:w="2580" w:type="dxa"/>
            <w:tcBorders>
              <w:top w:val="none" w:sz="0" w:space="0" w:color="FCFCFC"/>
              <w:left w:val="none" w:sz="0" w:space="0" w:color="FCFCFC"/>
              <w:bottom w:val="single" w:sz="8" w:space="0" w:color="000000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374F986" w14:textId="77777777" w:rsidR="00F67367" w:rsidRPr="00F67367" w:rsidRDefault="00F67367" w:rsidP="00F67367">
            <w:pPr>
              <w:spacing w:before="240"/>
            </w:pPr>
            <w:r w:rsidRPr="00F67367">
              <w:t>22.4 ± 5.6 (3–30)</w:t>
            </w:r>
          </w:p>
        </w:tc>
        <w:tc>
          <w:tcPr>
            <w:tcW w:w="771" w:type="dxa"/>
            <w:tcBorders>
              <w:top w:val="none" w:sz="0" w:space="0" w:color="FCFCFC"/>
              <w:left w:val="none" w:sz="0" w:space="0" w:color="FCFCFC"/>
              <w:bottom w:val="single" w:sz="8" w:space="0" w:color="000000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99543E6" w14:textId="77777777" w:rsidR="00F67367" w:rsidRPr="00F67367" w:rsidRDefault="00F67367" w:rsidP="00F67367">
            <w:pPr>
              <w:spacing w:before="240"/>
            </w:pPr>
            <w:r w:rsidRPr="00F67367">
              <w:t>0.328</w:t>
            </w:r>
          </w:p>
        </w:tc>
      </w:tr>
    </w:tbl>
    <w:p w14:paraId="67C15370" w14:textId="17C97F41" w:rsidR="00F67367" w:rsidRDefault="00F67367" w:rsidP="00F67367">
      <w:pPr>
        <w:spacing w:before="240"/>
      </w:pPr>
      <w:r w:rsidRPr="00F67367">
        <w:t xml:space="preserve">PD, Parkinson’s disease; LID, </w:t>
      </w:r>
      <w:r w:rsidR="00E1211D">
        <w:t>l</w:t>
      </w:r>
      <w:r w:rsidR="00E1211D" w:rsidRPr="00F67367">
        <w:t>evodopa</w:t>
      </w:r>
      <w:r w:rsidRPr="00F67367">
        <w:t xml:space="preserve">-induced dyskinesia; SD, </w:t>
      </w:r>
      <w:r w:rsidR="00E1211D">
        <w:t>s</w:t>
      </w:r>
      <w:r w:rsidR="00E1211D" w:rsidRPr="00F67367">
        <w:t xml:space="preserve">tandard </w:t>
      </w:r>
      <w:r w:rsidRPr="00F67367">
        <w:t>deviation; MMSE, Mini–Mental State Examination; MoCA, Montreal Cognitive Assessment.</w:t>
      </w:r>
      <w:r>
        <w:br w:type="page"/>
      </w:r>
    </w:p>
    <w:tbl>
      <w:tblPr>
        <w:tblW w:w="97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461"/>
        <w:gridCol w:w="2530"/>
        <w:gridCol w:w="2530"/>
        <w:gridCol w:w="965"/>
        <w:gridCol w:w="34"/>
      </w:tblGrid>
      <w:tr w:rsidR="00F67367" w:rsidRPr="00A5724D" w14:paraId="5D69F6AB" w14:textId="77777777" w:rsidTr="00210082">
        <w:trPr>
          <w:trHeight w:val="373"/>
        </w:trPr>
        <w:tc>
          <w:tcPr>
            <w:tcW w:w="9740" w:type="dxa"/>
            <w:gridSpan w:val="6"/>
            <w:tcBorders>
              <w:top w:val="none" w:sz="0" w:space="0" w:color="FCFCFC"/>
              <w:left w:val="none" w:sz="0" w:space="0" w:color="FCFCFC"/>
              <w:bottom w:val="double" w:sz="4" w:space="0" w:color="000000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C514912" w14:textId="4959D8D4" w:rsidR="00F67367" w:rsidRPr="00A5724D" w:rsidRDefault="00F67367" w:rsidP="00210082">
            <w:pPr>
              <w:spacing w:before="240"/>
            </w:pPr>
            <w:r w:rsidRPr="00A5724D">
              <w:rPr>
                <w:b/>
              </w:rPr>
              <w:lastRenderedPageBreak/>
              <w:t>S</w:t>
            </w:r>
            <w:r>
              <w:rPr>
                <w:b/>
              </w:rPr>
              <w:t>upplementary Table 3</w:t>
            </w:r>
            <w:r w:rsidRPr="00A5724D">
              <w:rPr>
                <w:b/>
              </w:rPr>
              <w:t xml:space="preserve">. </w:t>
            </w:r>
            <w:r w:rsidR="00352929" w:rsidRPr="00A5724D">
              <w:t xml:space="preserve">Comparison of </w:t>
            </w:r>
            <w:r w:rsidR="00352929">
              <w:t xml:space="preserve">patients aged </w:t>
            </w:r>
            <w:r w:rsidR="00352929" w:rsidRPr="004B56DE">
              <w:rPr>
                <w:rFonts w:cs="Times New Roman"/>
                <w:szCs w:val="24"/>
              </w:rPr>
              <w:t>≥50 years</w:t>
            </w:r>
            <w:r w:rsidR="00352929">
              <w:rPr>
                <w:rFonts w:cs="Times New Roman"/>
                <w:szCs w:val="24"/>
              </w:rPr>
              <w:t xml:space="preserve"> </w:t>
            </w:r>
            <w:r w:rsidR="00352929">
              <w:rPr>
                <w:rFonts w:cs="Times New Roman"/>
              </w:rPr>
              <w:t>at onset of</w:t>
            </w:r>
            <w:r w:rsidR="00352929">
              <w:t xml:space="preserve"> </w:t>
            </w:r>
            <w:r w:rsidR="00352929" w:rsidRPr="00A5724D">
              <w:t>Parkinson’s disease (PD)</w:t>
            </w:r>
            <w:r w:rsidR="00352929">
              <w:t>,</w:t>
            </w:r>
            <w:r w:rsidR="00352929" w:rsidRPr="00A5724D">
              <w:t xml:space="preserve"> with and without motor fluctuations at </w:t>
            </w:r>
            <w:r w:rsidR="009B6F43">
              <w:t>5</w:t>
            </w:r>
            <w:r w:rsidR="00352929" w:rsidRPr="00A5724D">
              <w:t xml:space="preserve"> years </w:t>
            </w:r>
            <w:r w:rsidR="00352929">
              <w:t>after PD onset</w:t>
            </w:r>
            <w:r w:rsidR="00352929" w:rsidRPr="00A5724D" w:rsidDel="00352929">
              <w:t xml:space="preserve"> </w:t>
            </w:r>
          </w:p>
          <w:p w14:paraId="256CE3C0" w14:textId="77777777" w:rsidR="00F67367" w:rsidRPr="00A5724D" w:rsidRDefault="00F67367" w:rsidP="00210082">
            <w:pPr>
              <w:spacing w:before="240"/>
              <w:rPr>
                <w:b/>
              </w:rPr>
            </w:pPr>
          </w:p>
        </w:tc>
      </w:tr>
      <w:tr w:rsidR="00F67367" w:rsidRPr="00A5724D" w14:paraId="51C11DC8" w14:textId="77777777" w:rsidTr="00F67367">
        <w:trPr>
          <w:trHeight w:val="510"/>
        </w:trPr>
        <w:tc>
          <w:tcPr>
            <w:tcW w:w="3220" w:type="dxa"/>
            <w:tcBorders>
              <w:top w:val="double" w:sz="4" w:space="0" w:color="000000"/>
              <w:left w:val="none" w:sz="0" w:space="0" w:color="FCFCFC"/>
              <w:bottom w:val="single" w:sz="4" w:space="0" w:color="auto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528E79F" w14:textId="77777777" w:rsidR="00F67367" w:rsidRPr="00A5724D" w:rsidRDefault="00F67367" w:rsidP="00210082">
            <w:pPr>
              <w:spacing w:before="240"/>
              <w:jc w:val="center"/>
            </w:pPr>
          </w:p>
        </w:tc>
        <w:tc>
          <w:tcPr>
            <w:tcW w:w="6520" w:type="dxa"/>
            <w:gridSpan w:val="5"/>
            <w:tcBorders>
              <w:top w:val="double" w:sz="4" w:space="0" w:color="000000"/>
              <w:left w:val="none" w:sz="0" w:space="0" w:color="FCFCFC"/>
              <w:bottom w:val="single" w:sz="4" w:space="0" w:color="auto"/>
              <w:right w:val="none" w:sz="0" w:space="0" w:color="FCFCFC"/>
            </w:tcBorders>
            <w:vAlign w:val="center"/>
          </w:tcPr>
          <w:p w14:paraId="4D4A8F02" w14:textId="6E85B799" w:rsidR="00F67367" w:rsidRPr="00A5724D" w:rsidRDefault="009D792C" w:rsidP="00210082">
            <w:pPr>
              <w:spacing w:before="240"/>
              <w:jc w:val="center"/>
            </w:pPr>
            <w:r>
              <w:t>PD patient</w:t>
            </w:r>
            <w:r w:rsidR="00352929">
              <w:t>s</w:t>
            </w:r>
            <w:r>
              <w:t xml:space="preserve"> </w:t>
            </w:r>
            <w:r w:rsidR="00352929">
              <w:rPr>
                <w:rFonts w:cs="Times New Roman"/>
                <w:szCs w:val="24"/>
              </w:rPr>
              <w:t>aged</w:t>
            </w:r>
            <w:r w:rsidRPr="004B56DE">
              <w:rPr>
                <w:rFonts w:cs="Times New Roman"/>
                <w:szCs w:val="24"/>
              </w:rPr>
              <w:t xml:space="preserve"> ≥50 years</w:t>
            </w:r>
            <w:r w:rsidR="00171EEA">
              <w:rPr>
                <w:rFonts w:cs="Times New Roman"/>
                <w:szCs w:val="24"/>
              </w:rPr>
              <w:t xml:space="preserve"> </w:t>
            </w:r>
            <w:r w:rsidR="00352929">
              <w:rPr>
                <w:rFonts w:cs="Times New Roman"/>
                <w:szCs w:val="24"/>
              </w:rPr>
              <w:t>at PD onset</w:t>
            </w:r>
          </w:p>
          <w:p w14:paraId="405D2E2C" w14:textId="1E60C8FC" w:rsidR="00F67367" w:rsidRPr="00A5724D" w:rsidRDefault="00F67367" w:rsidP="00210082">
            <w:pPr>
              <w:spacing w:before="240"/>
              <w:jc w:val="center"/>
            </w:pPr>
            <w:r w:rsidRPr="00A5724D">
              <w:t>(</w:t>
            </w:r>
            <w:r w:rsidR="00DA7415">
              <w:t>n</w:t>
            </w:r>
            <w:r w:rsidRPr="00A5724D">
              <w:t xml:space="preserve"> = 578)</w:t>
            </w:r>
          </w:p>
        </w:tc>
      </w:tr>
      <w:tr w:rsidR="00F67367" w:rsidRPr="00A5724D" w14:paraId="13962BC6" w14:textId="77777777" w:rsidTr="00210082">
        <w:trPr>
          <w:gridAfter w:val="1"/>
          <w:wAfter w:w="34" w:type="dxa"/>
          <w:trHeight w:val="510"/>
        </w:trPr>
        <w:tc>
          <w:tcPr>
            <w:tcW w:w="3681" w:type="dxa"/>
            <w:gridSpan w:val="2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8A06CA7" w14:textId="77777777" w:rsidR="00F67367" w:rsidRPr="00A5724D" w:rsidRDefault="00F67367" w:rsidP="00210082">
            <w:pPr>
              <w:spacing w:before="240"/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14:paraId="3D752B32" w14:textId="77777777" w:rsidR="00F67367" w:rsidRPr="00A5724D" w:rsidRDefault="00F67367" w:rsidP="00210082">
            <w:pPr>
              <w:spacing w:before="240"/>
            </w:pPr>
            <w:r w:rsidRPr="00A5724D">
              <w:t>Motor fluctuations (+)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14:paraId="5306DFA0" w14:textId="77777777" w:rsidR="00F67367" w:rsidRPr="00A5724D" w:rsidRDefault="00F67367" w:rsidP="00210082">
            <w:pPr>
              <w:spacing w:before="240"/>
            </w:pPr>
            <w:r w:rsidRPr="00A5724D">
              <w:t>Motor fluctuations (-)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14:paraId="49BDDB62" w14:textId="7369A002" w:rsidR="00F67367" w:rsidRPr="00A5724D" w:rsidRDefault="00F67367" w:rsidP="00210082">
            <w:pPr>
              <w:spacing w:before="240"/>
            </w:pPr>
            <w:r w:rsidRPr="00A5724D">
              <w:rPr>
                <w:i/>
              </w:rPr>
              <w:t>P</w:t>
            </w:r>
            <w:r w:rsidR="00352929">
              <w:t>-</w:t>
            </w:r>
            <w:r w:rsidRPr="00A5724D">
              <w:t>value</w:t>
            </w:r>
          </w:p>
        </w:tc>
      </w:tr>
      <w:tr w:rsidR="00F67367" w:rsidRPr="00A5724D" w14:paraId="019377C8" w14:textId="77777777" w:rsidTr="00210082">
        <w:trPr>
          <w:gridAfter w:val="1"/>
          <w:wAfter w:w="34" w:type="dxa"/>
          <w:trHeight w:val="510"/>
        </w:trPr>
        <w:tc>
          <w:tcPr>
            <w:tcW w:w="3681" w:type="dxa"/>
            <w:gridSpan w:val="2"/>
            <w:tcBorders>
              <w:top w:val="single" w:sz="8" w:space="0" w:color="000000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31A175C" w14:textId="77777777" w:rsidR="00F67367" w:rsidRPr="00A5724D" w:rsidRDefault="00F67367" w:rsidP="00210082">
            <w:pPr>
              <w:spacing w:before="240"/>
            </w:pPr>
            <w:r w:rsidRPr="00A5724D">
              <w:t>Total sample, n (%)</w:t>
            </w:r>
          </w:p>
        </w:tc>
        <w:tc>
          <w:tcPr>
            <w:tcW w:w="2530" w:type="dxa"/>
            <w:tcBorders>
              <w:top w:val="single" w:sz="8" w:space="0" w:color="000000"/>
              <w:left w:val="none" w:sz="0" w:space="0" w:color="FCFCFC"/>
              <w:bottom w:val="none" w:sz="0" w:space="0" w:color="FCFCFC"/>
              <w:right w:val="none" w:sz="0" w:space="0" w:color="FCFCFC"/>
            </w:tcBorders>
            <w:vAlign w:val="center"/>
          </w:tcPr>
          <w:p w14:paraId="1AFEE264" w14:textId="77777777" w:rsidR="00F67367" w:rsidRPr="00A5724D" w:rsidRDefault="00F67367" w:rsidP="00210082">
            <w:pPr>
              <w:spacing w:before="240"/>
            </w:pPr>
            <w:r w:rsidRPr="00A5724D">
              <w:t>141 (24.4)</w:t>
            </w:r>
          </w:p>
        </w:tc>
        <w:tc>
          <w:tcPr>
            <w:tcW w:w="2530" w:type="dxa"/>
            <w:tcBorders>
              <w:top w:val="single" w:sz="8" w:space="0" w:color="000000"/>
              <w:left w:val="none" w:sz="0" w:space="0" w:color="FCFCFC"/>
              <w:bottom w:val="none" w:sz="0" w:space="0" w:color="FCFCFC"/>
              <w:right w:val="none" w:sz="0" w:space="0" w:color="FCFCFC"/>
            </w:tcBorders>
            <w:vAlign w:val="center"/>
          </w:tcPr>
          <w:p w14:paraId="3F3FD220" w14:textId="77777777" w:rsidR="00F67367" w:rsidRPr="00A5724D" w:rsidRDefault="00F67367" w:rsidP="00210082">
            <w:pPr>
              <w:spacing w:before="240"/>
            </w:pPr>
            <w:r w:rsidRPr="00A5724D">
              <w:t>437 (75.6)</w:t>
            </w:r>
          </w:p>
        </w:tc>
        <w:tc>
          <w:tcPr>
            <w:tcW w:w="965" w:type="dxa"/>
            <w:tcBorders>
              <w:top w:val="single" w:sz="8" w:space="0" w:color="000000"/>
              <w:left w:val="none" w:sz="0" w:space="0" w:color="FCFCFC"/>
              <w:bottom w:val="none" w:sz="0" w:space="0" w:color="FCFCFC"/>
              <w:right w:val="none" w:sz="0" w:space="0" w:color="FCFCFC"/>
            </w:tcBorders>
            <w:vAlign w:val="center"/>
          </w:tcPr>
          <w:p w14:paraId="0E6CDE29" w14:textId="77777777" w:rsidR="00F67367" w:rsidRPr="00A5724D" w:rsidRDefault="00F67367" w:rsidP="00210082">
            <w:pPr>
              <w:spacing w:before="240"/>
            </w:pPr>
            <w:r w:rsidRPr="00A5724D">
              <w:t>-</w:t>
            </w:r>
          </w:p>
        </w:tc>
      </w:tr>
      <w:tr w:rsidR="00F67367" w:rsidRPr="00A5724D" w14:paraId="63593567" w14:textId="77777777" w:rsidTr="00210082">
        <w:trPr>
          <w:gridAfter w:val="1"/>
          <w:wAfter w:w="34" w:type="dxa"/>
          <w:trHeight w:val="510"/>
        </w:trPr>
        <w:tc>
          <w:tcPr>
            <w:tcW w:w="3681" w:type="dxa"/>
            <w:gridSpan w:val="2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166DF91" w14:textId="77777777" w:rsidR="00F67367" w:rsidRPr="00A5724D" w:rsidRDefault="00F67367" w:rsidP="00210082">
            <w:pPr>
              <w:spacing w:before="240"/>
            </w:pPr>
            <w:r w:rsidRPr="00A5724D">
              <w:t xml:space="preserve">Men, n (%) </w:t>
            </w:r>
          </w:p>
        </w:tc>
        <w:tc>
          <w:tcPr>
            <w:tcW w:w="253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vAlign w:val="center"/>
          </w:tcPr>
          <w:p w14:paraId="329B8216" w14:textId="77777777" w:rsidR="00F67367" w:rsidRPr="00A5724D" w:rsidRDefault="00F67367" w:rsidP="00210082">
            <w:pPr>
              <w:spacing w:before="240"/>
            </w:pPr>
            <w:r w:rsidRPr="00A5724D">
              <w:t>55 (39.0)</w:t>
            </w:r>
          </w:p>
        </w:tc>
        <w:tc>
          <w:tcPr>
            <w:tcW w:w="253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vAlign w:val="center"/>
          </w:tcPr>
          <w:p w14:paraId="12DA651E" w14:textId="77777777" w:rsidR="00F67367" w:rsidRPr="00A5724D" w:rsidRDefault="00F67367" w:rsidP="00210082">
            <w:pPr>
              <w:spacing w:before="240"/>
            </w:pPr>
            <w:r w:rsidRPr="00A5724D">
              <w:t>192 (43.9)</w:t>
            </w:r>
          </w:p>
        </w:tc>
        <w:tc>
          <w:tcPr>
            <w:tcW w:w="965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vAlign w:val="center"/>
          </w:tcPr>
          <w:p w14:paraId="5F65E6EF" w14:textId="77777777" w:rsidR="00F67367" w:rsidRPr="00A5724D" w:rsidRDefault="00F67367" w:rsidP="00210082">
            <w:pPr>
              <w:spacing w:before="240"/>
            </w:pPr>
            <w:r w:rsidRPr="00A5724D">
              <w:t>0.276</w:t>
            </w:r>
          </w:p>
        </w:tc>
      </w:tr>
      <w:tr w:rsidR="00F67367" w:rsidRPr="00A5724D" w14:paraId="27B3E22A" w14:textId="77777777" w:rsidTr="00210082">
        <w:trPr>
          <w:gridAfter w:val="1"/>
          <w:wAfter w:w="34" w:type="dxa"/>
          <w:trHeight w:val="510"/>
        </w:trPr>
        <w:tc>
          <w:tcPr>
            <w:tcW w:w="3681" w:type="dxa"/>
            <w:gridSpan w:val="2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0629904" w14:textId="471A7B12" w:rsidR="00F67367" w:rsidRPr="00A5724D" w:rsidRDefault="00F67367" w:rsidP="00210082">
            <w:pPr>
              <w:spacing w:before="240"/>
            </w:pPr>
            <w:r w:rsidRPr="00A5724D">
              <w:t>Age at onset, year</w:t>
            </w:r>
            <w:r w:rsidR="00352929">
              <w:t>s</w:t>
            </w:r>
            <w:r w:rsidRPr="00A5724D">
              <w:t>, mean ± SD (range)</w:t>
            </w:r>
          </w:p>
        </w:tc>
        <w:tc>
          <w:tcPr>
            <w:tcW w:w="253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vAlign w:val="center"/>
          </w:tcPr>
          <w:p w14:paraId="11951E2D" w14:textId="77777777" w:rsidR="00F67367" w:rsidRPr="00A5724D" w:rsidRDefault="00F67367" w:rsidP="00210082">
            <w:pPr>
              <w:spacing w:before="240"/>
            </w:pPr>
            <w:r w:rsidRPr="00A5724D">
              <w:t>60.0 ± 7.0 (50–82)</w:t>
            </w:r>
          </w:p>
        </w:tc>
        <w:tc>
          <w:tcPr>
            <w:tcW w:w="253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vAlign w:val="center"/>
          </w:tcPr>
          <w:p w14:paraId="20B3513B" w14:textId="77777777" w:rsidR="00F67367" w:rsidRPr="00A5724D" w:rsidRDefault="00F67367" w:rsidP="00210082">
            <w:pPr>
              <w:spacing w:before="240"/>
            </w:pPr>
            <w:r w:rsidRPr="00A5724D">
              <w:t>61.5 ± 7.1 (50–87)</w:t>
            </w:r>
          </w:p>
        </w:tc>
        <w:tc>
          <w:tcPr>
            <w:tcW w:w="965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vAlign w:val="center"/>
          </w:tcPr>
          <w:p w14:paraId="1A4016B5" w14:textId="77777777" w:rsidR="00F67367" w:rsidRPr="00A5724D" w:rsidRDefault="00F67367" w:rsidP="00210082">
            <w:pPr>
              <w:spacing w:before="240"/>
            </w:pPr>
            <w:r w:rsidRPr="00A5724D">
              <w:t>0.024</w:t>
            </w:r>
          </w:p>
        </w:tc>
      </w:tr>
      <w:tr w:rsidR="00F67367" w:rsidRPr="00A5724D" w14:paraId="47DD0D7B" w14:textId="77777777" w:rsidTr="00210082">
        <w:trPr>
          <w:gridAfter w:val="1"/>
          <w:wAfter w:w="34" w:type="dxa"/>
          <w:trHeight w:val="510"/>
        </w:trPr>
        <w:tc>
          <w:tcPr>
            <w:tcW w:w="3681" w:type="dxa"/>
            <w:gridSpan w:val="2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AF838E1" w14:textId="4157D922" w:rsidR="00F67367" w:rsidRPr="00A5724D" w:rsidRDefault="00F67367" w:rsidP="00705AAE">
            <w:pPr>
              <w:spacing w:before="240"/>
            </w:pPr>
            <w:r w:rsidRPr="00A5724D">
              <w:t>D</w:t>
            </w:r>
            <w:r w:rsidR="00705AAE">
              <w:t>isease d</w:t>
            </w:r>
            <w:r w:rsidRPr="00A5724D">
              <w:t>uration, year</w:t>
            </w:r>
            <w:r w:rsidR="00352929">
              <w:t>s</w:t>
            </w:r>
            <w:r w:rsidRPr="00A5724D">
              <w:t>, mean ± SD (range)</w:t>
            </w:r>
          </w:p>
        </w:tc>
        <w:tc>
          <w:tcPr>
            <w:tcW w:w="253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vAlign w:val="center"/>
          </w:tcPr>
          <w:p w14:paraId="5FAADE7C" w14:textId="77777777" w:rsidR="00F67367" w:rsidRPr="00A5724D" w:rsidRDefault="00F67367" w:rsidP="00210082">
            <w:pPr>
              <w:spacing w:before="240"/>
            </w:pPr>
            <w:r w:rsidRPr="00A5724D">
              <w:t>9.1 ± 3.5 (5–21)</w:t>
            </w:r>
          </w:p>
        </w:tc>
        <w:tc>
          <w:tcPr>
            <w:tcW w:w="253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vAlign w:val="center"/>
          </w:tcPr>
          <w:p w14:paraId="39263794" w14:textId="77777777" w:rsidR="00F67367" w:rsidRPr="00A5724D" w:rsidRDefault="00F67367" w:rsidP="00210082">
            <w:pPr>
              <w:spacing w:before="240"/>
            </w:pPr>
            <w:r w:rsidRPr="00A5724D">
              <w:t>10.7 ± 3.9 (5–27)</w:t>
            </w:r>
          </w:p>
        </w:tc>
        <w:tc>
          <w:tcPr>
            <w:tcW w:w="965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vAlign w:val="center"/>
          </w:tcPr>
          <w:p w14:paraId="0A2EFE43" w14:textId="15CF496F" w:rsidR="00F67367" w:rsidRPr="00A5724D" w:rsidRDefault="00F67367" w:rsidP="00210082">
            <w:pPr>
              <w:spacing w:before="240"/>
            </w:pPr>
            <w:r w:rsidRPr="00A5724D">
              <w:t>&lt;0.001</w:t>
            </w:r>
          </w:p>
        </w:tc>
      </w:tr>
      <w:tr w:rsidR="00F67367" w:rsidRPr="00A5724D" w14:paraId="585E904C" w14:textId="77777777" w:rsidTr="00210082">
        <w:trPr>
          <w:gridAfter w:val="1"/>
          <w:wAfter w:w="34" w:type="dxa"/>
          <w:trHeight w:val="510"/>
        </w:trPr>
        <w:tc>
          <w:tcPr>
            <w:tcW w:w="3681" w:type="dxa"/>
            <w:gridSpan w:val="2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65B09EB" w14:textId="66E74CEF" w:rsidR="00F67367" w:rsidRPr="00A5724D" w:rsidRDefault="00F67367" w:rsidP="00210082">
            <w:pPr>
              <w:spacing w:before="240"/>
            </w:pPr>
            <w:r w:rsidRPr="00A5724D">
              <w:t>MMSE</w:t>
            </w:r>
            <w:r w:rsidR="00352929">
              <w:t xml:space="preserve"> score</w:t>
            </w:r>
            <w:r w:rsidRPr="00A5724D">
              <w:t>, mean ± SD (range)</w:t>
            </w:r>
          </w:p>
        </w:tc>
        <w:tc>
          <w:tcPr>
            <w:tcW w:w="253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vAlign w:val="center"/>
          </w:tcPr>
          <w:p w14:paraId="6D9834DD" w14:textId="77777777" w:rsidR="00F67367" w:rsidRPr="00A5724D" w:rsidRDefault="00F67367" w:rsidP="00210082">
            <w:pPr>
              <w:spacing w:before="240"/>
            </w:pPr>
            <w:r w:rsidRPr="00A5724D">
              <w:t>28.8 ± 3.7 (12–30)</w:t>
            </w:r>
          </w:p>
        </w:tc>
        <w:tc>
          <w:tcPr>
            <w:tcW w:w="2530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vAlign w:val="center"/>
          </w:tcPr>
          <w:p w14:paraId="033100D8" w14:textId="77777777" w:rsidR="00F67367" w:rsidRPr="00A5724D" w:rsidRDefault="00F67367" w:rsidP="00210082">
            <w:pPr>
              <w:spacing w:before="240"/>
            </w:pPr>
            <w:r w:rsidRPr="00A5724D">
              <w:t>25.8 ± 3.1 (10–30)</w:t>
            </w:r>
          </w:p>
        </w:tc>
        <w:tc>
          <w:tcPr>
            <w:tcW w:w="965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vAlign w:val="center"/>
          </w:tcPr>
          <w:p w14:paraId="09FA0A01" w14:textId="77777777" w:rsidR="00F67367" w:rsidRPr="00A5724D" w:rsidRDefault="00F67367" w:rsidP="00210082">
            <w:pPr>
              <w:spacing w:before="240"/>
            </w:pPr>
            <w:r w:rsidRPr="00A5724D">
              <w:t>0.343</w:t>
            </w:r>
          </w:p>
        </w:tc>
      </w:tr>
      <w:tr w:rsidR="00F67367" w:rsidRPr="00A5724D" w14:paraId="28C765CB" w14:textId="77777777" w:rsidTr="00210082">
        <w:trPr>
          <w:gridAfter w:val="1"/>
          <w:wAfter w:w="34" w:type="dxa"/>
          <w:trHeight w:val="510"/>
        </w:trPr>
        <w:tc>
          <w:tcPr>
            <w:tcW w:w="3681" w:type="dxa"/>
            <w:gridSpan w:val="2"/>
            <w:tcBorders>
              <w:top w:val="none" w:sz="0" w:space="0" w:color="FCFCFC"/>
              <w:left w:val="none" w:sz="0" w:space="0" w:color="FCFCFC"/>
              <w:bottom w:val="single" w:sz="8" w:space="0" w:color="000000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ED28C77" w14:textId="527F6AED" w:rsidR="00F67367" w:rsidRPr="00A5724D" w:rsidRDefault="00F67367" w:rsidP="00210082">
            <w:pPr>
              <w:spacing w:before="240"/>
            </w:pPr>
            <w:r w:rsidRPr="00A5724D">
              <w:t>MoCA</w:t>
            </w:r>
            <w:r w:rsidR="00352929">
              <w:t xml:space="preserve"> score</w:t>
            </w:r>
            <w:r w:rsidRPr="00A5724D">
              <w:t>, mean ± SD (range)</w:t>
            </w:r>
          </w:p>
        </w:tc>
        <w:tc>
          <w:tcPr>
            <w:tcW w:w="2530" w:type="dxa"/>
            <w:tcBorders>
              <w:top w:val="none" w:sz="0" w:space="0" w:color="FCFCFC"/>
              <w:left w:val="none" w:sz="0" w:space="0" w:color="FCFCFC"/>
              <w:bottom w:val="single" w:sz="8" w:space="0" w:color="000000"/>
              <w:right w:val="none" w:sz="0" w:space="0" w:color="FCFCFC"/>
            </w:tcBorders>
            <w:vAlign w:val="center"/>
          </w:tcPr>
          <w:p w14:paraId="2E638C1F" w14:textId="77777777" w:rsidR="00F67367" w:rsidRPr="00A5724D" w:rsidRDefault="00F67367" w:rsidP="00210082">
            <w:pPr>
              <w:spacing w:before="240"/>
            </w:pPr>
            <w:r w:rsidRPr="00A5724D">
              <w:t>21.6 ± 6.7 (3–30)</w:t>
            </w:r>
          </w:p>
        </w:tc>
        <w:tc>
          <w:tcPr>
            <w:tcW w:w="2530" w:type="dxa"/>
            <w:tcBorders>
              <w:top w:val="none" w:sz="0" w:space="0" w:color="FCFCFC"/>
              <w:left w:val="none" w:sz="0" w:space="0" w:color="FCFCFC"/>
              <w:bottom w:val="single" w:sz="8" w:space="0" w:color="000000"/>
              <w:right w:val="none" w:sz="0" w:space="0" w:color="FCFCFC"/>
            </w:tcBorders>
            <w:vAlign w:val="center"/>
          </w:tcPr>
          <w:p w14:paraId="3C034167" w14:textId="77777777" w:rsidR="00F67367" w:rsidRPr="00A5724D" w:rsidRDefault="00F67367" w:rsidP="00210082">
            <w:pPr>
              <w:spacing w:before="240"/>
            </w:pPr>
            <w:r w:rsidRPr="00A5724D">
              <w:t>21.9 ± 5.4 (3–30)</w:t>
            </w:r>
          </w:p>
        </w:tc>
        <w:tc>
          <w:tcPr>
            <w:tcW w:w="965" w:type="dxa"/>
            <w:tcBorders>
              <w:top w:val="none" w:sz="0" w:space="0" w:color="FCFCFC"/>
              <w:left w:val="none" w:sz="0" w:space="0" w:color="FCFCFC"/>
              <w:bottom w:val="single" w:sz="8" w:space="0" w:color="000000"/>
              <w:right w:val="none" w:sz="0" w:space="0" w:color="FCFCFC"/>
            </w:tcBorders>
            <w:vAlign w:val="center"/>
          </w:tcPr>
          <w:p w14:paraId="63F0D279" w14:textId="77777777" w:rsidR="00F67367" w:rsidRPr="00A5724D" w:rsidRDefault="00F67367" w:rsidP="00210082">
            <w:pPr>
              <w:spacing w:before="240"/>
            </w:pPr>
            <w:r w:rsidRPr="00A5724D">
              <w:t>0.752</w:t>
            </w:r>
          </w:p>
        </w:tc>
      </w:tr>
    </w:tbl>
    <w:p w14:paraId="0498DD90" w14:textId="5B269680" w:rsidR="00F67367" w:rsidRDefault="00F67367" w:rsidP="00F67367">
      <w:pPr>
        <w:spacing w:before="240"/>
      </w:pPr>
      <w:r w:rsidRPr="00A5724D">
        <w:t xml:space="preserve">PD, Parkinson’s disease; SD, </w:t>
      </w:r>
      <w:r w:rsidR="00352929">
        <w:t>s</w:t>
      </w:r>
      <w:r w:rsidR="00352929" w:rsidRPr="00A5724D">
        <w:t xml:space="preserve">tandard </w:t>
      </w:r>
      <w:r w:rsidRPr="00A5724D">
        <w:t>deviation; MMSE, Mini–Mental State Examination; MoCA, Montreal Cognitive Assessment.</w:t>
      </w:r>
      <w:r>
        <w:br w:type="page"/>
      </w:r>
    </w:p>
    <w:tbl>
      <w:tblPr>
        <w:tblW w:w="97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5"/>
        <w:gridCol w:w="2672"/>
        <w:gridCol w:w="2672"/>
        <w:gridCol w:w="764"/>
        <w:gridCol w:w="6"/>
      </w:tblGrid>
      <w:tr w:rsidR="00F67367" w:rsidRPr="00A5724D" w14:paraId="65E098E1" w14:textId="77777777" w:rsidTr="00210082">
        <w:trPr>
          <w:gridAfter w:val="1"/>
          <w:wAfter w:w="6" w:type="dxa"/>
          <w:trHeight w:val="107"/>
        </w:trPr>
        <w:tc>
          <w:tcPr>
            <w:tcW w:w="9773" w:type="dxa"/>
            <w:gridSpan w:val="4"/>
            <w:tcBorders>
              <w:top w:val="none" w:sz="0" w:space="0" w:color="FCFCFC"/>
              <w:left w:val="none" w:sz="0" w:space="0" w:color="FCFCFC"/>
              <w:bottom w:val="double" w:sz="4" w:space="0" w:color="000000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778955B" w14:textId="25A6EF02" w:rsidR="00F67367" w:rsidRPr="00A5724D" w:rsidRDefault="00F67367" w:rsidP="00210082">
            <w:pPr>
              <w:spacing w:before="240"/>
            </w:pPr>
            <w:r>
              <w:rPr>
                <w:b/>
              </w:rPr>
              <w:lastRenderedPageBreak/>
              <w:t>Supplementary Table 4</w:t>
            </w:r>
            <w:r w:rsidRPr="00A5724D">
              <w:rPr>
                <w:b/>
              </w:rPr>
              <w:t xml:space="preserve">. </w:t>
            </w:r>
            <w:r w:rsidRPr="00A5724D">
              <w:t xml:space="preserve">Comparison of </w:t>
            </w:r>
            <w:r w:rsidR="009B41B1">
              <w:t xml:space="preserve">patients aged </w:t>
            </w:r>
            <w:r w:rsidR="009B41B1" w:rsidRPr="004B56DE">
              <w:rPr>
                <w:rFonts w:cs="Times New Roman"/>
                <w:szCs w:val="24"/>
              </w:rPr>
              <w:t>≥50 years</w:t>
            </w:r>
            <w:r w:rsidR="009B41B1">
              <w:t xml:space="preserve"> at onset of </w:t>
            </w:r>
            <w:r w:rsidRPr="00A5724D">
              <w:t>Parkinson’s disease (PD)</w:t>
            </w:r>
            <w:r w:rsidR="009B41B1">
              <w:t>,</w:t>
            </w:r>
            <w:r w:rsidRPr="00A5724D">
              <w:t xml:space="preserve"> with and without levodopa-induced dyskinesia </w:t>
            </w:r>
            <w:r w:rsidR="00DA7415" w:rsidRPr="00A5724D">
              <w:t xml:space="preserve">at </w:t>
            </w:r>
            <w:r w:rsidR="009B6F43">
              <w:t>5</w:t>
            </w:r>
            <w:r w:rsidR="009B41B1" w:rsidRPr="00A5724D">
              <w:t xml:space="preserve"> </w:t>
            </w:r>
            <w:r w:rsidR="00DA7415" w:rsidRPr="00A5724D">
              <w:t xml:space="preserve">years </w:t>
            </w:r>
            <w:r w:rsidR="00DA7415">
              <w:t xml:space="preserve">after </w:t>
            </w:r>
            <w:r w:rsidR="009B41B1">
              <w:t xml:space="preserve">PD </w:t>
            </w:r>
            <w:r w:rsidR="00DA7415">
              <w:t xml:space="preserve">onset </w:t>
            </w:r>
          </w:p>
          <w:p w14:paraId="6806BF2A" w14:textId="77777777" w:rsidR="00F67367" w:rsidRPr="00A5724D" w:rsidRDefault="00F67367" w:rsidP="00210082">
            <w:pPr>
              <w:spacing w:before="240"/>
              <w:rPr>
                <w:b/>
              </w:rPr>
            </w:pPr>
          </w:p>
        </w:tc>
      </w:tr>
      <w:tr w:rsidR="00F67367" w:rsidRPr="00A5724D" w14:paraId="57C4CCA2" w14:textId="77777777" w:rsidTr="00210082">
        <w:trPr>
          <w:trHeight w:val="509"/>
        </w:trPr>
        <w:tc>
          <w:tcPr>
            <w:tcW w:w="3665" w:type="dxa"/>
            <w:tcBorders>
              <w:top w:val="double" w:sz="4" w:space="0" w:color="000000"/>
              <w:left w:val="none" w:sz="0" w:space="0" w:color="FCFCFC"/>
              <w:bottom w:val="single" w:sz="4" w:space="0" w:color="auto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455DBC8" w14:textId="77777777" w:rsidR="00F67367" w:rsidRPr="00A5724D" w:rsidRDefault="00F67367" w:rsidP="00210082">
            <w:pPr>
              <w:spacing w:before="240"/>
              <w:jc w:val="center"/>
            </w:pPr>
          </w:p>
        </w:tc>
        <w:tc>
          <w:tcPr>
            <w:tcW w:w="6114" w:type="dxa"/>
            <w:gridSpan w:val="4"/>
            <w:tcBorders>
              <w:top w:val="double" w:sz="4" w:space="0" w:color="000000"/>
              <w:left w:val="none" w:sz="0" w:space="0" w:color="FCFCFC"/>
              <w:bottom w:val="single" w:sz="4" w:space="0" w:color="auto"/>
              <w:right w:val="none" w:sz="0" w:space="0" w:color="FCFCFC"/>
            </w:tcBorders>
            <w:vAlign w:val="center"/>
          </w:tcPr>
          <w:p w14:paraId="1CDD8504" w14:textId="07378397" w:rsidR="00F67367" w:rsidRPr="00A5724D" w:rsidRDefault="009D792C" w:rsidP="00210082">
            <w:pPr>
              <w:spacing w:before="240"/>
              <w:jc w:val="center"/>
            </w:pPr>
            <w:r>
              <w:t>PD patient</w:t>
            </w:r>
            <w:r w:rsidR="009B41B1">
              <w:t>s</w:t>
            </w:r>
            <w:r>
              <w:t xml:space="preserve"> </w:t>
            </w:r>
            <w:r w:rsidR="009B41B1">
              <w:rPr>
                <w:rFonts w:cs="Times New Roman"/>
                <w:szCs w:val="24"/>
              </w:rPr>
              <w:t>aged</w:t>
            </w:r>
            <w:r w:rsidRPr="004B56DE">
              <w:rPr>
                <w:rFonts w:cs="Times New Roman"/>
                <w:szCs w:val="24"/>
              </w:rPr>
              <w:t xml:space="preserve"> ≥50 years</w:t>
            </w:r>
            <w:r w:rsidR="00171EEA">
              <w:rPr>
                <w:rFonts w:cs="Times New Roman"/>
                <w:szCs w:val="24"/>
              </w:rPr>
              <w:t xml:space="preserve"> </w:t>
            </w:r>
            <w:r w:rsidR="009B41B1">
              <w:rPr>
                <w:rFonts w:cs="Times New Roman"/>
                <w:szCs w:val="24"/>
              </w:rPr>
              <w:t>at PD onset</w:t>
            </w:r>
          </w:p>
          <w:p w14:paraId="79449994" w14:textId="7F9AFBE2" w:rsidR="00F67367" w:rsidRPr="00A5724D" w:rsidRDefault="00F67367" w:rsidP="00210082">
            <w:pPr>
              <w:spacing w:before="240"/>
              <w:jc w:val="center"/>
            </w:pPr>
            <w:r w:rsidRPr="00A5724D">
              <w:t>(</w:t>
            </w:r>
            <w:r w:rsidR="00DA7415">
              <w:t>n</w:t>
            </w:r>
            <w:r w:rsidRPr="00A5724D">
              <w:t xml:space="preserve"> = 578)</w:t>
            </w:r>
          </w:p>
        </w:tc>
      </w:tr>
      <w:tr w:rsidR="00F67367" w:rsidRPr="00A5724D" w14:paraId="15CA4B88" w14:textId="77777777" w:rsidTr="00210082">
        <w:trPr>
          <w:trHeight w:val="509"/>
        </w:trPr>
        <w:tc>
          <w:tcPr>
            <w:tcW w:w="3665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3EB4515" w14:textId="77777777" w:rsidR="00F67367" w:rsidRPr="00A5724D" w:rsidRDefault="00F67367" w:rsidP="00210082">
            <w:pPr>
              <w:spacing w:before="240"/>
            </w:pPr>
          </w:p>
        </w:tc>
        <w:tc>
          <w:tcPr>
            <w:tcW w:w="2672" w:type="dxa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14:paraId="63C6157C" w14:textId="77777777" w:rsidR="00F67367" w:rsidRPr="00A5724D" w:rsidRDefault="00F67367" w:rsidP="00210082">
            <w:pPr>
              <w:spacing w:before="240"/>
            </w:pPr>
            <w:r w:rsidRPr="00A5724D">
              <w:t>LID (+)</w:t>
            </w:r>
          </w:p>
        </w:tc>
        <w:tc>
          <w:tcPr>
            <w:tcW w:w="2672" w:type="dxa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14:paraId="4133349A" w14:textId="77777777" w:rsidR="00F67367" w:rsidRPr="00A5724D" w:rsidRDefault="00F67367" w:rsidP="00210082">
            <w:pPr>
              <w:spacing w:before="240"/>
            </w:pPr>
            <w:r w:rsidRPr="00A5724D">
              <w:t>LID (-)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14:paraId="6475C9C4" w14:textId="75234459" w:rsidR="00F67367" w:rsidRPr="00A5724D" w:rsidRDefault="00F67367" w:rsidP="00210082">
            <w:pPr>
              <w:spacing w:before="240"/>
            </w:pPr>
            <w:r w:rsidRPr="00A5724D">
              <w:rPr>
                <w:i/>
              </w:rPr>
              <w:t>P</w:t>
            </w:r>
            <w:r w:rsidR="009B41B1">
              <w:t>-</w:t>
            </w:r>
            <w:r w:rsidRPr="00A5724D">
              <w:t>value</w:t>
            </w:r>
          </w:p>
        </w:tc>
      </w:tr>
      <w:tr w:rsidR="00F67367" w:rsidRPr="00A5724D" w14:paraId="6D888458" w14:textId="77777777" w:rsidTr="00210082">
        <w:trPr>
          <w:trHeight w:val="509"/>
        </w:trPr>
        <w:tc>
          <w:tcPr>
            <w:tcW w:w="3665" w:type="dxa"/>
            <w:tcBorders>
              <w:top w:val="single" w:sz="8" w:space="0" w:color="000000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CC06665" w14:textId="77777777" w:rsidR="00F67367" w:rsidRPr="00A5724D" w:rsidRDefault="00F67367" w:rsidP="00210082">
            <w:pPr>
              <w:spacing w:before="240"/>
            </w:pPr>
            <w:r w:rsidRPr="00A5724D">
              <w:t>Total sample, n (%)</w:t>
            </w:r>
          </w:p>
        </w:tc>
        <w:tc>
          <w:tcPr>
            <w:tcW w:w="2672" w:type="dxa"/>
            <w:tcBorders>
              <w:top w:val="single" w:sz="8" w:space="0" w:color="000000"/>
              <w:left w:val="none" w:sz="0" w:space="0" w:color="FCFCFC"/>
              <w:bottom w:val="none" w:sz="0" w:space="0" w:color="FCFCFC"/>
              <w:right w:val="none" w:sz="0" w:space="0" w:color="FCFCFC"/>
            </w:tcBorders>
            <w:vAlign w:val="center"/>
          </w:tcPr>
          <w:p w14:paraId="4C24D6D4" w14:textId="77777777" w:rsidR="00F67367" w:rsidRPr="00A5724D" w:rsidRDefault="00F67367" w:rsidP="00210082">
            <w:pPr>
              <w:spacing w:before="240"/>
            </w:pPr>
            <w:r w:rsidRPr="00A5724D">
              <w:t>115 (19.9)</w:t>
            </w:r>
          </w:p>
        </w:tc>
        <w:tc>
          <w:tcPr>
            <w:tcW w:w="2672" w:type="dxa"/>
            <w:tcBorders>
              <w:top w:val="single" w:sz="8" w:space="0" w:color="000000"/>
              <w:left w:val="none" w:sz="0" w:space="0" w:color="FCFCFC"/>
              <w:bottom w:val="none" w:sz="0" w:space="0" w:color="FCFCFC"/>
              <w:right w:val="none" w:sz="0" w:space="0" w:color="FCFCFC"/>
            </w:tcBorders>
            <w:vAlign w:val="center"/>
          </w:tcPr>
          <w:p w14:paraId="3C526E50" w14:textId="77777777" w:rsidR="00F67367" w:rsidRPr="00A5724D" w:rsidRDefault="00F67367" w:rsidP="00210082">
            <w:pPr>
              <w:spacing w:before="240"/>
            </w:pPr>
            <w:r w:rsidRPr="00A5724D">
              <w:t>463 (80.1)</w:t>
            </w:r>
          </w:p>
        </w:tc>
        <w:tc>
          <w:tcPr>
            <w:tcW w:w="769" w:type="dxa"/>
            <w:gridSpan w:val="2"/>
            <w:tcBorders>
              <w:top w:val="single" w:sz="8" w:space="0" w:color="000000"/>
              <w:left w:val="none" w:sz="0" w:space="0" w:color="FCFCFC"/>
              <w:bottom w:val="none" w:sz="0" w:space="0" w:color="FCFCFC"/>
              <w:right w:val="none" w:sz="0" w:space="0" w:color="FCFCFC"/>
            </w:tcBorders>
            <w:vAlign w:val="center"/>
          </w:tcPr>
          <w:p w14:paraId="415ED119" w14:textId="77777777" w:rsidR="00F67367" w:rsidRPr="00A5724D" w:rsidRDefault="00F67367" w:rsidP="00210082">
            <w:pPr>
              <w:spacing w:before="240"/>
            </w:pPr>
            <w:r w:rsidRPr="00A5724D">
              <w:t>-</w:t>
            </w:r>
          </w:p>
        </w:tc>
      </w:tr>
      <w:tr w:rsidR="00F67367" w:rsidRPr="00A5724D" w14:paraId="0C6A13A9" w14:textId="77777777" w:rsidTr="00210082">
        <w:trPr>
          <w:trHeight w:val="509"/>
        </w:trPr>
        <w:tc>
          <w:tcPr>
            <w:tcW w:w="3665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94A2320" w14:textId="77777777" w:rsidR="00F67367" w:rsidRPr="00A5724D" w:rsidRDefault="00F67367" w:rsidP="00210082">
            <w:pPr>
              <w:spacing w:before="240"/>
            </w:pPr>
            <w:r w:rsidRPr="00A5724D">
              <w:t xml:space="preserve">Men, n (%) </w:t>
            </w:r>
          </w:p>
        </w:tc>
        <w:tc>
          <w:tcPr>
            <w:tcW w:w="2672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vAlign w:val="center"/>
          </w:tcPr>
          <w:p w14:paraId="1C323F8B" w14:textId="77777777" w:rsidR="00F67367" w:rsidRPr="00A5724D" w:rsidRDefault="00F67367" w:rsidP="00210082">
            <w:pPr>
              <w:spacing w:before="240"/>
            </w:pPr>
            <w:r w:rsidRPr="00A5724D">
              <w:t>51 (44.3)</w:t>
            </w:r>
          </w:p>
        </w:tc>
        <w:tc>
          <w:tcPr>
            <w:tcW w:w="2672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vAlign w:val="center"/>
          </w:tcPr>
          <w:p w14:paraId="4EBC84D2" w14:textId="77777777" w:rsidR="00F67367" w:rsidRPr="00A5724D" w:rsidRDefault="00F67367" w:rsidP="00210082">
            <w:pPr>
              <w:spacing w:before="240"/>
            </w:pPr>
            <w:r w:rsidRPr="00A5724D">
              <w:t>196 (42.3)</w:t>
            </w:r>
          </w:p>
        </w:tc>
        <w:tc>
          <w:tcPr>
            <w:tcW w:w="769" w:type="dxa"/>
            <w:gridSpan w:val="2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vAlign w:val="center"/>
          </w:tcPr>
          <w:p w14:paraId="31405783" w14:textId="77777777" w:rsidR="00F67367" w:rsidRPr="00A5724D" w:rsidRDefault="00F67367" w:rsidP="00210082">
            <w:pPr>
              <w:spacing w:before="240"/>
            </w:pPr>
            <w:r w:rsidRPr="00A5724D">
              <w:t>0.750</w:t>
            </w:r>
          </w:p>
        </w:tc>
      </w:tr>
      <w:tr w:rsidR="00F67367" w:rsidRPr="00A5724D" w14:paraId="7A07D54D" w14:textId="77777777" w:rsidTr="00210082">
        <w:trPr>
          <w:trHeight w:val="509"/>
        </w:trPr>
        <w:tc>
          <w:tcPr>
            <w:tcW w:w="3665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C80F06B" w14:textId="72F298BC" w:rsidR="00F67367" w:rsidRPr="00A5724D" w:rsidRDefault="00F67367" w:rsidP="00210082">
            <w:pPr>
              <w:spacing w:before="240"/>
            </w:pPr>
            <w:r w:rsidRPr="00A5724D">
              <w:t>Age at onset, year</w:t>
            </w:r>
            <w:r w:rsidR="009B41B1">
              <w:t>s</w:t>
            </w:r>
            <w:r w:rsidRPr="00A5724D">
              <w:t>, mean ± SD (range)</w:t>
            </w:r>
          </w:p>
        </w:tc>
        <w:tc>
          <w:tcPr>
            <w:tcW w:w="2672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vAlign w:val="center"/>
          </w:tcPr>
          <w:p w14:paraId="59941149" w14:textId="77777777" w:rsidR="00F67367" w:rsidRPr="00A5724D" w:rsidRDefault="00F67367" w:rsidP="00210082">
            <w:pPr>
              <w:spacing w:before="240"/>
            </w:pPr>
            <w:r w:rsidRPr="00A5724D">
              <w:t>61.1 ± 7.2 (50–79)</w:t>
            </w:r>
          </w:p>
        </w:tc>
        <w:tc>
          <w:tcPr>
            <w:tcW w:w="2672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vAlign w:val="center"/>
          </w:tcPr>
          <w:p w14:paraId="20680440" w14:textId="77777777" w:rsidR="00F67367" w:rsidRPr="00A5724D" w:rsidRDefault="00F67367" w:rsidP="00210082">
            <w:pPr>
              <w:spacing w:before="240"/>
            </w:pPr>
            <w:r w:rsidRPr="00A5724D">
              <w:t>61.2 ± 7.0 (50–87)</w:t>
            </w:r>
          </w:p>
        </w:tc>
        <w:tc>
          <w:tcPr>
            <w:tcW w:w="769" w:type="dxa"/>
            <w:gridSpan w:val="2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vAlign w:val="center"/>
          </w:tcPr>
          <w:p w14:paraId="5177BFD9" w14:textId="77777777" w:rsidR="00F67367" w:rsidRPr="00A5724D" w:rsidRDefault="00F67367" w:rsidP="00210082">
            <w:pPr>
              <w:spacing w:before="240"/>
            </w:pPr>
            <w:r w:rsidRPr="00A5724D">
              <w:t>0.967</w:t>
            </w:r>
          </w:p>
        </w:tc>
      </w:tr>
      <w:tr w:rsidR="00F67367" w:rsidRPr="00A5724D" w14:paraId="70550AB9" w14:textId="77777777" w:rsidTr="00210082">
        <w:trPr>
          <w:trHeight w:val="509"/>
        </w:trPr>
        <w:tc>
          <w:tcPr>
            <w:tcW w:w="3665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98ED347" w14:textId="2446F03B" w:rsidR="00F67367" w:rsidRPr="00A5724D" w:rsidRDefault="00F67367" w:rsidP="00705AAE">
            <w:pPr>
              <w:spacing w:before="240"/>
            </w:pPr>
            <w:r w:rsidRPr="00A5724D">
              <w:t>D</w:t>
            </w:r>
            <w:r w:rsidR="00705AAE">
              <w:t>isease d</w:t>
            </w:r>
            <w:r w:rsidRPr="00A5724D">
              <w:t>uration, year</w:t>
            </w:r>
            <w:r w:rsidR="009B41B1">
              <w:t>s</w:t>
            </w:r>
            <w:r w:rsidRPr="00A5724D">
              <w:t>, mean ± SD (range)</w:t>
            </w:r>
          </w:p>
        </w:tc>
        <w:tc>
          <w:tcPr>
            <w:tcW w:w="2672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vAlign w:val="center"/>
          </w:tcPr>
          <w:p w14:paraId="174BF847" w14:textId="77777777" w:rsidR="00F67367" w:rsidRPr="00A5724D" w:rsidRDefault="00F67367" w:rsidP="00210082">
            <w:pPr>
              <w:spacing w:before="240"/>
            </w:pPr>
            <w:r w:rsidRPr="00A5724D">
              <w:t>8.9 ± 3.2 (5–20)</w:t>
            </w:r>
          </w:p>
        </w:tc>
        <w:tc>
          <w:tcPr>
            <w:tcW w:w="2672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vAlign w:val="center"/>
          </w:tcPr>
          <w:p w14:paraId="58807915" w14:textId="77777777" w:rsidR="00F67367" w:rsidRPr="00A5724D" w:rsidRDefault="00F67367" w:rsidP="00210082">
            <w:pPr>
              <w:spacing w:before="240"/>
            </w:pPr>
            <w:r w:rsidRPr="00A5724D">
              <w:t>10.7 ± 3.9 (5–27)</w:t>
            </w:r>
          </w:p>
        </w:tc>
        <w:tc>
          <w:tcPr>
            <w:tcW w:w="769" w:type="dxa"/>
            <w:gridSpan w:val="2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vAlign w:val="center"/>
          </w:tcPr>
          <w:p w14:paraId="53B20ACC" w14:textId="3C326134" w:rsidR="00F67367" w:rsidRPr="00A5724D" w:rsidRDefault="00F67367" w:rsidP="00210082">
            <w:pPr>
              <w:spacing w:before="240"/>
            </w:pPr>
            <w:r w:rsidRPr="00A5724D">
              <w:t>&lt;0.001</w:t>
            </w:r>
          </w:p>
        </w:tc>
      </w:tr>
      <w:tr w:rsidR="00F67367" w:rsidRPr="00A5724D" w14:paraId="5AA725EF" w14:textId="77777777" w:rsidTr="00210082">
        <w:trPr>
          <w:trHeight w:val="509"/>
        </w:trPr>
        <w:tc>
          <w:tcPr>
            <w:tcW w:w="3665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9895A84" w14:textId="7BE9072A" w:rsidR="00F67367" w:rsidRPr="00A5724D" w:rsidRDefault="00F67367" w:rsidP="00210082">
            <w:pPr>
              <w:spacing w:before="240"/>
            </w:pPr>
            <w:r w:rsidRPr="00A5724D">
              <w:t>MMSE</w:t>
            </w:r>
            <w:r w:rsidR="009B41B1">
              <w:t xml:space="preserve"> score</w:t>
            </w:r>
            <w:r w:rsidRPr="00A5724D">
              <w:t>, mean ± SD (range)</w:t>
            </w:r>
          </w:p>
        </w:tc>
        <w:tc>
          <w:tcPr>
            <w:tcW w:w="2672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vAlign w:val="center"/>
          </w:tcPr>
          <w:p w14:paraId="75621E71" w14:textId="77777777" w:rsidR="00F67367" w:rsidRPr="00A5724D" w:rsidRDefault="00F67367" w:rsidP="00210082">
            <w:pPr>
              <w:spacing w:before="240"/>
            </w:pPr>
            <w:r w:rsidRPr="00A5724D">
              <w:t>26.2 ± 3.1 (12–30)</w:t>
            </w:r>
          </w:p>
        </w:tc>
        <w:tc>
          <w:tcPr>
            <w:tcW w:w="2672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vAlign w:val="center"/>
          </w:tcPr>
          <w:p w14:paraId="5036C07F" w14:textId="77777777" w:rsidR="00F67367" w:rsidRPr="00A5724D" w:rsidRDefault="00F67367" w:rsidP="00210082">
            <w:pPr>
              <w:spacing w:before="240"/>
            </w:pPr>
            <w:r w:rsidRPr="00A5724D">
              <w:t>25.7 ± 3.3 (10–30)</w:t>
            </w:r>
          </w:p>
        </w:tc>
        <w:tc>
          <w:tcPr>
            <w:tcW w:w="769" w:type="dxa"/>
            <w:gridSpan w:val="2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vAlign w:val="center"/>
          </w:tcPr>
          <w:p w14:paraId="5F83B442" w14:textId="77777777" w:rsidR="00F67367" w:rsidRPr="00A5724D" w:rsidRDefault="00F67367" w:rsidP="00210082">
            <w:pPr>
              <w:spacing w:before="240"/>
            </w:pPr>
            <w:r w:rsidRPr="00A5724D">
              <w:t>0.138</w:t>
            </w:r>
          </w:p>
        </w:tc>
      </w:tr>
      <w:tr w:rsidR="00F67367" w:rsidRPr="00A5724D" w14:paraId="21F21F59" w14:textId="77777777" w:rsidTr="00210082">
        <w:trPr>
          <w:trHeight w:val="509"/>
        </w:trPr>
        <w:tc>
          <w:tcPr>
            <w:tcW w:w="3665" w:type="dxa"/>
            <w:tcBorders>
              <w:top w:val="none" w:sz="0" w:space="0" w:color="FCFCFC"/>
              <w:left w:val="none" w:sz="0" w:space="0" w:color="FCFCFC"/>
              <w:bottom w:val="single" w:sz="8" w:space="0" w:color="000000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967397C" w14:textId="35C4E36C" w:rsidR="00F67367" w:rsidRPr="00A5724D" w:rsidRDefault="00F67367" w:rsidP="00210082">
            <w:pPr>
              <w:spacing w:before="240"/>
            </w:pPr>
            <w:r w:rsidRPr="00A5724D">
              <w:t>MoCA</w:t>
            </w:r>
            <w:r w:rsidR="009B41B1">
              <w:t xml:space="preserve"> score</w:t>
            </w:r>
            <w:r w:rsidRPr="00A5724D">
              <w:t>, mean ± SD (range)</w:t>
            </w:r>
          </w:p>
        </w:tc>
        <w:tc>
          <w:tcPr>
            <w:tcW w:w="2672" w:type="dxa"/>
            <w:tcBorders>
              <w:top w:val="none" w:sz="0" w:space="0" w:color="FCFCFC"/>
              <w:left w:val="none" w:sz="0" w:space="0" w:color="FCFCFC"/>
              <w:bottom w:val="single" w:sz="8" w:space="0" w:color="000000"/>
              <w:right w:val="none" w:sz="0" w:space="0" w:color="FCFCFC"/>
            </w:tcBorders>
            <w:vAlign w:val="center"/>
          </w:tcPr>
          <w:p w14:paraId="681526F5" w14:textId="77777777" w:rsidR="00F67367" w:rsidRPr="00A5724D" w:rsidRDefault="00F67367" w:rsidP="00210082">
            <w:pPr>
              <w:spacing w:before="240"/>
            </w:pPr>
            <w:r w:rsidRPr="00A5724D">
              <w:t>22.0 ± 5.9 (5–30)</w:t>
            </w:r>
          </w:p>
        </w:tc>
        <w:tc>
          <w:tcPr>
            <w:tcW w:w="2672" w:type="dxa"/>
            <w:tcBorders>
              <w:top w:val="none" w:sz="0" w:space="0" w:color="FCFCFC"/>
              <w:left w:val="none" w:sz="0" w:space="0" w:color="FCFCFC"/>
              <w:bottom w:val="single" w:sz="8" w:space="0" w:color="000000"/>
              <w:right w:val="none" w:sz="0" w:space="0" w:color="FCFCFC"/>
            </w:tcBorders>
            <w:vAlign w:val="center"/>
          </w:tcPr>
          <w:p w14:paraId="0E8467D6" w14:textId="77777777" w:rsidR="00F67367" w:rsidRPr="00A5724D" w:rsidRDefault="00F67367" w:rsidP="00210082">
            <w:pPr>
              <w:spacing w:before="240"/>
            </w:pPr>
            <w:r w:rsidRPr="00A5724D">
              <w:t>21.8 ± 5.7 (3–30)</w:t>
            </w:r>
          </w:p>
        </w:tc>
        <w:tc>
          <w:tcPr>
            <w:tcW w:w="769" w:type="dxa"/>
            <w:gridSpan w:val="2"/>
            <w:tcBorders>
              <w:top w:val="none" w:sz="0" w:space="0" w:color="FCFCFC"/>
              <w:left w:val="none" w:sz="0" w:space="0" w:color="FCFCFC"/>
              <w:bottom w:val="single" w:sz="8" w:space="0" w:color="000000"/>
              <w:right w:val="none" w:sz="0" w:space="0" w:color="FCFCFC"/>
            </w:tcBorders>
            <w:vAlign w:val="center"/>
          </w:tcPr>
          <w:p w14:paraId="089046A0" w14:textId="77777777" w:rsidR="00F67367" w:rsidRPr="00A5724D" w:rsidRDefault="00F67367" w:rsidP="00210082">
            <w:pPr>
              <w:spacing w:before="240"/>
            </w:pPr>
            <w:r w:rsidRPr="00A5724D">
              <w:t>0.687</w:t>
            </w:r>
          </w:p>
        </w:tc>
      </w:tr>
    </w:tbl>
    <w:p w14:paraId="0423BCB3" w14:textId="15BE4F33" w:rsidR="007A60EA" w:rsidRDefault="00F67367" w:rsidP="00A25E38">
      <w:pPr>
        <w:spacing w:before="240"/>
      </w:pPr>
      <w:r w:rsidRPr="00A5724D">
        <w:t xml:space="preserve">PD, Parkinson’s disease; LID, </w:t>
      </w:r>
      <w:r w:rsidR="009B41B1">
        <w:t>l</w:t>
      </w:r>
      <w:r w:rsidR="009B41B1" w:rsidRPr="00A5724D">
        <w:t>evodopa</w:t>
      </w:r>
      <w:r w:rsidRPr="00A5724D">
        <w:t xml:space="preserve">-induced dyskinesia; SD, </w:t>
      </w:r>
      <w:r w:rsidR="009B41B1">
        <w:t>s</w:t>
      </w:r>
      <w:r w:rsidR="009B41B1" w:rsidRPr="00A5724D">
        <w:t xml:space="preserve">tandard </w:t>
      </w:r>
      <w:r w:rsidRPr="00A5724D">
        <w:t xml:space="preserve">deviation; MMSE, Mini–Mental State Examination; </w:t>
      </w:r>
      <w:proofErr w:type="spellStart"/>
      <w:r w:rsidRPr="00A5724D">
        <w:t>MoCA</w:t>
      </w:r>
      <w:proofErr w:type="spellEnd"/>
      <w:r w:rsidRPr="00A5724D">
        <w:t>, Montreal Cognitive Assessment.</w:t>
      </w:r>
      <w:r w:rsidR="007A60EA">
        <w:br w:type="page"/>
      </w:r>
    </w:p>
    <w:tbl>
      <w:tblPr>
        <w:tblW w:w="97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5"/>
        <w:gridCol w:w="1297"/>
        <w:gridCol w:w="2126"/>
        <w:gridCol w:w="1921"/>
        <w:gridCol w:w="764"/>
        <w:gridCol w:w="6"/>
      </w:tblGrid>
      <w:tr w:rsidR="007A60EA" w:rsidRPr="006C5CE3" w14:paraId="06214801" w14:textId="77777777" w:rsidTr="004328FF">
        <w:trPr>
          <w:gridAfter w:val="1"/>
          <w:wAfter w:w="6" w:type="dxa"/>
          <w:trHeight w:val="107"/>
        </w:trPr>
        <w:tc>
          <w:tcPr>
            <w:tcW w:w="9773" w:type="dxa"/>
            <w:gridSpan w:val="5"/>
            <w:tcBorders>
              <w:top w:val="none" w:sz="0" w:space="0" w:color="FCFCFC"/>
              <w:left w:val="none" w:sz="0" w:space="0" w:color="FCFCFC"/>
              <w:bottom w:val="double" w:sz="4" w:space="0" w:color="000000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468527C" w14:textId="74F396FB" w:rsidR="007A60EA" w:rsidRPr="006C5CE3" w:rsidRDefault="007A60EA" w:rsidP="004328FF">
            <w:pPr>
              <w:spacing w:before="240"/>
            </w:pPr>
            <w:r w:rsidRPr="006C5CE3">
              <w:rPr>
                <w:b/>
              </w:rPr>
              <w:lastRenderedPageBreak/>
              <w:t xml:space="preserve">Supplementary Table 5. </w:t>
            </w:r>
            <w:r w:rsidRPr="006C5CE3">
              <w:t xml:space="preserve">Sex difference in </w:t>
            </w:r>
            <w:r w:rsidR="0078182C" w:rsidRPr="006C5CE3">
              <w:rPr>
                <w:lang w:eastAsia="ko-KR"/>
              </w:rPr>
              <w:t>frequency of</w:t>
            </w:r>
            <w:r w:rsidRPr="006C5CE3">
              <w:t xml:space="preserve"> motor complications at 5 years after onset </w:t>
            </w:r>
            <w:r w:rsidR="00542D64" w:rsidRPr="006C5CE3">
              <w:t>of Parkinson’s disease</w:t>
            </w:r>
          </w:p>
          <w:p w14:paraId="713129E6" w14:textId="77777777" w:rsidR="007A60EA" w:rsidRPr="006C5CE3" w:rsidRDefault="007A60EA" w:rsidP="004328FF">
            <w:pPr>
              <w:spacing w:before="240"/>
              <w:rPr>
                <w:b/>
              </w:rPr>
            </w:pPr>
          </w:p>
        </w:tc>
      </w:tr>
      <w:tr w:rsidR="007A60EA" w:rsidRPr="006C5CE3" w14:paraId="11B2AE5A" w14:textId="77777777" w:rsidTr="004328FF">
        <w:trPr>
          <w:trHeight w:val="509"/>
        </w:trPr>
        <w:tc>
          <w:tcPr>
            <w:tcW w:w="3665" w:type="dxa"/>
            <w:tcBorders>
              <w:top w:val="double" w:sz="4" w:space="0" w:color="000000"/>
              <w:left w:val="none" w:sz="0" w:space="0" w:color="FCFCFC"/>
              <w:bottom w:val="single" w:sz="4" w:space="0" w:color="auto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5D4141F" w14:textId="77777777" w:rsidR="007A60EA" w:rsidRPr="006C5CE3" w:rsidRDefault="007A60EA" w:rsidP="004328FF">
            <w:pPr>
              <w:spacing w:before="240"/>
              <w:jc w:val="center"/>
            </w:pPr>
          </w:p>
        </w:tc>
        <w:tc>
          <w:tcPr>
            <w:tcW w:w="6114" w:type="dxa"/>
            <w:gridSpan w:val="5"/>
            <w:tcBorders>
              <w:top w:val="double" w:sz="4" w:space="0" w:color="000000"/>
              <w:left w:val="none" w:sz="0" w:space="0" w:color="FCFCFC"/>
              <w:bottom w:val="single" w:sz="4" w:space="0" w:color="auto"/>
              <w:right w:val="none" w:sz="0" w:space="0" w:color="FCFCFC"/>
            </w:tcBorders>
            <w:vAlign w:val="center"/>
          </w:tcPr>
          <w:p w14:paraId="5C2BA701" w14:textId="42F66165" w:rsidR="007A60EA" w:rsidRPr="006C5CE3" w:rsidRDefault="0011042F" w:rsidP="004328FF">
            <w:pPr>
              <w:spacing w:before="240"/>
              <w:jc w:val="center"/>
            </w:pPr>
            <w:r w:rsidRPr="006C5CE3">
              <w:t>PD patients (n = 741)</w:t>
            </w:r>
          </w:p>
        </w:tc>
      </w:tr>
      <w:tr w:rsidR="007A60EA" w:rsidRPr="006C5CE3" w14:paraId="67A35DF4" w14:textId="77777777" w:rsidTr="009D063B">
        <w:trPr>
          <w:trHeight w:val="509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ED77622" w14:textId="77777777" w:rsidR="007A60EA" w:rsidRPr="006C5CE3" w:rsidRDefault="007A60EA" w:rsidP="004328FF">
            <w:pPr>
              <w:spacing w:before="240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14:paraId="7ADBBC1B" w14:textId="1A58A5ED" w:rsidR="007A60EA" w:rsidRPr="006C5CE3" w:rsidRDefault="007A60EA" w:rsidP="004328FF">
            <w:pPr>
              <w:spacing w:before="240"/>
            </w:pPr>
            <w:r w:rsidRPr="006C5CE3">
              <w:rPr>
                <w:lang w:eastAsia="ko-KR"/>
              </w:rPr>
              <w:t>Men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14:paraId="5ACC5C21" w14:textId="7E01E09E" w:rsidR="007A60EA" w:rsidRPr="006C5CE3" w:rsidRDefault="007A60EA" w:rsidP="004328FF">
            <w:pPr>
              <w:spacing w:before="240"/>
            </w:pPr>
            <w:r w:rsidRPr="006C5CE3">
              <w:t>Women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14:paraId="6CF755CC" w14:textId="77777777" w:rsidR="007A60EA" w:rsidRPr="006C5CE3" w:rsidRDefault="007A60EA" w:rsidP="004328FF">
            <w:pPr>
              <w:spacing w:before="240"/>
            </w:pPr>
            <w:r w:rsidRPr="006C5CE3">
              <w:rPr>
                <w:i/>
              </w:rPr>
              <w:t>P</w:t>
            </w:r>
            <w:r w:rsidRPr="006C5CE3">
              <w:t>-value</w:t>
            </w:r>
          </w:p>
        </w:tc>
      </w:tr>
      <w:tr w:rsidR="007A60EA" w:rsidRPr="006C5CE3" w14:paraId="7DDD74AE" w14:textId="77777777" w:rsidTr="009D063B">
        <w:trPr>
          <w:trHeight w:val="509"/>
        </w:trPr>
        <w:tc>
          <w:tcPr>
            <w:tcW w:w="4962" w:type="dxa"/>
            <w:gridSpan w:val="2"/>
            <w:tcBorders>
              <w:top w:val="single" w:sz="8" w:space="0" w:color="000000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1585ABF" w14:textId="77777777" w:rsidR="007A60EA" w:rsidRPr="006C5CE3" w:rsidRDefault="007A60EA" w:rsidP="004328FF">
            <w:pPr>
              <w:spacing w:before="240"/>
            </w:pPr>
            <w:r w:rsidRPr="006C5CE3">
              <w:t>Total sample, n (%)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0" w:space="0" w:color="FCFCFC"/>
              <w:bottom w:val="none" w:sz="0" w:space="0" w:color="FCFCFC"/>
              <w:right w:val="none" w:sz="0" w:space="0" w:color="FCFCFC"/>
            </w:tcBorders>
            <w:vAlign w:val="center"/>
          </w:tcPr>
          <w:p w14:paraId="359E0397" w14:textId="24B682A7" w:rsidR="007A60EA" w:rsidRPr="006C5CE3" w:rsidRDefault="007A60EA" w:rsidP="007A60EA">
            <w:pPr>
              <w:spacing w:before="240"/>
            </w:pPr>
            <w:r w:rsidRPr="006C5CE3">
              <w:t>325 (43.9)</w:t>
            </w:r>
          </w:p>
        </w:tc>
        <w:tc>
          <w:tcPr>
            <w:tcW w:w="1921" w:type="dxa"/>
            <w:tcBorders>
              <w:top w:val="single" w:sz="8" w:space="0" w:color="000000"/>
              <w:left w:val="none" w:sz="0" w:space="0" w:color="FCFCFC"/>
              <w:bottom w:val="none" w:sz="0" w:space="0" w:color="FCFCFC"/>
              <w:right w:val="none" w:sz="0" w:space="0" w:color="FCFCFC"/>
            </w:tcBorders>
            <w:vAlign w:val="center"/>
          </w:tcPr>
          <w:p w14:paraId="09FC8629" w14:textId="797E8342" w:rsidR="007A60EA" w:rsidRPr="006C5CE3" w:rsidRDefault="007A60EA" w:rsidP="007A60EA">
            <w:pPr>
              <w:spacing w:before="240"/>
            </w:pPr>
            <w:r w:rsidRPr="006C5CE3">
              <w:t>416 (56.1)</w:t>
            </w:r>
          </w:p>
        </w:tc>
        <w:tc>
          <w:tcPr>
            <w:tcW w:w="770" w:type="dxa"/>
            <w:gridSpan w:val="2"/>
            <w:tcBorders>
              <w:top w:val="single" w:sz="8" w:space="0" w:color="000000"/>
              <w:left w:val="none" w:sz="0" w:space="0" w:color="FCFCFC"/>
              <w:bottom w:val="none" w:sz="0" w:space="0" w:color="FCFCFC"/>
              <w:right w:val="none" w:sz="0" w:space="0" w:color="FCFCFC"/>
            </w:tcBorders>
            <w:vAlign w:val="center"/>
          </w:tcPr>
          <w:p w14:paraId="37B38AB8" w14:textId="77777777" w:rsidR="007A60EA" w:rsidRPr="006C5CE3" w:rsidRDefault="007A60EA" w:rsidP="004328FF">
            <w:pPr>
              <w:spacing w:before="240"/>
            </w:pPr>
            <w:r w:rsidRPr="006C5CE3">
              <w:t>-</w:t>
            </w:r>
          </w:p>
        </w:tc>
      </w:tr>
      <w:tr w:rsidR="007A60EA" w:rsidRPr="006C5CE3" w14:paraId="11A10E28" w14:textId="77777777" w:rsidTr="009D063B">
        <w:trPr>
          <w:trHeight w:val="509"/>
        </w:trPr>
        <w:tc>
          <w:tcPr>
            <w:tcW w:w="4962" w:type="dxa"/>
            <w:gridSpan w:val="2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0CF891C" w14:textId="77777777" w:rsidR="007A60EA" w:rsidRPr="006C5CE3" w:rsidRDefault="007A60EA" w:rsidP="004328FF">
            <w:pPr>
              <w:spacing w:before="240"/>
            </w:pPr>
            <w:r w:rsidRPr="006C5CE3">
              <w:t>Age at onset, years, mean ± SD (range)</w:t>
            </w:r>
          </w:p>
        </w:tc>
        <w:tc>
          <w:tcPr>
            <w:tcW w:w="2126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vAlign w:val="center"/>
          </w:tcPr>
          <w:p w14:paraId="74CBC159" w14:textId="5493A235" w:rsidR="007A60EA" w:rsidRPr="006C5CE3" w:rsidRDefault="0011042F">
            <w:pPr>
              <w:spacing w:before="240"/>
            </w:pPr>
            <w:r w:rsidRPr="006C5CE3">
              <w:t>56.9</w:t>
            </w:r>
            <w:r w:rsidR="007A60EA" w:rsidRPr="006C5CE3">
              <w:t xml:space="preserve"> ± </w:t>
            </w:r>
            <w:r w:rsidRPr="006C5CE3">
              <w:t>10</w:t>
            </w:r>
            <w:r w:rsidR="007A60EA" w:rsidRPr="006C5CE3">
              <w:t>.</w:t>
            </w:r>
            <w:r w:rsidRPr="006C5CE3">
              <w:t>6</w:t>
            </w:r>
            <w:r w:rsidR="007A60EA" w:rsidRPr="006C5CE3">
              <w:t xml:space="preserve"> (</w:t>
            </w:r>
            <w:r w:rsidR="007520CA" w:rsidRPr="006C5CE3">
              <w:t>28</w:t>
            </w:r>
            <w:r w:rsidR="007A60EA" w:rsidRPr="006C5CE3">
              <w:t>–</w:t>
            </w:r>
            <w:r w:rsidR="007520CA" w:rsidRPr="006C5CE3">
              <w:t>87</w:t>
            </w:r>
            <w:r w:rsidR="007A60EA" w:rsidRPr="006C5CE3">
              <w:t>)</w:t>
            </w:r>
          </w:p>
        </w:tc>
        <w:tc>
          <w:tcPr>
            <w:tcW w:w="1921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vAlign w:val="center"/>
          </w:tcPr>
          <w:p w14:paraId="47C56CCA" w14:textId="151ED3D8" w:rsidR="007A60EA" w:rsidRPr="006C5CE3" w:rsidRDefault="0011042F">
            <w:pPr>
              <w:spacing w:before="240"/>
            </w:pPr>
            <w:r w:rsidRPr="006C5CE3">
              <w:t>57.3</w:t>
            </w:r>
            <w:r w:rsidR="007A60EA" w:rsidRPr="006C5CE3">
              <w:t xml:space="preserve"> ± </w:t>
            </w:r>
            <w:r w:rsidRPr="006C5CE3">
              <w:t>9</w:t>
            </w:r>
            <w:r w:rsidR="007A60EA" w:rsidRPr="006C5CE3">
              <w:t>.</w:t>
            </w:r>
            <w:r w:rsidRPr="006C5CE3">
              <w:t>7</w:t>
            </w:r>
            <w:r w:rsidR="007A60EA" w:rsidRPr="006C5CE3">
              <w:t xml:space="preserve"> (</w:t>
            </w:r>
            <w:r w:rsidR="007520CA" w:rsidRPr="006C5CE3">
              <w:t>29</w:t>
            </w:r>
            <w:r w:rsidR="007A60EA" w:rsidRPr="006C5CE3">
              <w:t>–8</w:t>
            </w:r>
            <w:r w:rsidR="007520CA" w:rsidRPr="006C5CE3">
              <w:t>2</w:t>
            </w:r>
            <w:r w:rsidR="007A60EA" w:rsidRPr="006C5CE3">
              <w:t>)</w:t>
            </w:r>
          </w:p>
        </w:tc>
        <w:tc>
          <w:tcPr>
            <w:tcW w:w="770" w:type="dxa"/>
            <w:gridSpan w:val="2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vAlign w:val="center"/>
          </w:tcPr>
          <w:p w14:paraId="7BEB6C27" w14:textId="1E6E9F6C" w:rsidR="007A60EA" w:rsidRPr="006C5CE3" w:rsidRDefault="007A60EA" w:rsidP="00CA3BAF">
            <w:pPr>
              <w:spacing w:before="240"/>
            </w:pPr>
            <w:r w:rsidRPr="006C5CE3">
              <w:t>0.</w:t>
            </w:r>
            <w:r w:rsidR="0011042F" w:rsidRPr="006C5CE3">
              <w:t>526</w:t>
            </w:r>
          </w:p>
        </w:tc>
      </w:tr>
      <w:tr w:rsidR="007A60EA" w:rsidRPr="006C5CE3" w14:paraId="78DBE3B7" w14:textId="77777777" w:rsidTr="009D063B">
        <w:trPr>
          <w:trHeight w:val="509"/>
        </w:trPr>
        <w:tc>
          <w:tcPr>
            <w:tcW w:w="4962" w:type="dxa"/>
            <w:gridSpan w:val="2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AA8BCEA" w14:textId="29577C7D" w:rsidR="007A60EA" w:rsidRPr="006C5CE3" w:rsidRDefault="007A60EA" w:rsidP="00542D64">
            <w:pPr>
              <w:spacing w:before="240"/>
            </w:pPr>
            <w:r w:rsidRPr="006C5CE3">
              <w:t>D</w:t>
            </w:r>
            <w:r w:rsidR="00194915" w:rsidRPr="006C5CE3">
              <w:t>isease duration</w:t>
            </w:r>
            <w:r w:rsidRPr="006C5CE3">
              <w:t>, years, mean ± SD (range)</w:t>
            </w:r>
          </w:p>
        </w:tc>
        <w:tc>
          <w:tcPr>
            <w:tcW w:w="2126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vAlign w:val="center"/>
          </w:tcPr>
          <w:p w14:paraId="66645989" w14:textId="34002C3D" w:rsidR="007A60EA" w:rsidRPr="006C5CE3" w:rsidRDefault="00913F3E">
            <w:pPr>
              <w:spacing w:before="240"/>
            </w:pPr>
            <w:r w:rsidRPr="006C5CE3">
              <w:t>10</w:t>
            </w:r>
            <w:r w:rsidR="007A60EA" w:rsidRPr="006C5CE3">
              <w:t>.</w:t>
            </w:r>
            <w:r w:rsidRPr="006C5CE3">
              <w:t>7</w:t>
            </w:r>
            <w:r w:rsidR="007A60EA" w:rsidRPr="006C5CE3">
              <w:t xml:space="preserve"> ± </w:t>
            </w:r>
            <w:r w:rsidRPr="006C5CE3">
              <w:t>4</w:t>
            </w:r>
            <w:r w:rsidR="007A60EA" w:rsidRPr="006C5CE3">
              <w:t>.</w:t>
            </w:r>
            <w:r w:rsidRPr="006C5CE3">
              <w:t>1</w:t>
            </w:r>
            <w:r w:rsidR="007A60EA" w:rsidRPr="006C5CE3">
              <w:t xml:space="preserve"> (5–2</w:t>
            </w:r>
            <w:r w:rsidR="007520CA" w:rsidRPr="006C5CE3">
              <w:t>6</w:t>
            </w:r>
            <w:r w:rsidR="007A60EA" w:rsidRPr="006C5CE3">
              <w:t>)</w:t>
            </w:r>
          </w:p>
        </w:tc>
        <w:tc>
          <w:tcPr>
            <w:tcW w:w="1921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vAlign w:val="center"/>
          </w:tcPr>
          <w:p w14:paraId="32CBD8A1" w14:textId="7753E7BB" w:rsidR="007A60EA" w:rsidRPr="006C5CE3" w:rsidRDefault="007A60EA">
            <w:pPr>
              <w:spacing w:before="240"/>
            </w:pPr>
            <w:r w:rsidRPr="006C5CE3">
              <w:t>10.</w:t>
            </w:r>
            <w:r w:rsidR="00913F3E" w:rsidRPr="006C5CE3">
              <w:t>9</w:t>
            </w:r>
            <w:r w:rsidRPr="006C5CE3">
              <w:t xml:space="preserve"> ± </w:t>
            </w:r>
            <w:r w:rsidR="00913F3E" w:rsidRPr="006C5CE3">
              <w:t>4</w:t>
            </w:r>
            <w:r w:rsidRPr="006C5CE3">
              <w:t>.</w:t>
            </w:r>
            <w:r w:rsidR="00913F3E" w:rsidRPr="006C5CE3">
              <w:t>8</w:t>
            </w:r>
            <w:r w:rsidRPr="006C5CE3">
              <w:t xml:space="preserve"> (5–</w:t>
            </w:r>
            <w:r w:rsidR="007520CA" w:rsidRPr="006C5CE3">
              <w:t>31</w:t>
            </w:r>
            <w:r w:rsidRPr="006C5CE3">
              <w:t>)</w:t>
            </w:r>
          </w:p>
        </w:tc>
        <w:tc>
          <w:tcPr>
            <w:tcW w:w="770" w:type="dxa"/>
            <w:gridSpan w:val="2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vAlign w:val="center"/>
          </w:tcPr>
          <w:p w14:paraId="514255A1" w14:textId="6B209598" w:rsidR="007A60EA" w:rsidRPr="006C5CE3" w:rsidRDefault="00913F3E" w:rsidP="00CA3BAF">
            <w:pPr>
              <w:spacing w:before="240"/>
            </w:pPr>
            <w:r w:rsidRPr="006C5CE3">
              <w:t>0.598</w:t>
            </w:r>
          </w:p>
        </w:tc>
      </w:tr>
      <w:tr w:rsidR="00194915" w:rsidRPr="006C5CE3" w14:paraId="433E9BCC" w14:textId="77777777" w:rsidTr="009D063B">
        <w:trPr>
          <w:trHeight w:val="509"/>
        </w:trPr>
        <w:tc>
          <w:tcPr>
            <w:tcW w:w="4962" w:type="dxa"/>
            <w:gridSpan w:val="2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BA2A471" w14:textId="29045138" w:rsidR="00194915" w:rsidRPr="006C5CE3" w:rsidRDefault="0078182C" w:rsidP="00194915">
            <w:pPr>
              <w:spacing w:before="240"/>
            </w:pPr>
            <w:r w:rsidRPr="006C5CE3">
              <w:rPr>
                <w:rFonts w:eastAsia="바탕체" w:cs="Times New Roman"/>
                <w:color w:val="000000"/>
                <w:sz w:val="22"/>
                <w:szCs w:val="20"/>
                <w:lang w:eastAsia="ko-KR"/>
              </w:rPr>
              <w:t>Patients with motor fluctuations at 5 years after PD onset, n (%)</w:t>
            </w:r>
          </w:p>
        </w:tc>
        <w:tc>
          <w:tcPr>
            <w:tcW w:w="2126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vAlign w:val="center"/>
          </w:tcPr>
          <w:p w14:paraId="498B3361" w14:textId="1A92E143" w:rsidR="00194915" w:rsidRPr="006C5CE3" w:rsidRDefault="00542D64" w:rsidP="00194915">
            <w:pPr>
              <w:spacing w:before="240"/>
              <w:rPr>
                <w:lang w:eastAsia="ko-KR"/>
              </w:rPr>
            </w:pPr>
            <w:r w:rsidRPr="006C5CE3">
              <w:rPr>
                <w:lang w:eastAsia="ko-KR"/>
              </w:rPr>
              <w:t>92 (28.3)</w:t>
            </w:r>
          </w:p>
        </w:tc>
        <w:tc>
          <w:tcPr>
            <w:tcW w:w="1921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vAlign w:val="center"/>
          </w:tcPr>
          <w:p w14:paraId="7C3EF025" w14:textId="1E5A0422" w:rsidR="00194915" w:rsidRPr="006C5CE3" w:rsidRDefault="00542D64" w:rsidP="00194915">
            <w:pPr>
              <w:spacing w:before="240"/>
              <w:rPr>
                <w:lang w:eastAsia="ko-KR"/>
              </w:rPr>
            </w:pPr>
            <w:r w:rsidRPr="006C5CE3">
              <w:rPr>
                <w:lang w:eastAsia="ko-KR"/>
              </w:rPr>
              <w:t>127 (30.5)</w:t>
            </w:r>
          </w:p>
        </w:tc>
        <w:tc>
          <w:tcPr>
            <w:tcW w:w="770" w:type="dxa"/>
            <w:gridSpan w:val="2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vAlign w:val="center"/>
          </w:tcPr>
          <w:p w14:paraId="158FA877" w14:textId="1372B1B2" w:rsidR="00194915" w:rsidRPr="006C5CE3" w:rsidRDefault="00542D64" w:rsidP="00194915">
            <w:pPr>
              <w:spacing w:before="240"/>
              <w:rPr>
                <w:lang w:eastAsia="ko-KR"/>
              </w:rPr>
            </w:pPr>
            <w:r w:rsidRPr="006C5CE3">
              <w:rPr>
                <w:lang w:eastAsia="ko-KR"/>
              </w:rPr>
              <w:t>0.480</w:t>
            </w:r>
          </w:p>
        </w:tc>
      </w:tr>
      <w:tr w:rsidR="0078182C" w:rsidRPr="006C5CE3" w14:paraId="3EB407F9" w14:textId="77777777" w:rsidTr="009D063B">
        <w:trPr>
          <w:trHeight w:val="509"/>
        </w:trPr>
        <w:tc>
          <w:tcPr>
            <w:tcW w:w="4962" w:type="dxa"/>
            <w:gridSpan w:val="2"/>
            <w:tcBorders>
              <w:top w:val="none" w:sz="0" w:space="0" w:color="FCFCFC"/>
              <w:left w:val="none" w:sz="0" w:space="0" w:color="FCFCFC"/>
              <w:bottom w:val="single" w:sz="8" w:space="0" w:color="000000"/>
              <w:right w:val="none" w:sz="0" w:space="0" w:color="FCFCFC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485691E" w14:textId="28F95E54" w:rsidR="0078182C" w:rsidRPr="006C5CE3" w:rsidRDefault="0078182C" w:rsidP="0078182C">
            <w:pPr>
              <w:spacing w:before="240"/>
            </w:pPr>
            <w:r w:rsidRPr="006C5CE3">
              <w:rPr>
                <w:rFonts w:eastAsia="바탕체" w:cs="Times New Roman"/>
                <w:color w:val="000000"/>
                <w:sz w:val="22"/>
                <w:szCs w:val="20"/>
                <w:lang w:eastAsia="ko-KR"/>
              </w:rPr>
              <w:t>Patients with levodopa-induced dyskinesia at 5 years after PD onset, n (%)</w:t>
            </w:r>
          </w:p>
        </w:tc>
        <w:tc>
          <w:tcPr>
            <w:tcW w:w="2126" w:type="dxa"/>
            <w:tcBorders>
              <w:top w:val="none" w:sz="0" w:space="0" w:color="FCFCFC"/>
              <w:left w:val="none" w:sz="0" w:space="0" w:color="FCFCFC"/>
              <w:bottom w:val="single" w:sz="8" w:space="0" w:color="000000"/>
              <w:right w:val="none" w:sz="0" w:space="0" w:color="FCFCFC"/>
            </w:tcBorders>
            <w:vAlign w:val="center"/>
          </w:tcPr>
          <w:p w14:paraId="3D1EA35A" w14:textId="374C4E95" w:rsidR="0078182C" w:rsidRPr="006C5CE3" w:rsidRDefault="0078182C" w:rsidP="0078182C">
            <w:pPr>
              <w:spacing w:before="240"/>
            </w:pPr>
            <w:r w:rsidRPr="006C5CE3">
              <w:rPr>
                <w:lang w:eastAsia="ko-KR"/>
              </w:rPr>
              <w:t>75 (23.1)</w:t>
            </w:r>
          </w:p>
        </w:tc>
        <w:tc>
          <w:tcPr>
            <w:tcW w:w="1921" w:type="dxa"/>
            <w:tcBorders>
              <w:top w:val="none" w:sz="0" w:space="0" w:color="FCFCFC"/>
              <w:left w:val="none" w:sz="0" w:space="0" w:color="FCFCFC"/>
              <w:bottom w:val="single" w:sz="8" w:space="0" w:color="000000"/>
              <w:right w:val="none" w:sz="0" w:space="0" w:color="FCFCFC"/>
            </w:tcBorders>
            <w:vAlign w:val="center"/>
          </w:tcPr>
          <w:p w14:paraId="5B6D8C7C" w14:textId="056F6EC4" w:rsidR="0078182C" w:rsidRPr="006C5CE3" w:rsidRDefault="0078182C" w:rsidP="0078182C">
            <w:pPr>
              <w:spacing w:before="240"/>
            </w:pPr>
            <w:r w:rsidRPr="006C5CE3">
              <w:rPr>
                <w:lang w:eastAsia="ko-KR"/>
              </w:rPr>
              <w:t>97 (23.3)</w:t>
            </w:r>
          </w:p>
        </w:tc>
        <w:tc>
          <w:tcPr>
            <w:tcW w:w="770" w:type="dxa"/>
            <w:gridSpan w:val="2"/>
            <w:tcBorders>
              <w:top w:val="none" w:sz="0" w:space="0" w:color="FCFCFC"/>
              <w:left w:val="none" w:sz="0" w:space="0" w:color="FCFCFC"/>
              <w:bottom w:val="single" w:sz="8" w:space="0" w:color="000000"/>
              <w:right w:val="none" w:sz="0" w:space="0" w:color="FCFCFC"/>
            </w:tcBorders>
            <w:vAlign w:val="center"/>
          </w:tcPr>
          <w:p w14:paraId="14B35441" w14:textId="1EF9175E" w:rsidR="0078182C" w:rsidRPr="006C5CE3" w:rsidRDefault="0078182C" w:rsidP="0078182C">
            <w:pPr>
              <w:spacing w:before="240"/>
            </w:pPr>
            <w:r w:rsidRPr="006C5CE3">
              <w:rPr>
                <w:lang w:eastAsia="ko-KR"/>
              </w:rPr>
              <w:t>0.892</w:t>
            </w:r>
          </w:p>
        </w:tc>
      </w:tr>
    </w:tbl>
    <w:p w14:paraId="40F10EC0" w14:textId="48398CBB" w:rsidR="00F67367" w:rsidRDefault="007A60EA" w:rsidP="00A25E38">
      <w:pPr>
        <w:spacing w:before="240"/>
      </w:pPr>
      <w:r w:rsidRPr="006C5CE3">
        <w:t>PD, Parkinson’s disease</w:t>
      </w:r>
      <w:r w:rsidR="00CA3BAF" w:rsidRPr="006C5CE3">
        <w:t>.</w:t>
      </w:r>
    </w:p>
    <w:p w14:paraId="301797D8" w14:textId="40EEC6F4" w:rsidR="00894462" w:rsidRPr="001549D3" w:rsidRDefault="00894462" w:rsidP="00A25E38">
      <w:pPr>
        <w:spacing w:before="240"/>
      </w:pPr>
      <w:bookmarkStart w:id="0" w:name="_GoBack"/>
      <w:bookmarkEnd w:id="0"/>
    </w:p>
    <w:sectPr w:rsidR="00894462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3EF44" w14:textId="77777777" w:rsidR="00325555" w:rsidRDefault="00325555" w:rsidP="00117666">
      <w:pPr>
        <w:spacing w:after="0"/>
      </w:pPr>
      <w:r>
        <w:separator/>
      </w:r>
    </w:p>
  </w:endnote>
  <w:endnote w:type="continuationSeparator" w:id="0">
    <w:p w14:paraId="7A666124" w14:textId="77777777" w:rsidR="00325555" w:rsidRDefault="0032555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210082" w:rsidRPr="00577C4C" w:rsidRDefault="00210082">
    <w:pPr>
      <w:rPr>
        <w:color w:val="C00000"/>
        <w:szCs w:val="24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16598276" w:rsidR="00210082" w:rsidRPr="00577C4C" w:rsidRDefault="00210082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6C5CE3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" filled="f" stroked="f" strokeweight=".5pt">
              <v:textbox style="mso-fit-shape-to-text:t">
                <w:txbxContent>
                  <w:p w14:paraId="50BC4D33" w14:textId="16598276" w:rsidR="00210082" w:rsidRPr="00577C4C" w:rsidRDefault="00210082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6C5CE3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210082" w:rsidRPr="00577C4C" w:rsidRDefault="00210082">
    <w:pPr>
      <w:rPr>
        <w:b/>
        <w:sz w:val="20"/>
        <w:szCs w:val="24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2B7D25E1" w:rsidR="00210082" w:rsidRPr="00577C4C" w:rsidRDefault="00210082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6C5CE3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9.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" filled="f" stroked="f" strokeweight=".5pt">
              <v:textbox style="mso-fit-shape-to-text:t">
                <w:txbxContent>
                  <w:p w14:paraId="570F0D09" w14:textId="2B7D25E1" w:rsidR="00210082" w:rsidRPr="00577C4C" w:rsidRDefault="00210082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6C5CE3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4798B" w14:textId="77777777" w:rsidR="00325555" w:rsidRDefault="00325555" w:rsidP="00117666">
      <w:pPr>
        <w:spacing w:after="0"/>
      </w:pPr>
      <w:r>
        <w:separator/>
      </w:r>
    </w:p>
  </w:footnote>
  <w:footnote w:type="continuationSeparator" w:id="0">
    <w:p w14:paraId="7B9E9A10" w14:textId="77777777" w:rsidR="00325555" w:rsidRDefault="0032555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210082" w:rsidRPr="009151AA" w:rsidRDefault="00210082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210082" w:rsidRDefault="00210082" w:rsidP="0093429D">
    <w:r w:rsidRPr="005A1D84">
      <w:rPr>
        <w:b/>
        <w:noProof/>
        <w:color w:val="A6A6A6" w:themeColor="background1" w:themeShade="A6"/>
        <w:lang w:eastAsia="ko-KR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0D707A"/>
    <w:rsid w:val="00105FD9"/>
    <w:rsid w:val="0011042F"/>
    <w:rsid w:val="00117666"/>
    <w:rsid w:val="00151B6B"/>
    <w:rsid w:val="001549D3"/>
    <w:rsid w:val="00160065"/>
    <w:rsid w:val="00171EEA"/>
    <w:rsid w:val="00177D84"/>
    <w:rsid w:val="00194915"/>
    <w:rsid w:val="001A1E9D"/>
    <w:rsid w:val="00210082"/>
    <w:rsid w:val="00233C7B"/>
    <w:rsid w:val="0024469B"/>
    <w:rsid w:val="0025057C"/>
    <w:rsid w:val="00253FF3"/>
    <w:rsid w:val="00267D18"/>
    <w:rsid w:val="00274347"/>
    <w:rsid w:val="002868E2"/>
    <w:rsid w:val="002869C3"/>
    <w:rsid w:val="002936E4"/>
    <w:rsid w:val="002B4A57"/>
    <w:rsid w:val="002C74CA"/>
    <w:rsid w:val="003123F4"/>
    <w:rsid w:val="00325555"/>
    <w:rsid w:val="00352929"/>
    <w:rsid w:val="003544FB"/>
    <w:rsid w:val="003A0FF8"/>
    <w:rsid w:val="003D2F2D"/>
    <w:rsid w:val="00401590"/>
    <w:rsid w:val="00432390"/>
    <w:rsid w:val="00447801"/>
    <w:rsid w:val="00452E9C"/>
    <w:rsid w:val="004735C8"/>
    <w:rsid w:val="004947A6"/>
    <w:rsid w:val="004961FF"/>
    <w:rsid w:val="004972A8"/>
    <w:rsid w:val="004B0CEC"/>
    <w:rsid w:val="004B56DE"/>
    <w:rsid w:val="004F35D0"/>
    <w:rsid w:val="005036F2"/>
    <w:rsid w:val="00517A89"/>
    <w:rsid w:val="005250F2"/>
    <w:rsid w:val="00542D64"/>
    <w:rsid w:val="00593EEA"/>
    <w:rsid w:val="005A5EEE"/>
    <w:rsid w:val="005C47BA"/>
    <w:rsid w:val="006375C7"/>
    <w:rsid w:val="00654E8F"/>
    <w:rsid w:val="00660D05"/>
    <w:rsid w:val="006820B1"/>
    <w:rsid w:val="00693DE6"/>
    <w:rsid w:val="006B7D14"/>
    <w:rsid w:val="006C5CE3"/>
    <w:rsid w:val="006D284F"/>
    <w:rsid w:val="00701727"/>
    <w:rsid w:val="0070566C"/>
    <w:rsid w:val="00705AAE"/>
    <w:rsid w:val="00714C50"/>
    <w:rsid w:val="00725A7D"/>
    <w:rsid w:val="007501BE"/>
    <w:rsid w:val="007520CA"/>
    <w:rsid w:val="0078182C"/>
    <w:rsid w:val="00790BB3"/>
    <w:rsid w:val="007A60E1"/>
    <w:rsid w:val="007A60EA"/>
    <w:rsid w:val="007B6747"/>
    <w:rsid w:val="007C206C"/>
    <w:rsid w:val="00817DD6"/>
    <w:rsid w:val="00834F01"/>
    <w:rsid w:val="0083759F"/>
    <w:rsid w:val="00885156"/>
    <w:rsid w:val="00894462"/>
    <w:rsid w:val="008A1DE8"/>
    <w:rsid w:val="008D7AED"/>
    <w:rsid w:val="00913F3E"/>
    <w:rsid w:val="009151AA"/>
    <w:rsid w:val="0093429D"/>
    <w:rsid w:val="00943573"/>
    <w:rsid w:val="00964134"/>
    <w:rsid w:val="00970F7D"/>
    <w:rsid w:val="00994A3D"/>
    <w:rsid w:val="009B2F88"/>
    <w:rsid w:val="009B41B1"/>
    <w:rsid w:val="009B6F43"/>
    <w:rsid w:val="009C2B12"/>
    <w:rsid w:val="009D063B"/>
    <w:rsid w:val="009D792C"/>
    <w:rsid w:val="00A174D9"/>
    <w:rsid w:val="00A25E38"/>
    <w:rsid w:val="00A5724D"/>
    <w:rsid w:val="00A939FE"/>
    <w:rsid w:val="00AA4D24"/>
    <w:rsid w:val="00AB6715"/>
    <w:rsid w:val="00B1671E"/>
    <w:rsid w:val="00B25EB8"/>
    <w:rsid w:val="00B37F4D"/>
    <w:rsid w:val="00BF4970"/>
    <w:rsid w:val="00C52A7B"/>
    <w:rsid w:val="00C56BAF"/>
    <w:rsid w:val="00C679AA"/>
    <w:rsid w:val="00C75972"/>
    <w:rsid w:val="00CA3BAF"/>
    <w:rsid w:val="00CD066B"/>
    <w:rsid w:val="00CE4FEE"/>
    <w:rsid w:val="00CF5EFE"/>
    <w:rsid w:val="00D060CF"/>
    <w:rsid w:val="00D373E3"/>
    <w:rsid w:val="00D6711D"/>
    <w:rsid w:val="00DA7415"/>
    <w:rsid w:val="00DB59C3"/>
    <w:rsid w:val="00DC259A"/>
    <w:rsid w:val="00DC5C62"/>
    <w:rsid w:val="00DC6AF4"/>
    <w:rsid w:val="00DE1EC7"/>
    <w:rsid w:val="00DE23E8"/>
    <w:rsid w:val="00DE3FCF"/>
    <w:rsid w:val="00E1211D"/>
    <w:rsid w:val="00E227CC"/>
    <w:rsid w:val="00E3581B"/>
    <w:rsid w:val="00E52377"/>
    <w:rsid w:val="00E537AD"/>
    <w:rsid w:val="00E64E17"/>
    <w:rsid w:val="00E7780A"/>
    <w:rsid w:val="00E866C9"/>
    <w:rsid w:val="00EA3D3C"/>
    <w:rsid w:val="00EB0AC9"/>
    <w:rsid w:val="00EC090A"/>
    <w:rsid w:val="00EC4292"/>
    <w:rsid w:val="00ED20B5"/>
    <w:rsid w:val="00EE31D5"/>
    <w:rsid w:val="00EF11DD"/>
    <w:rsid w:val="00F46900"/>
    <w:rsid w:val="00F61D89"/>
    <w:rsid w:val="00F67367"/>
    <w:rsid w:val="00F67C9C"/>
    <w:rsid w:val="00FE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제목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부제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메모 텍스트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미주 텍스트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바닥글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각주 텍스트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머리글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제목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제목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제목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인용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제목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6A1A1BB-7173-4669-BA91-9A19DBA86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5</Pages>
  <Words>567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2013-10-03T12:51:00Z</cp:lastPrinted>
  <dcterms:created xsi:type="dcterms:W3CDTF">2020-02-27T01:22:00Z</dcterms:created>
  <dcterms:modified xsi:type="dcterms:W3CDTF">2020-06-24T09:20:00Z</dcterms:modified>
</cp:coreProperties>
</file>