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A2737" w14:textId="726100AF" w:rsidR="00CB74E8" w:rsidRPr="00D04362" w:rsidRDefault="00CB74E8" w:rsidP="00CB74E8">
      <w:pPr>
        <w:jc w:val="center"/>
        <w:rPr>
          <w:rFonts w:ascii="Arial" w:hAnsi="Arial" w:cs="Arial"/>
          <w:b/>
          <w:bCs/>
          <w:sz w:val="28"/>
          <w:szCs w:val="28"/>
        </w:rPr>
      </w:pPr>
      <w:r w:rsidRPr="00D04362">
        <w:rPr>
          <w:rFonts w:ascii="Arial" w:hAnsi="Arial" w:cs="Arial"/>
          <w:b/>
          <w:bCs/>
          <w:sz w:val="28"/>
          <w:szCs w:val="28"/>
        </w:rPr>
        <w:t>Supplementary Information</w:t>
      </w:r>
    </w:p>
    <w:p w14:paraId="3664AA10" w14:textId="77777777" w:rsidR="00CB74E8" w:rsidRPr="00D04362" w:rsidRDefault="00CB74E8" w:rsidP="00CB74E8">
      <w:pPr>
        <w:rPr>
          <w:b/>
        </w:rPr>
      </w:pPr>
    </w:p>
    <w:p w14:paraId="4C8CD3A8" w14:textId="49C8C61A" w:rsidR="00CB74E8" w:rsidRPr="00D04362" w:rsidRDefault="00CB74E8" w:rsidP="00CB74E8">
      <w:pPr>
        <w:rPr>
          <w:b/>
          <w:szCs w:val="24"/>
        </w:rPr>
      </w:pPr>
      <w:r w:rsidRPr="00D04362">
        <w:rPr>
          <w:b/>
        </w:rPr>
        <w:t>Representing Organic Matter Thermodynamics in Biogeochemical Reactions via Substrate-Explicit Modeling</w:t>
      </w:r>
    </w:p>
    <w:p w14:paraId="0F72B6E5" w14:textId="77777777" w:rsidR="00CB74E8" w:rsidRPr="00D04362" w:rsidRDefault="00CB74E8" w:rsidP="00CB74E8">
      <w:pPr>
        <w:spacing w:before="0" w:after="0"/>
        <w:contextualSpacing/>
      </w:pPr>
    </w:p>
    <w:p w14:paraId="0163B8ED" w14:textId="77777777" w:rsidR="00862637" w:rsidRPr="00D04362" w:rsidRDefault="00862637" w:rsidP="00862637">
      <w:r w:rsidRPr="00D04362">
        <w:t>Hyun-Seob Song</w:t>
      </w:r>
      <w:r w:rsidRPr="00D04362">
        <w:rPr>
          <w:vertAlign w:val="superscript"/>
        </w:rPr>
        <w:t>1,2*</w:t>
      </w:r>
      <w:r w:rsidRPr="00D04362">
        <w:t>, James C. Stegen</w:t>
      </w:r>
      <w:r w:rsidRPr="00D04362">
        <w:rPr>
          <w:vertAlign w:val="superscript"/>
        </w:rPr>
        <w:t>1</w:t>
      </w:r>
      <w:r w:rsidRPr="00D04362">
        <w:t>, Emily B. Graham</w:t>
      </w:r>
      <w:r w:rsidRPr="00D04362">
        <w:rPr>
          <w:vertAlign w:val="superscript"/>
        </w:rPr>
        <w:t>1</w:t>
      </w:r>
      <w:r w:rsidRPr="00D04362">
        <w:t>, Joon-Yong Lee</w:t>
      </w:r>
      <w:r w:rsidRPr="00D04362">
        <w:rPr>
          <w:vertAlign w:val="superscript"/>
        </w:rPr>
        <w:t>1</w:t>
      </w:r>
      <w:r w:rsidRPr="00D04362">
        <w:t>, Vanessa A. Garayburu-Caruso</w:t>
      </w:r>
      <w:r w:rsidRPr="00D04362">
        <w:rPr>
          <w:vertAlign w:val="superscript"/>
        </w:rPr>
        <w:t>1</w:t>
      </w:r>
      <w:r w:rsidRPr="00D04362">
        <w:t>, William C. Nelson</w:t>
      </w:r>
      <w:r w:rsidRPr="00D04362">
        <w:rPr>
          <w:vertAlign w:val="superscript"/>
        </w:rPr>
        <w:t>1</w:t>
      </w:r>
      <w:r w:rsidRPr="00D04362">
        <w:t>, Xingyuan Chen</w:t>
      </w:r>
      <w:r w:rsidRPr="00D04362">
        <w:rPr>
          <w:vertAlign w:val="superscript"/>
        </w:rPr>
        <w:t>1</w:t>
      </w:r>
      <w:r w:rsidRPr="00D04362">
        <w:t>, J. David Moulton</w:t>
      </w:r>
      <w:r w:rsidRPr="00D04362">
        <w:rPr>
          <w:vertAlign w:val="superscript"/>
        </w:rPr>
        <w:t>3</w:t>
      </w:r>
      <w:r w:rsidRPr="00D04362">
        <w:t>, Timothy D. Scheibe</w:t>
      </w:r>
      <w:r w:rsidRPr="00D04362">
        <w:rPr>
          <w:vertAlign w:val="superscript"/>
        </w:rPr>
        <w:t>1</w:t>
      </w:r>
    </w:p>
    <w:p w14:paraId="4BE2F361" w14:textId="77777777" w:rsidR="00862637" w:rsidRPr="00D04362" w:rsidRDefault="00862637" w:rsidP="00862637">
      <w:pPr>
        <w:spacing w:before="0" w:after="0"/>
      </w:pPr>
      <w:r w:rsidRPr="00D04362">
        <w:rPr>
          <w:vertAlign w:val="superscript"/>
        </w:rPr>
        <w:t>1</w:t>
      </w:r>
      <w:r w:rsidRPr="00D04362">
        <w:t xml:space="preserve">Pacific Northwest National Laboratory, Richland, WA 99352 </w:t>
      </w:r>
    </w:p>
    <w:p w14:paraId="5C9F9BD7" w14:textId="77777777" w:rsidR="00862637" w:rsidRPr="00D04362" w:rsidRDefault="00862637" w:rsidP="00862637">
      <w:pPr>
        <w:spacing w:before="0" w:after="0"/>
        <w:rPr>
          <w:rFonts w:cs="Times New Roman"/>
          <w:szCs w:val="20"/>
        </w:rPr>
      </w:pPr>
      <w:r w:rsidRPr="00D04362">
        <w:rPr>
          <w:rFonts w:cs="Times New Roman"/>
          <w:szCs w:val="20"/>
          <w:vertAlign w:val="superscript"/>
        </w:rPr>
        <w:t>2</w:t>
      </w:r>
      <w:r w:rsidRPr="00D04362">
        <w:rPr>
          <w:rFonts w:cs="Times New Roman"/>
          <w:szCs w:val="20"/>
        </w:rPr>
        <w:t>University of Nebraska-Lincoln, Lincoln NE 68583</w:t>
      </w:r>
    </w:p>
    <w:p w14:paraId="722A6B82" w14:textId="77777777" w:rsidR="00862637" w:rsidRPr="00D04362" w:rsidRDefault="00862637" w:rsidP="00862637">
      <w:pPr>
        <w:spacing w:before="0" w:after="0"/>
      </w:pPr>
      <w:r w:rsidRPr="00D04362">
        <w:rPr>
          <w:rFonts w:cs="Times New Roman"/>
          <w:szCs w:val="20"/>
          <w:vertAlign w:val="superscript"/>
        </w:rPr>
        <w:t>3</w:t>
      </w:r>
      <w:r w:rsidRPr="00D04362">
        <w:rPr>
          <w:rFonts w:cs="Times New Roman"/>
          <w:szCs w:val="20"/>
        </w:rPr>
        <w:t>Los Alamos National Laboratory, Los Alamos, NM 87545</w:t>
      </w:r>
    </w:p>
    <w:p w14:paraId="1357BE08" w14:textId="77777777" w:rsidR="00CB74E8" w:rsidRPr="00D04362" w:rsidRDefault="00CB74E8" w:rsidP="00CB74E8">
      <w:pPr>
        <w:spacing w:before="0" w:after="0"/>
        <w:contextualSpacing/>
        <w:rPr>
          <w:vertAlign w:val="superscript"/>
        </w:rPr>
      </w:pPr>
    </w:p>
    <w:p w14:paraId="6364A6CB" w14:textId="03EE3C20" w:rsidR="00862637" w:rsidRPr="00D04362" w:rsidRDefault="00862637" w:rsidP="00862637">
      <w:pPr>
        <w:rPr>
          <w:rStyle w:val="Hyperlink"/>
          <w:color w:val="auto"/>
        </w:rPr>
      </w:pPr>
      <w:r w:rsidRPr="00D04362">
        <w:rPr>
          <w:vertAlign w:val="superscript"/>
        </w:rPr>
        <w:t>*</w:t>
      </w:r>
      <w:r w:rsidRPr="00D04362">
        <w:t>Corresponding author: hsong5@unl.edu; 402-472-1036</w:t>
      </w:r>
    </w:p>
    <w:p w14:paraId="0E643390" w14:textId="351AC3B3" w:rsidR="00CB74E8" w:rsidRPr="00D04362" w:rsidRDefault="00CB74E8" w:rsidP="00CB74E8">
      <w:pPr>
        <w:spacing w:before="0" w:after="0"/>
        <w:contextualSpacing/>
        <w:rPr>
          <w:b/>
          <w:bCs/>
        </w:rPr>
      </w:pPr>
    </w:p>
    <w:p w14:paraId="00B41DB9" w14:textId="77777777" w:rsidR="00394EB4" w:rsidRPr="00D04362" w:rsidRDefault="00394EB4" w:rsidP="00CB74E8">
      <w:pPr>
        <w:rPr>
          <w:b/>
          <w:bCs/>
        </w:rPr>
      </w:pPr>
    </w:p>
    <w:p w14:paraId="5ED28031" w14:textId="63EC70E6" w:rsidR="00CB74E8" w:rsidRPr="00D04362" w:rsidRDefault="00394EB4" w:rsidP="00394EB4">
      <w:pPr>
        <w:jc w:val="center"/>
        <w:rPr>
          <w:b/>
          <w:bCs/>
          <w:sz w:val="28"/>
          <w:szCs w:val="28"/>
        </w:rPr>
      </w:pPr>
      <w:r w:rsidRPr="00D04362">
        <w:rPr>
          <w:b/>
          <w:bCs/>
          <w:sz w:val="28"/>
          <w:szCs w:val="28"/>
        </w:rPr>
        <w:t>Contents</w:t>
      </w:r>
    </w:p>
    <w:p w14:paraId="60B780A6" w14:textId="62E3C16F" w:rsidR="00394EB4" w:rsidRPr="00D04362" w:rsidRDefault="00394EB4" w:rsidP="00CB74E8">
      <w:r w:rsidRPr="00D04362">
        <w:t>Supplementary text</w:t>
      </w:r>
    </w:p>
    <w:p w14:paraId="5680B662" w14:textId="4870B19C" w:rsidR="00394EB4" w:rsidRPr="00D04362" w:rsidRDefault="00394EB4" w:rsidP="00394EB4">
      <w:pPr>
        <w:pStyle w:val="ListParagraph"/>
        <w:numPr>
          <w:ilvl w:val="0"/>
          <w:numId w:val="20"/>
        </w:numPr>
      </w:pPr>
      <w:r w:rsidRPr="00D04362">
        <w:t>Derivation of catabolic reaction</w:t>
      </w:r>
      <w:r w:rsidR="0078308B">
        <w:t>s</w:t>
      </w:r>
    </w:p>
    <w:p w14:paraId="1CCA2F1A" w14:textId="265A857D" w:rsidR="00394EB4" w:rsidRPr="00D04362" w:rsidRDefault="00394EB4" w:rsidP="00394EB4">
      <w:pPr>
        <w:pStyle w:val="ListParagraph"/>
        <w:numPr>
          <w:ilvl w:val="0"/>
          <w:numId w:val="20"/>
        </w:numPr>
      </w:pPr>
      <w:r w:rsidRPr="00D04362">
        <w:t>Derivation of anabolic reaction</w:t>
      </w:r>
      <w:r w:rsidR="0078308B">
        <w:t>s</w:t>
      </w:r>
    </w:p>
    <w:p w14:paraId="7204FDFC" w14:textId="1149E652" w:rsidR="00394EB4" w:rsidRPr="00D04362" w:rsidRDefault="00394EB4" w:rsidP="00394EB4">
      <w:pPr>
        <w:pStyle w:val="ListParagraph"/>
        <w:numPr>
          <w:ilvl w:val="0"/>
          <w:numId w:val="20"/>
        </w:numPr>
      </w:pPr>
      <w:r w:rsidRPr="00D04362">
        <w:t>Derivation of reaction kinetics</w:t>
      </w:r>
    </w:p>
    <w:p w14:paraId="0D530A76" w14:textId="15C8B8E1" w:rsidR="00394EB4" w:rsidRPr="00D04362" w:rsidRDefault="00394EB4" w:rsidP="00394EB4"/>
    <w:p w14:paraId="057CF1E6" w14:textId="78BE63FB" w:rsidR="00394EB4" w:rsidRPr="00D04362" w:rsidRDefault="00394EB4" w:rsidP="00394EB4">
      <w:r w:rsidRPr="00D04362">
        <w:t>Supplementary figures</w:t>
      </w:r>
    </w:p>
    <w:p w14:paraId="2558C299" w14:textId="761DC797" w:rsidR="00394EB4" w:rsidRPr="00D04362" w:rsidRDefault="00394EB4" w:rsidP="00394EB4">
      <w:pPr>
        <w:pStyle w:val="ListParagraph"/>
        <w:numPr>
          <w:ilvl w:val="0"/>
          <w:numId w:val="20"/>
        </w:numPr>
      </w:pPr>
      <w:r w:rsidRPr="00D04362">
        <w:t xml:space="preserve">Supplementary Figure S1: </w:t>
      </w:r>
      <w:r w:rsidR="006A006F" w:rsidRPr="00D04362">
        <w:t>Replot of Figure 2 with recalculation of thermodynamic functions per a unit C-mole of OC.</w:t>
      </w:r>
    </w:p>
    <w:p w14:paraId="1157B138" w14:textId="7DF79CE0" w:rsidR="00394EB4" w:rsidRPr="00D04362" w:rsidRDefault="00394EB4" w:rsidP="00394EB4">
      <w:pPr>
        <w:pStyle w:val="ListParagraph"/>
        <w:numPr>
          <w:ilvl w:val="0"/>
          <w:numId w:val="20"/>
        </w:numPr>
      </w:pPr>
      <w:r w:rsidRPr="00D04362">
        <w:t>Supplementary Figure S2:</w:t>
      </w:r>
      <w:r w:rsidR="006A006F" w:rsidRPr="00D04362">
        <w:t xml:space="preserve"> Choice of two representative sections for the comparison of the low- and high-activity zones based on the correlations of aerobic respiration with (a) the energy coupling parameter (</w:t>
      </w:r>
      <w:r w:rsidR="006A006F" w:rsidRPr="00D04362">
        <w:rPr>
          <w:noProof/>
          <w:position w:val="-6"/>
        </w:rPr>
        <w:object w:dxaOrig="220" w:dyaOrig="279" w14:anchorId="5189B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45pt;height:15.45pt;mso-width-percent:0;mso-height-percent:0;mso-width-percent:0;mso-height-percent:0" o:ole="">
            <v:imagedata r:id="rId8" o:title=""/>
          </v:shape>
          <o:OLEObject Type="Embed" ProgID="Equation.DSMT4" ShapeID="_x0000_i1025" DrawAspect="Content" ObjectID="_1662138716" r:id="rId9"/>
        </w:object>
      </w:r>
      <w:r w:rsidR="006A006F" w:rsidRPr="00D04362">
        <w:t>) and O</w:t>
      </w:r>
      <w:r w:rsidR="006A006F" w:rsidRPr="00D04362">
        <w:rPr>
          <w:vertAlign w:val="subscript"/>
        </w:rPr>
        <w:t>2</w:t>
      </w:r>
      <w:r w:rsidR="006A006F" w:rsidRPr="00D04362">
        <w:t xml:space="preserve"> consumption rate (</w:t>
      </w:r>
      <w:r w:rsidR="006A006F" w:rsidRPr="00D04362">
        <w:rPr>
          <w:noProof/>
          <w:position w:val="-14"/>
        </w:rPr>
        <w:object w:dxaOrig="480" w:dyaOrig="380" w14:anchorId="2A684A50">
          <v:shape id="_x0000_i1026" type="#_x0000_t75" alt="" style="width:21.85pt;height:21.85pt;mso-width-percent:0;mso-height-percent:0;mso-width-percent:0;mso-height-percent:0" o:ole="">
            <v:imagedata r:id="rId10" o:title=""/>
          </v:shape>
          <o:OLEObject Type="Embed" ProgID="Equation.DSMT4" ShapeID="_x0000_i1026" DrawAspect="Content" ObjectID="_1662138717" r:id="rId11"/>
        </w:object>
      </w:r>
      <w:r w:rsidR="006A006F" w:rsidRPr="00D04362">
        <w:t>).</w:t>
      </w:r>
    </w:p>
    <w:p w14:paraId="6C3664E4" w14:textId="2C5C906F" w:rsidR="00394EB4" w:rsidRPr="00D04362" w:rsidRDefault="00394EB4" w:rsidP="00394EB4">
      <w:pPr>
        <w:pStyle w:val="ListParagraph"/>
        <w:numPr>
          <w:ilvl w:val="0"/>
          <w:numId w:val="20"/>
        </w:numPr>
      </w:pPr>
      <w:r w:rsidRPr="00D04362">
        <w:t xml:space="preserve">Supplementary Figure S3: </w:t>
      </w:r>
      <w:r w:rsidR="006A006F" w:rsidRPr="00D04362">
        <w:t>Dynamic</w:t>
      </w:r>
      <w:r w:rsidR="006A006F" w:rsidRPr="00D04362">
        <w:rPr>
          <w:b/>
        </w:rPr>
        <w:t xml:space="preserve"> </w:t>
      </w:r>
      <w:r w:rsidR="006A006F" w:rsidRPr="00D04362">
        <w:t>simulations based on 500 OC randomly selected respectively from the low activity (LA) and high activity (HA) nutrient pools.</w:t>
      </w:r>
    </w:p>
    <w:p w14:paraId="658210BB" w14:textId="5902682E" w:rsidR="00CB74E8" w:rsidRPr="00D04362" w:rsidRDefault="00CB74E8">
      <w:pPr>
        <w:spacing w:before="0" w:after="200" w:line="276" w:lineRule="auto"/>
        <w:rPr>
          <w:rFonts w:ascii="Arial" w:hAnsi="Arial" w:cs="Arial"/>
          <w:b/>
          <w:bCs/>
        </w:rPr>
      </w:pPr>
    </w:p>
    <w:p w14:paraId="2588074D" w14:textId="77777777" w:rsidR="00145F6E" w:rsidRPr="00D04362" w:rsidRDefault="00145F6E">
      <w:pPr>
        <w:spacing w:before="0" w:after="200" w:line="276" w:lineRule="auto"/>
        <w:rPr>
          <w:rFonts w:ascii="Arial" w:hAnsi="Arial" w:cs="Arial"/>
          <w:b/>
          <w:bCs/>
        </w:rPr>
      </w:pPr>
      <w:r w:rsidRPr="00D04362">
        <w:rPr>
          <w:rFonts w:ascii="Arial" w:hAnsi="Arial" w:cs="Arial"/>
          <w:b/>
          <w:bCs/>
        </w:rPr>
        <w:br w:type="page"/>
      </w:r>
    </w:p>
    <w:p w14:paraId="06EC4478" w14:textId="3EF70503" w:rsidR="00CB74E8" w:rsidRPr="00D04362" w:rsidRDefault="00CB74E8" w:rsidP="00282418">
      <w:pPr>
        <w:jc w:val="center"/>
        <w:rPr>
          <w:rFonts w:ascii="Arial" w:hAnsi="Arial" w:cs="Arial"/>
          <w:b/>
          <w:bCs/>
        </w:rPr>
      </w:pPr>
      <w:r w:rsidRPr="00D04362">
        <w:rPr>
          <w:rFonts w:ascii="Arial" w:hAnsi="Arial" w:cs="Arial"/>
          <w:b/>
          <w:bCs/>
        </w:rPr>
        <w:lastRenderedPageBreak/>
        <w:t>Supplementary Text</w:t>
      </w:r>
    </w:p>
    <w:p w14:paraId="348F3329" w14:textId="79BFE1C0" w:rsidR="00CB74E8" w:rsidRPr="00D04362" w:rsidRDefault="00ED0B25" w:rsidP="00CB74E8">
      <w:pPr>
        <w:rPr>
          <w:b/>
          <w:iCs/>
        </w:rPr>
      </w:pPr>
      <w:r w:rsidRPr="00D04362">
        <w:rPr>
          <w:b/>
          <w:iCs/>
        </w:rPr>
        <w:t>Derivation of c</w:t>
      </w:r>
      <w:r w:rsidR="00CB74E8" w:rsidRPr="00D04362">
        <w:rPr>
          <w:b/>
          <w:iCs/>
        </w:rPr>
        <w:t>atabolic reaction</w:t>
      </w:r>
      <w:r w:rsidR="0078308B">
        <w:rPr>
          <w:b/>
          <w:iCs/>
        </w:rPr>
        <w:t>s</w:t>
      </w:r>
      <w:r w:rsidR="00CB74E8" w:rsidRPr="00D04362">
        <w:rPr>
          <w:b/>
          <w:iCs/>
        </w:rPr>
        <w:t xml:space="preserve"> </w:t>
      </w:r>
    </w:p>
    <w:p w14:paraId="74AA7EFD" w14:textId="77777777" w:rsidR="00CB74E8" w:rsidRPr="00D04362" w:rsidRDefault="00CB74E8" w:rsidP="00CB74E8">
      <w:r w:rsidRPr="00D04362">
        <w:t>Catabolic reaction is obtained by combining Ed (i.e., OC) and Ea (i.e., O</w:t>
      </w:r>
      <w:r w:rsidRPr="00D04362">
        <w:rPr>
          <w:vertAlign w:val="subscript"/>
        </w:rPr>
        <w:t>2</w:t>
      </w:r>
      <w:r w:rsidRPr="00D04362">
        <w:t xml:space="preserve">) half reactions (denoted by </w:t>
      </w:r>
      <w:r w:rsidRPr="00D04362">
        <w:rPr>
          <w:noProof/>
          <w:position w:val="-4"/>
        </w:rPr>
        <w:object w:dxaOrig="360" w:dyaOrig="300" w14:anchorId="2C548A71">
          <v:shape id="_x0000_i1027" type="#_x0000_t75" alt="" style="width:18.65pt;height:15.45pt;mso-width-percent:0;mso-height-percent:0;mso-width-percent:0;mso-height-percent:0" o:ole="">
            <v:imagedata r:id="rId12" o:title=""/>
          </v:shape>
          <o:OLEObject Type="Embed" ProgID="Equation.DSMT4" ShapeID="_x0000_i1027" DrawAspect="Content" ObjectID="_1662138718" r:id="rId13"/>
        </w:object>
      </w:r>
      <w:r w:rsidRPr="00D04362">
        <w:t xml:space="preserve">and </w:t>
      </w:r>
      <w:r w:rsidRPr="00D04362">
        <w:rPr>
          <w:noProof/>
          <w:position w:val="-4"/>
        </w:rPr>
        <w:object w:dxaOrig="340" w:dyaOrig="300" w14:anchorId="424FE62B">
          <v:shape id="_x0000_i1028" type="#_x0000_t75" alt="" style="width:18.65pt;height:15.45pt;mso-width-percent:0;mso-height-percent:0;mso-width-percent:0;mso-height-percent:0" o:ole="">
            <v:imagedata r:id="rId14" o:title=""/>
          </v:shape>
          <o:OLEObject Type="Embed" ProgID="Equation.DSMT4" ShapeID="_x0000_i1028" DrawAspect="Content" ObjectID="_1662138719" r:id="rId15"/>
        </w:object>
      </w:r>
      <w:r w:rsidRPr="00D04362">
        <w:t xml:space="preserve">). Following </w:t>
      </w:r>
      <w:r w:rsidRPr="00D04362">
        <w:fldChar w:fldCharType="begin"/>
      </w:r>
      <w:r w:rsidRPr="00D04362">
        <w:instrText xml:space="preserve"> ADDIN EN.CITE &lt;EndNote&gt;&lt;Cite&gt;&lt;Author&gt;LaRowe&lt;/Author&gt;&lt;Year&gt;2011&lt;/Year&gt;&lt;RecNum&gt;2&lt;/RecNum&gt;&lt;DisplayText&gt;(LaRowe and Van Cappellen, 2011)&lt;/DisplayText&gt;&lt;record&gt;&lt;rec-number&gt;2&lt;/rec-number&gt;&lt;foreign-keys&gt;&lt;key app="EN" db-id="d9se0s5vszdwf5e5d9epe5e1ea0prrspx29w" timestamp="1547514986"&gt;2&lt;/key&gt;&lt;/foreign-keys&gt;&lt;ref-type name="Journal Article"&gt;17&lt;/ref-type&gt;&lt;contributors&gt;&lt;authors&gt;&lt;author&gt;LaRowe, D. E.&lt;/author&gt;&lt;author&gt;Van Cappellen, P.&lt;/author&gt;&lt;/authors&gt;&lt;/contributors&gt;&lt;auth-address&gt;Georgia Inst Technol, Sch Earth &amp;amp; Atmospher Sci, Atlanta, GA 30332 USA&amp;#xD;Univ Utrecht, Dept Earth Sci Geochem, NL-3508 TA Utrecht, Netherlands&lt;/auth-address&gt;&lt;titles&gt;&lt;title&gt;Degradation of natural organic matter: A thermodynamic analysis&lt;/title&gt;&lt;secondary-title&gt;Geochimica Et Cosmochimica Acta&lt;/secondary-title&gt;&lt;alt-title&gt;Geochim Cosmochim Ac&lt;/alt-title&gt;&lt;/titles&gt;&lt;periodical&gt;&lt;full-title&gt;Geochimica Et Cosmochimica Acta&lt;/full-title&gt;&lt;abbr-1&gt;Geochim Cosmochim Ac&lt;/abbr-1&gt;&lt;/periodical&gt;&lt;alt-periodical&gt;&lt;full-title&gt;Geochimica Et Cosmochimica Acta&lt;/full-title&gt;&lt;abbr-1&gt;Geochim Cosmochim Ac&lt;/abbr-1&gt;&lt;/alt-periodical&gt;&lt;pages&gt;2030-2042&lt;/pages&gt;&lt;volume&gt;75&lt;/volume&gt;&lt;number&gt;8&lt;/number&gt;&lt;keywords&gt;&lt;keyword&gt;partial molal properties&lt;/keyword&gt;&lt;keyword&gt;lepidocrocite gamma-feooh&lt;/keyword&gt;&lt;keyword&gt;cretaceous black shales&lt;/keyword&gt;&lt;keyword&gt;goethite alpha-feooh&lt;/keyword&gt;&lt;keyword&gt;high-pressures&lt;/keyword&gt;&lt;keyword&gt;marine-sediments&lt;/keyword&gt;&lt;keyword&gt;elevated-temperatures&lt;/keyword&gt;&lt;keyword&gt;theoretical prediction&lt;/keyword&gt;&lt;keyword&gt;aqueous-electrolytes&lt;/keyword&gt;&lt;keyword&gt;transport-properties&lt;/keyword&gt;&lt;/keywords&gt;&lt;dates&gt;&lt;year&gt;2011&lt;/year&gt;&lt;pub-dates&gt;&lt;date&gt;Apr 15&lt;/date&gt;&lt;/pub-dates&gt;&lt;/dates&gt;&lt;isbn&gt;0016-7037&lt;/isbn&gt;&lt;accession-num&gt;WOS:000293033100002&lt;/accession-num&gt;&lt;urls&gt;&lt;related-urls&gt;&lt;url&gt;&amp;lt;Go to ISI&amp;gt;://WOS:000293033100002&lt;/url&gt;&lt;/related-urls&gt;&lt;/urls&gt;&lt;electronic-resource-num&gt;10.1016/j.gca.2011.01.020&lt;/electronic-resource-num&gt;&lt;language&gt;English&lt;/language&gt;&lt;/record&gt;&lt;/Cite&gt;&lt;/EndNote&gt;</w:instrText>
      </w:r>
      <w:r w:rsidRPr="00D04362">
        <w:fldChar w:fldCharType="separate"/>
      </w:r>
      <w:r w:rsidRPr="00D04362">
        <w:rPr>
          <w:noProof/>
        </w:rPr>
        <w:t>(LaRowe and Van Cappellen, 2011)</w:t>
      </w:r>
      <w:r w:rsidRPr="00D04362">
        <w:fldChar w:fldCharType="end"/>
      </w:r>
      <w:r w:rsidRPr="00D04362">
        <w:t xml:space="preserve">, we write </w:t>
      </w:r>
      <w:r w:rsidRPr="00D04362">
        <w:rPr>
          <w:noProof/>
          <w:position w:val="-4"/>
        </w:rPr>
        <w:object w:dxaOrig="360" w:dyaOrig="300" w14:anchorId="0E3DE6A7">
          <v:shape id="_x0000_i1029" type="#_x0000_t75" alt="" style="width:18.65pt;height:15.45pt;mso-width-percent:0;mso-height-percent:0;mso-width-percent:0;mso-height-percent:0" o:ole="">
            <v:imagedata r:id="rId12" o:title=""/>
          </v:shape>
          <o:OLEObject Type="Embed" ProgID="Equation.DSMT4" ShapeID="_x0000_i1029" DrawAspect="Content" ObjectID="_1662138720" r:id="rId16"/>
        </w:object>
      </w:r>
      <w:r w:rsidRPr="00D04362">
        <w:t xml:space="preserve">as follows: </w:t>
      </w:r>
    </w:p>
    <w:p w14:paraId="02F61F54" w14:textId="791357B9" w:rsidR="00CB74E8" w:rsidRPr="00D04362" w:rsidRDefault="00CB74E8" w:rsidP="00CB74E8">
      <w:pPr>
        <w:pStyle w:val="MTDisplayEquation"/>
      </w:pPr>
      <w:r w:rsidRPr="00D04362">
        <w:tab/>
      </w:r>
      <w:r w:rsidRPr="00D04362">
        <w:rPr>
          <w:noProof/>
          <w:position w:val="-40"/>
        </w:rPr>
        <w:object w:dxaOrig="4940" w:dyaOrig="920" w14:anchorId="77C63EC6">
          <v:shape id="_x0000_i1030" type="#_x0000_t75" alt="" style="width:246.75pt;height:49.5pt" o:ole="">
            <v:imagedata r:id="rId17" o:title=""/>
          </v:shape>
          <o:OLEObject Type="Embed" ProgID="Equation.DSMT4" ShapeID="_x0000_i1030" DrawAspect="Content" ObjectID="_1662138721" r:id="rId18"/>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bookmarkStart w:id="0" w:name="ZEqnNum941298"/>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1</w:instrText>
      </w:r>
      <w:r w:rsidR="004867DA">
        <w:rPr>
          <w:noProof/>
        </w:rPr>
        <w:fldChar w:fldCharType="end"/>
      </w:r>
      <w:r w:rsidR="00ED09D3" w:rsidRPr="00D04362">
        <w:instrText>)</w:instrText>
      </w:r>
      <w:bookmarkEnd w:id="0"/>
      <w:r w:rsidR="00ED09D3" w:rsidRPr="00D04362">
        <w:fldChar w:fldCharType="end"/>
      </w:r>
    </w:p>
    <w:p w14:paraId="5C4E69F9" w14:textId="77777777" w:rsidR="00CB74E8" w:rsidRPr="00D04362" w:rsidRDefault="00CB74E8" w:rsidP="00CB74E8">
      <w:r w:rsidRPr="00D04362">
        <w:t>The chemical formula for OC is represented as follows:</w:t>
      </w:r>
    </w:p>
    <w:p w14:paraId="25F5C201" w14:textId="0713D0E9" w:rsidR="00CB74E8" w:rsidRPr="00D04362" w:rsidRDefault="00CB74E8" w:rsidP="00CB74E8">
      <w:pPr>
        <w:pStyle w:val="MTDisplayEquation"/>
      </w:pPr>
      <w:r w:rsidRPr="00D04362">
        <w:tab/>
      </w:r>
      <w:r w:rsidRPr="00D04362">
        <w:rPr>
          <w:noProof/>
          <w:position w:val="-14"/>
        </w:rPr>
        <w:object w:dxaOrig="2120" w:dyaOrig="400" w14:anchorId="0B633548">
          <v:shape id="_x0000_i1031" type="#_x0000_t75" alt="" style="width:106.75pt;height:21.2pt" o:ole="">
            <v:imagedata r:id="rId19" o:title=""/>
          </v:shape>
          <o:OLEObject Type="Embed" ProgID="Equation.DSMT4" ShapeID="_x0000_i1031" DrawAspect="Content" ObjectID="_1662138722" r:id="rId20"/>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2</w:instrText>
      </w:r>
      <w:r w:rsidR="004867DA">
        <w:rPr>
          <w:noProof/>
        </w:rPr>
        <w:fldChar w:fldCharType="end"/>
      </w:r>
      <w:r w:rsidR="00ED09D3" w:rsidRPr="00D04362">
        <w:instrText>)</w:instrText>
      </w:r>
      <w:r w:rsidR="00ED09D3" w:rsidRPr="00D04362">
        <w:fldChar w:fldCharType="end"/>
      </w:r>
    </w:p>
    <w:p w14:paraId="5456E41A" w14:textId="53F25330" w:rsidR="00CB74E8" w:rsidRPr="00D04362" w:rsidRDefault="00CB74E8" w:rsidP="00CB74E8">
      <w:r w:rsidRPr="00D04362">
        <w:t xml:space="preserve">where the subscripts </w:t>
      </w:r>
      <w:r w:rsidRPr="00D04362">
        <w:rPr>
          <w:i/>
        </w:rPr>
        <w:t>a, b, c, d, e</w:t>
      </w:r>
      <w:r w:rsidRPr="00D04362">
        <w:t xml:space="preserve">, and </w:t>
      </w:r>
      <w:r w:rsidRPr="00D04362">
        <w:rPr>
          <w:i/>
        </w:rPr>
        <w:t>f</w:t>
      </w:r>
      <w:r w:rsidRPr="00D04362">
        <w:t xml:space="preserve"> denote the elemental composition of OC in terms of C, H, N, O, P, and S, and the superscript </w:t>
      </w:r>
      <w:r w:rsidRPr="00D04362">
        <w:rPr>
          <w:i/>
        </w:rPr>
        <w:t>z</w:t>
      </w:r>
      <w:r w:rsidRPr="00D04362">
        <w:t xml:space="preserve"> represents the net charge of OC. Stoichiometric coefficients in Eq. </w:t>
      </w:r>
      <w:r w:rsidRPr="00D04362">
        <w:fldChar w:fldCharType="begin"/>
      </w:r>
      <w:r w:rsidRPr="00D04362">
        <w:instrText xml:space="preserve"> GOTOBUTTON ZEqnNum941298  \* MERGEFORMAT </w:instrText>
      </w:r>
      <w:r w:rsidR="004867DA">
        <w:fldChar w:fldCharType="begin"/>
      </w:r>
      <w:r w:rsidR="004867DA">
        <w:instrText xml:space="preserve"> REF ZEqnNum941298 \* Charformat \! \* MERGEFORMAT </w:instrText>
      </w:r>
      <w:r w:rsidR="004867DA">
        <w:fldChar w:fldCharType="separate"/>
      </w:r>
      <w:r w:rsidR="002605E2" w:rsidRPr="00D04362">
        <w:instrText>(S1)</w:instrText>
      </w:r>
      <w:r w:rsidR="004867DA">
        <w:fldChar w:fldCharType="end"/>
      </w:r>
      <w:r w:rsidRPr="00D04362">
        <w:fldChar w:fldCharType="end"/>
      </w:r>
      <w:r w:rsidRPr="00D04362">
        <w:t xml:space="preserve"> are functions of elemental composition of OC (i.e., </w:t>
      </w:r>
      <w:r w:rsidRPr="00D04362">
        <w:rPr>
          <w:i/>
        </w:rPr>
        <w:t>a, b, c, d, e</w:t>
      </w:r>
      <w:r w:rsidRPr="00D04362">
        <w:t xml:space="preserve">, </w:t>
      </w:r>
      <w:r w:rsidRPr="00D04362">
        <w:rPr>
          <w:i/>
        </w:rPr>
        <w:t>f</w:t>
      </w:r>
      <w:r w:rsidRPr="00D04362">
        <w:t>, and</w:t>
      </w:r>
      <w:r w:rsidRPr="00D04362">
        <w:rPr>
          <w:i/>
        </w:rPr>
        <w:t xml:space="preserve"> z</w:t>
      </w:r>
      <w:r w:rsidRPr="00D04362">
        <w:t xml:space="preserve">) </w:t>
      </w:r>
      <w:r w:rsidRPr="00D04362">
        <w:fldChar w:fldCharType="begin"/>
      </w:r>
      <w:r w:rsidRPr="00D04362">
        <w:instrText xml:space="preserve"> ADDIN EN.CITE &lt;EndNote&gt;&lt;Cite&gt;&lt;Author&gt;LaRowe&lt;/Author&gt;&lt;Year&gt;2011&lt;/Year&gt;&lt;RecNum&gt;2&lt;/RecNum&gt;&lt;DisplayText&gt;(LaRowe and Van Cappellen, 2011)&lt;/DisplayText&gt;&lt;record&gt;&lt;rec-number&gt;2&lt;/rec-number&gt;&lt;foreign-keys&gt;&lt;key app="EN" db-id="d9se0s5vszdwf5e5d9epe5e1ea0prrspx29w" timestamp="1547514986"&gt;2&lt;/key&gt;&lt;/foreign-keys&gt;&lt;ref-type name="Journal Article"&gt;17&lt;/ref-type&gt;&lt;contributors&gt;&lt;authors&gt;&lt;author&gt;LaRowe, D. E.&lt;/author&gt;&lt;author&gt;Van Cappellen, P.&lt;/author&gt;&lt;/authors&gt;&lt;/contributors&gt;&lt;auth-address&gt;Georgia Inst Technol, Sch Earth &amp;amp; Atmospher Sci, Atlanta, GA 30332 USA&amp;#xD;Univ Utrecht, Dept Earth Sci Geochem, NL-3508 TA Utrecht, Netherlands&lt;/auth-address&gt;&lt;titles&gt;&lt;title&gt;Degradation of natural organic matter: A thermodynamic analysis&lt;/title&gt;&lt;secondary-title&gt;Geochimica Et Cosmochimica Acta&lt;/secondary-title&gt;&lt;alt-title&gt;Geochim Cosmochim Ac&lt;/alt-title&gt;&lt;/titles&gt;&lt;periodical&gt;&lt;full-title&gt;Geochimica Et Cosmochimica Acta&lt;/full-title&gt;&lt;abbr-1&gt;Geochim Cosmochim Ac&lt;/abbr-1&gt;&lt;/periodical&gt;&lt;alt-periodical&gt;&lt;full-title&gt;Geochimica Et Cosmochimica Acta&lt;/full-title&gt;&lt;abbr-1&gt;Geochim Cosmochim Ac&lt;/abbr-1&gt;&lt;/alt-periodical&gt;&lt;pages&gt;2030-2042&lt;/pages&gt;&lt;volume&gt;75&lt;/volume&gt;&lt;number&gt;8&lt;/number&gt;&lt;keywords&gt;&lt;keyword&gt;partial molal properties&lt;/keyword&gt;&lt;keyword&gt;lepidocrocite gamma-feooh&lt;/keyword&gt;&lt;keyword&gt;cretaceous black shales&lt;/keyword&gt;&lt;keyword&gt;goethite alpha-feooh&lt;/keyword&gt;&lt;keyword&gt;high-pressures&lt;/keyword&gt;&lt;keyword&gt;marine-sediments&lt;/keyword&gt;&lt;keyword&gt;elevated-temperatures&lt;/keyword&gt;&lt;keyword&gt;theoretical prediction&lt;/keyword&gt;&lt;keyword&gt;aqueous-electrolytes&lt;/keyword&gt;&lt;keyword&gt;transport-properties&lt;/keyword&gt;&lt;/keywords&gt;&lt;dates&gt;&lt;year&gt;2011&lt;/year&gt;&lt;pub-dates&gt;&lt;date&gt;Apr 15&lt;/date&gt;&lt;/pub-dates&gt;&lt;/dates&gt;&lt;isbn&gt;0016-7037&lt;/isbn&gt;&lt;accession-num&gt;WOS:000293033100002&lt;/accession-num&gt;&lt;urls&gt;&lt;related-urls&gt;&lt;url&gt;&amp;lt;Go to ISI&amp;gt;://WOS:000293033100002&lt;/url&gt;&lt;/related-urls&gt;&lt;/urls&gt;&lt;electronic-resource-num&gt;10.1016/j.gca.2011.01.020&lt;/electronic-resource-num&gt;&lt;language&gt;English&lt;/language&gt;&lt;/record&gt;&lt;/Cite&gt;&lt;/EndNote&gt;</w:instrText>
      </w:r>
      <w:r w:rsidRPr="00D04362">
        <w:fldChar w:fldCharType="separate"/>
      </w:r>
      <w:r w:rsidRPr="00D04362">
        <w:rPr>
          <w:noProof/>
        </w:rPr>
        <w:t>(LaRowe and Van Cappellen, 2011)</w:t>
      </w:r>
      <w:r w:rsidRPr="00D04362">
        <w:fldChar w:fldCharType="end"/>
      </w:r>
      <w:r w:rsidRPr="00D04362">
        <w:t xml:space="preserve">. The Ea half reaction </w:t>
      </w:r>
      <w:r w:rsidRPr="00D04362">
        <w:rPr>
          <w:noProof/>
          <w:position w:val="-4"/>
        </w:rPr>
        <w:object w:dxaOrig="360" w:dyaOrig="300" w14:anchorId="77FFCEAA">
          <v:shape id="_x0000_i1032" type="#_x0000_t75" alt="" style="width:19.3pt;height:15.45pt" o:ole="">
            <v:imagedata r:id="rId21" o:title=""/>
          </v:shape>
          <o:OLEObject Type="Embed" ProgID="Equation.DSMT4" ShapeID="_x0000_i1032" DrawAspect="Content" ObjectID="_1662138723" r:id="rId22"/>
        </w:object>
      </w:r>
      <w:r w:rsidRPr="00D04362">
        <w:t xml:space="preserve"> is given in a simple form as follows </w:t>
      </w:r>
      <w:r w:rsidRPr="00D04362">
        <w:fldChar w:fldCharType="begin"/>
      </w:r>
      <w:r w:rsidRPr="00D04362">
        <w:instrText xml:space="preserve"> ADDIN EN.CITE &lt;EndNote&gt;&lt;Cite&gt;&lt;Author&gt;Rittmann&lt;/Author&gt;&lt;Year&gt;2012&lt;/Year&gt;&lt;RecNum&gt;4&lt;/RecNum&gt;&lt;DisplayText&gt;(Rittmann and McCarty, 2012)&lt;/DisplayText&gt;&lt;record&gt;&lt;rec-number&gt;4&lt;/rec-number&gt;&lt;foreign-keys&gt;&lt;key app="EN" db-id="d9se0s5vszdwf5e5d9epe5e1ea0prrspx29w" timestamp="1547515807"&gt;4&lt;/key&gt;&lt;/foreign-keys&gt;&lt;ref-type name="Book"&gt;6&lt;/ref-type&gt;&lt;contributors&gt;&lt;authors&gt;&lt;author&gt;Rittmann, Bruce E&lt;/author&gt;&lt;author&gt;McCarty, Perry L&lt;/author&gt;&lt;/authors&gt;&lt;/contributors&gt;&lt;titles&gt;&lt;title&gt;Environmental biotechnology: principles and applications&lt;/title&gt;&lt;/titles&gt;&lt;dates&gt;&lt;year&gt;2012&lt;/year&gt;&lt;/dates&gt;&lt;publisher&gt;Tata McGraw-Hill Education&lt;/publisher&gt;&lt;isbn&gt;1259002888&lt;/isbn&gt;&lt;urls&gt;&lt;/urls&gt;&lt;/record&gt;&lt;/Cite&gt;&lt;/EndNote&gt;</w:instrText>
      </w:r>
      <w:r w:rsidRPr="00D04362">
        <w:fldChar w:fldCharType="separate"/>
      </w:r>
      <w:r w:rsidRPr="00D04362">
        <w:rPr>
          <w:noProof/>
        </w:rPr>
        <w:t>(Rittmann and McCarty, 2012)</w:t>
      </w:r>
      <w:r w:rsidRPr="00D04362">
        <w:fldChar w:fldCharType="end"/>
      </w:r>
      <w:r w:rsidRPr="00D04362">
        <w:t>:</w:t>
      </w:r>
    </w:p>
    <w:p w14:paraId="69BA8AAB" w14:textId="25EF5BE7" w:rsidR="00CB74E8" w:rsidRPr="00D04362" w:rsidRDefault="00CB74E8" w:rsidP="00CB74E8">
      <w:pPr>
        <w:pStyle w:val="MTDisplayEquation"/>
      </w:pPr>
      <w:r w:rsidRPr="00D04362">
        <w:tab/>
      </w:r>
      <w:r w:rsidRPr="00D04362">
        <w:rPr>
          <w:noProof/>
          <w:position w:val="-12"/>
        </w:rPr>
        <w:object w:dxaOrig="3220" w:dyaOrig="380" w14:anchorId="2BA842D9">
          <v:shape id="_x0000_i1033" type="#_x0000_t75" alt="" style="width:160.05pt;height:18pt" o:ole="">
            <v:imagedata r:id="rId23" o:title=""/>
          </v:shape>
          <o:OLEObject Type="Embed" ProgID="Equation.DSMT4" ShapeID="_x0000_i1033" DrawAspect="Content" ObjectID="_1662138724" r:id="rId24"/>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bookmarkStart w:id="1" w:name="ZEqnNum959631"/>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3</w:instrText>
      </w:r>
      <w:r w:rsidR="004867DA">
        <w:rPr>
          <w:noProof/>
        </w:rPr>
        <w:fldChar w:fldCharType="end"/>
      </w:r>
      <w:r w:rsidR="00ED09D3" w:rsidRPr="00D04362">
        <w:instrText>)</w:instrText>
      </w:r>
      <w:bookmarkEnd w:id="1"/>
      <w:r w:rsidR="00ED09D3" w:rsidRPr="00D04362">
        <w:fldChar w:fldCharType="end"/>
      </w:r>
    </w:p>
    <w:p w14:paraId="632313E1" w14:textId="77777777" w:rsidR="00CB74E8" w:rsidRPr="00D04362" w:rsidRDefault="00CB74E8" w:rsidP="00CB74E8">
      <w:r w:rsidRPr="00D04362">
        <w:t xml:space="preserve">These reactions can be represented in terms of the following two vectors of stoichiometric coefficients, i.e., </w:t>
      </w:r>
    </w:p>
    <w:p w14:paraId="4CF69982" w14:textId="12DC127F" w:rsidR="00CB74E8" w:rsidRPr="00D04362" w:rsidRDefault="00CB74E8" w:rsidP="00CB74E8">
      <w:pPr>
        <w:pStyle w:val="MTDisplayEquation"/>
      </w:pPr>
      <w:r w:rsidRPr="00D04362">
        <w:tab/>
      </w:r>
      <w:r w:rsidRPr="00D04362">
        <w:rPr>
          <w:noProof/>
          <w:position w:val="-192"/>
        </w:rPr>
        <w:object w:dxaOrig="7460" w:dyaOrig="3960" w14:anchorId="711958AB">
          <v:shape id="_x0000_i1034" type="#_x0000_t75" alt="" style="width:373pt;height:198.6pt;mso-width-percent:0;mso-height-percent:0;mso-width-percent:0;mso-height-percent:0" o:ole="">
            <v:imagedata r:id="rId25" o:title=""/>
          </v:shape>
          <o:OLEObject Type="Embed" ProgID="Equation.DSMT4" ShapeID="_x0000_i1034" DrawAspect="Content" ObjectID="_1662138725" r:id="rId26"/>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bookmarkStart w:id="2" w:name="ZEqnNum892220"/>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4</w:instrText>
      </w:r>
      <w:r w:rsidR="004867DA">
        <w:rPr>
          <w:noProof/>
        </w:rPr>
        <w:fldChar w:fldCharType="end"/>
      </w:r>
      <w:r w:rsidR="00ED09D3" w:rsidRPr="00D04362">
        <w:instrText>)</w:instrText>
      </w:r>
      <w:bookmarkEnd w:id="2"/>
      <w:r w:rsidR="00ED09D3" w:rsidRPr="00D04362">
        <w:fldChar w:fldCharType="end"/>
      </w:r>
    </w:p>
    <w:p w14:paraId="6450333F" w14:textId="77777777" w:rsidR="00CB74E8" w:rsidRPr="00D04362" w:rsidRDefault="00CB74E8" w:rsidP="00CB74E8">
      <w:r w:rsidRPr="00D04362">
        <w:t>The overall stoichiometry of the complete catabolic reaction equation (</w:t>
      </w:r>
      <w:r w:rsidRPr="00D04362">
        <w:rPr>
          <w:noProof/>
          <w:position w:val="-4"/>
        </w:rPr>
        <w:object w:dxaOrig="460" w:dyaOrig="300" w14:anchorId="746B9027">
          <v:shape id="_x0000_i1035" type="#_x0000_t75" alt="" style="width:21.2pt;height:15.45pt;mso-width-percent:0;mso-height-percent:0;mso-width-percent:0;mso-height-percent:0" o:ole="">
            <v:imagedata r:id="rId27" o:title=""/>
          </v:shape>
          <o:OLEObject Type="Embed" ProgID="Equation.DSMT4" ShapeID="_x0000_i1035" DrawAspect="Content" ObjectID="_1662138726" r:id="rId28"/>
        </w:object>
      </w:r>
      <w:r w:rsidRPr="00D04362">
        <w:t xml:space="preserve">) is obtained by combining the Ed and Ea half reactions: </w:t>
      </w:r>
    </w:p>
    <w:p w14:paraId="73CAD59F" w14:textId="77777777" w:rsidR="00CB74E8" w:rsidRPr="00D04362" w:rsidRDefault="00CB74E8" w:rsidP="00CB74E8"/>
    <w:p w14:paraId="47721784" w14:textId="5F058B16" w:rsidR="00CB74E8" w:rsidRPr="00D04362" w:rsidRDefault="00CB74E8" w:rsidP="00CB74E8">
      <w:pPr>
        <w:pStyle w:val="MTDisplayEquation"/>
      </w:pPr>
      <w:r w:rsidRPr="00D04362">
        <w:lastRenderedPageBreak/>
        <w:tab/>
      </w:r>
      <w:r w:rsidRPr="00D04362">
        <w:rPr>
          <w:noProof/>
          <w:position w:val="-28"/>
        </w:rPr>
        <w:object w:dxaOrig="1560" w:dyaOrig="680" w14:anchorId="5D862812">
          <v:shape id="_x0000_i1036" type="#_x0000_t75" alt="" style="width:77.75pt;height:33.45pt" o:ole="">
            <v:imagedata r:id="rId29" o:title=""/>
          </v:shape>
          <o:OLEObject Type="Embed" ProgID="Equation.DSMT4" ShapeID="_x0000_i1036" DrawAspect="Content" ObjectID="_1662138727" r:id="rId30"/>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5</w:instrText>
      </w:r>
      <w:r w:rsidR="004867DA">
        <w:rPr>
          <w:noProof/>
        </w:rPr>
        <w:fldChar w:fldCharType="end"/>
      </w:r>
      <w:r w:rsidR="00ED09D3" w:rsidRPr="00D04362">
        <w:instrText>)</w:instrText>
      </w:r>
      <w:r w:rsidR="00ED09D3" w:rsidRPr="00D04362">
        <w:fldChar w:fldCharType="end"/>
      </w:r>
    </w:p>
    <w:p w14:paraId="4CD0AE85" w14:textId="77777777" w:rsidR="00CB74E8" w:rsidRPr="00D04362" w:rsidRDefault="00CB74E8" w:rsidP="00CB74E8">
      <w:pPr>
        <w:pStyle w:val="MTDisplayEquation"/>
      </w:pPr>
      <w:r w:rsidRPr="00D04362">
        <w:t xml:space="preserve">where the stoichiometric coefficient vector is determined as follows such that the net electron production or consumption through </w:t>
      </w:r>
      <w:r w:rsidRPr="00D04362">
        <w:rPr>
          <w:noProof/>
          <w:position w:val="-4"/>
        </w:rPr>
        <w:object w:dxaOrig="460" w:dyaOrig="300" w14:anchorId="7EBC16C6">
          <v:shape id="_x0000_i1037" type="#_x0000_t75" alt="" style="width:21.2pt;height:15.45pt;mso-width-percent:0;mso-height-percent:0;mso-width-percent:0;mso-height-percent:0" o:ole="">
            <v:imagedata r:id="rId27" o:title=""/>
          </v:shape>
          <o:OLEObject Type="Embed" ProgID="Equation.DSMT4" ShapeID="_x0000_i1037" DrawAspect="Content" ObjectID="_1662138728" r:id="rId31"/>
        </w:object>
      </w:r>
      <w:r w:rsidRPr="00D04362">
        <w:t xml:space="preserve"> is zero, i.e.,</w:t>
      </w:r>
    </w:p>
    <w:p w14:paraId="03F4AD7C" w14:textId="4DF9EA14" w:rsidR="00CB74E8" w:rsidRPr="00D04362" w:rsidRDefault="00CB74E8" w:rsidP="00CB74E8">
      <w:pPr>
        <w:pStyle w:val="MTDisplayEquation"/>
      </w:pPr>
      <w:r w:rsidRPr="00D04362">
        <w:tab/>
      </w:r>
      <w:r w:rsidRPr="00D04362">
        <w:rPr>
          <w:noProof/>
          <w:position w:val="-34"/>
        </w:rPr>
        <w:object w:dxaOrig="3720" w:dyaOrig="720" w14:anchorId="10C29AC6">
          <v:shape id="_x0000_i1038" type="#_x0000_t75" alt="" style="width:185.05pt;height:37.3pt;mso-width-percent:0;mso-height-percent:0;mso-width-percent:0;mso-height-percent:0" o:ole="">
            <v:imagedata r:id="rId32" o:title=""/>
          </v:shape>
          <o:OLEObject Type="Embed" ProgID="Equation.DSMT4" ShapeID="_x0000_i1038" DrawAspect="Content" ObjectID="_1662138729" r:id="rId33"/>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6</w:instrText>
      </w:r>
      <w:r w:rsidR="004867DA">
        <w:rPr>
          <w:noProof/>
        </w:rPr>
        <w:fldChar w:fldCharType="end"/>
      </w:r>
      <w:r w:rsidR="00ED09D3" w:rsidRPr="00D04362">
        <w:instrText>)</w:instrText>
      </w:r>
      <w:r w:rsidR="00ED09D3" w:rsidRPr="00D04362">
        <w:fldChar w:fldCharType="end"/>
      </w:r>
    </w:p>
    <w:p w14:paraId="6DE5CD9F" w14:textId="77777777" w:rsidR="00CB74E8" w:rsidRPr="00D04362" w:rsidRDefault="00CB74E8" w:rsidP="00CB74E8"/>
    <w:p w14:paraId="240E4AB8" w14:textId="51447EAE" w:rsidR="00CB74E8" w:rsidRPr="00D04362" w:rsidRDefault="00167839" w:rsidP="00CB74E8">
      <w:pPr>
        <w:rPr>
          <w:b/>
          <w:iCs/>
        </w:rPr>
      </w:pPr>
      <w:r w:rsidRPr="00D04362">
        <w:rPr>
          <w:b/>
          <w:iCs/>
        </w:rPr>
        <w:t>Derivation of a</w:t>
      </w:r>
      <w:r w:rsidR="00CB74E8" w:rsidRPr="00D04362">
        <w:rPr>
          <w:b/>
          <w:iCs/>
        </w:rPr>
        <w:t>nabolic reaction</w:t>
      </w:r>
      <w:r w:rsidR="0078308B">
        <w:rPr>
          <w:b/>
          <w:iCs/>
        </w:rPr>
        <w:t>s</w:t>
      </w:r>
      <w:r w:rsidR="00CB74E8" w:rsidRPr="00D04362">
        <w:rPr>
          <w:b/>
          <w:iCs/>
        </w:rPr>
        <w:t xml:space="preserve"> </w:t>
      </w:r>
    </w:p>
    <w:p w14:paraId="5355355B" w14:textId="43DD5DED" w:rsidR="00CB74E8" w:rsidRPr="00D04362" w:rsidRDefault="00CB74E8" w:rsidP="00CB74E8">
      <w:r w:rsidRPr="00D04362">
        <w:t xml:space="preserve">In anabolism, the substrates (carbon source and nitrogen source) are reduced to biomass. When the carbon source is the same as the electron donor (i.e., </w:t>
      </w:r>
      <w:r w:rsidRPr="00D04362">
        <w:rPr>
          <w:iCs/>
        </w:rPr>
        <w:t>OC</w:t>
      </w:r>
      <w:r w:rsidRPr="00D04362">
        <w:t xml:space="preserve">) (which is true for heterotrophic </w:t>
      </w:r>
      <w:r w:rsidR="00D91BE1" w:rsidRPr="00D04362">
        <w:t>organisms</w:t>
      </w:r>
      <w:r w:rsidRPr="00D04362">
        <w:t>) and the nitrogen source is ammonium, the anabolic reaction equation (</w:t>
      </w:r>
      <w:r w:rsidRPr="00D04362">
        <w:rPr>
          <w:noProof/>
          <w:position w:val="-4"/>
        </w:rPr>
        <w:object w:dxaOrig="499" w:dyaOrig="300" w14:anchorId="14B866B0">
          <v:shape id="_x0000_i1039" type="#_x0000_t75" alt="" style="width:24.45pt;height:15.45pt" o:ole="">
            <v:imagedata r:id="rId34" o:title=""/>
          </v:shape>
          <o:OLEObject Type="Embed" ProgID="Equation.DSMT4" ShapeID="_x0000_i1039" DrawAspect="Content" ObjectID="_1662138730" r:id="rId35"/>
        </w:object>
      </w:r>
      <w:r w:rsidRPr="00D04362">
        <w:t>) can be written as follows:</w:t>
      </w:r>
    </w:p>
    <w:p w14:paraId="457FB83B" w14:textId="3759A100" w:rsidR="00CB74E8" w:rsidRPr="00D04362" w:rsidRDefault="00CB74E8" w:rsidP="00CB74E8">
      <w:pPr>
        <w:pStyle w:val="MTDisplayEquation"/>
      </w:pPr>
      <w:r w:rsidRPr="00D04362">
        <w:tab/>
      </w:r>
      <w:r w:rsidRPr="00D04362">
        <w:rPr>
          <w:noProof/>
          <w:position w:val="-40"/>
        </w:rPr>
        <w:object w:dxaOrig="5940" w:dyaOrig="920" w14:anchorId="01482FBB">
          <v:shape id="_x0000_i1040" type="#_x0000_t75" alt="" style="width:297pt;height:44.35pt" o:ole="">
            <v:imagedata r:id="rId36" o:title=""/>
          </v:shape>
          <o:OLEObject Type="Embed" ProgID="Equation.DSMT4" ShapeID="_x0000_i1040" DrawAspect="Content" ObjectID="_1662138731" r:id="rId37"/>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bookmarkStart w:id="3" w:name="ZEqnNum125581"/>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7</w:instrText>
      </w:r>
      <w:r w:rsidR="004867DA">
        <w:rPr>
          <w:noProof/>
        </w:rPr>
        <w:fldChar w:fldCharType="end"/>
      </w:r>
      <w:r w:rsidR="00ED09D3" w:rsidRPr="00D04362">
        <w:instrText>)</w:instrText>
      </w:r>
      <w:bookmarkEnd w:id="3"/>
      <w:r w:rsidR="00ED09D3" w:rsidRPr="00D04362">
        <w:fldChar w:fldCharType="end"/>
      </w:r>
    </w:p>
    <w:p w14:paraId="50A599D9" w14:textId="77777777" w:rsidR="00CB74E8" w:rsidRPr="00D04362" w:rsidRDefault="00CB74E8" w:rsidP="00CB74E8">
      <w:r w:rsidRPr="00D04362">
        <w:t xml:space="preserve">Similar to previous cases, the vector of stoichiometric coefficients in </w:t>
      </w:r>
      <w:r w:rsidRPr="00D04362">
        <w:rPr>
          <w:noProof/>
          <w:position w:val="-4"/>
        </w:rPr>
        <w:object w:dxaOrig="499" w:dyaOrig="300" w14:anchorId="495BB87A">
          <v:shape id="_x0000_i1041" type="#_x0000_t75" alt="" style="width:25.05pt;height:15.45pt" o:ole="">
            <v:imagedata r:id="rId38" o:title=""/>
          </v:shape>
          <o:OLEObject Type="Embed" ProgID="Equation.DSMT4" ShapeID="_x0000_i1041" DrawAspect="Content" ObjectID="_1662138732" r:id="rId39"/>
        </w:object>
      </w:r>
      <w:r w:rsidRPr="00D04362">
        <w:t xml:space="preserve"> (denoted by </w:t>
      </w:r>
      <w:r w:rsidRPr="00D04362">
        <w:rPr>
          <w:noProof/>
          <w:position w:val="-10"/>
        </w:rPr>
        <w:object w:dxaOrig="460" w:dyaOrig="360" w14:anchorId="5EC10C37">
          <v:shape id="_x0000_i1042" type="#_x0000_t75" alt="" style="width:22.5pt;height:18.65pt;mso-width-percent:0;mso-height-percent:0;mso-width-percent:0;mso-height-percent:0" o:ole="">
            <v:imagedata r:id="rId40" o:title=""/>
          </v:shape>
          <o:OLEObject Type="Embed" ProgID="Equation.DSMT4" ShapeID="_x0000_i1042" DrawAspect="Content" ObjectID="_1662138733" r:id="rId41"/>
        </w:object>
      </w:r>
      <w:r w:rsidRPr="00D04362">
        <w:t xml:space="preserve">) can also be represented as a function of composition of OC to meet elemental mass balances, i.e., </w:t>
      </w:r>
    </w:p>
    <w:p w14:paraId="470552D4" w14:textId="747ACF40" w:rsidR="00CB74E8" w:rsidRPr="00D04362" w:rsidRDefault="00CB74E8" w:rsidP="00CB74E8">
      <w:pPr>
        <w:pStyle w:val="MTDisplayEquation"/>
      </w:pPr>
      <w:r w:rsidRPr="00D04362">
        <w:tab/>
      </w:r>
      <w:r w:rsidRPr="00D04362">
        <w:rPr>
          <w:noProof/>
          <w:position w:val="-192"/>
        </w:rPr>
        <w:object w:dxaOrig="6120" w:dyaOrig="3960" w14:anchorId="2EFE94DD">
          <v:shape id="_x0000_i1043" type="#_x0000_t75" alt="" style="width:306.6pt;height:198.6pt;mso-width-percent:0;mso-height-percent:0;mso-width-percent:0;mso-height-percent:0" o:ole="">
            <v:imagedata r:id="rId42" o:title=""/>
          </v:shape>
          <o:OLEObject Type="Embed" ProgID="Equation.DSMT4" ShapeID="_x0000_i1043" DrawAspect="Content" ObjectID="_1662138734" r:id="rId43"/>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8</w:instrText>
      </w:r>
      <w:r w:rsidR="004867DA">
        <w:rPr>
          <w:noProof/>
        </w:rPr>
        <w:fldChar w:fldCharType="end"/>
      </w:r>
      <w:r w:rsidR="00ED09D3" w:rsidRPr="00D04362">
        <w:instrText>)</w:instrText>
      </w:r>
      <w:r w:rsidR="00ED09D3" w:rsidRPr="00D04362">
        <w:fldChar w:fldCharType="end"/>
      </w:r>
    </w:p>
    <w:p w14:paraId="7757F932" w14:textId="4A123F3C" w:rsidR="00CB74E8" w:rsidRPr="00D04362" w:rsidRDefault="00CB74E8" w:rsidP="00CB74E8">
      <w:r w:rsidRPr="00D04362">
        <w:t xml:space="preserve">Note that </w:t>
      </w:r>
      <w:r w:rsidRPr="00D04362">
        <w:rPr>
          <w:noProof/>
          <w:position w:val="-14"/>
        </w:rPr>
        <w:object w:dxaOrig="460" w:dyaOrig="400" w14:anchorId="77A1B7ED">
          <v:shape id="_x0000_i1044" type="#_x0000_t75" alt="" style="width:22.5pt;height:21.2pt;mso-width-percent:0;mso-height-percent:0;mso-width-percent:0;mso-height-percent:0" o:ole="">
            <v:imagedata r:id="rId44" o:title=""/>
          </v:shape>
          <o:OLEObject Type="Embed" ProgID="Equation.DSMT4" ShapeID="_x0000_i1044" DrawAspect="Content" ObjectID="_1662138735" r:id="rId45"/>
        </w:object>
      </w:r>
      <w:r w:rsidRPr="00D04362">
        <w:t xml:space="preserve">can be zero, negative or positive depending on the difference of oxidation states between the biomass and substrates (denoted by </w:t>
      </w:r>
      <w:r w:rsidRPr="00D04362">
        <w:rPr>
          <w:noProof/>
          <w:position w:val="-12"/>
        </w:rPr>
        <w:object w:dxaOrig="499" w:dyaOrig="360" w14:anchorId="1219F08B">
          <v:shape id="_x0000_i1045" type="#_x0000_t75" alt="" style="width:22.5pt;height:18.65pt;mso-width-percent:0;mso-height-percent:0;mso-width-percent:0;mso-height-percent:0" o:ole="">
            <v:imagedata r:id="rId46" o:title=""/>
          </v:shape>
          <o:OLEObject Type="Embed" ProgID="Equation.DSMT4" ShapeID="_x0000_i1045" DrawAspect="Content" ObjectID="_1662138736" r:id="rId47"/>
        </w:object>
      </w:r>
      <w:r w:rsidRPr="00D04362">
        <w:t xml:space="preserve"> and </w:t>
      </w:r>
      <w:r w:rsidRPr="00D04362">
        <w:rPr>
          <w:noProof/>
          <w:position w:val="-12"/>
        </w:rPr>
        <w:object w:dxaOrig="400" w:dyaOrig="360" w14:anchorId="082DB846">
          <v:shape id="_x0000_i1046" type="#_x0000_t75" alt="" style="width:21.2pt;height:18.65pt;mso-width-percent:0;mso-height-percent:0;mso-width-percent:0;mso-height-percent:0" o:ole="">
            <v:imagedata r:id="rId48" o:title=""/>
          </v:shape>
          <o:OLEObject Type="Embed" ProgID="Equation.DSMT4" ShapeID="_x0000_i1046" DrawAspect="Content" ObjectID="_1662138737" r:id="rId49"/>
        </w:object>
      </w:r>
      <w:r w:rsidRPr="00D04362">
        <w:t xml:space="preserve">). If </w:t>
      </w:r>
      <w:r w:rsidRPr="00D04362">
        <w:rPr>
          <w:noProof/>
          <w:position w:val="-12"/>
        </w:rPr>
        <w:object w:dxaOrig="1080" w:dyaOrig="360" w14:anchorId="5D031C9C">
          <v:shape id="_x0000_i1047" type="#_x0000_t75" alt="" style="width:52.05pt;height:18.65pt;mso-width-percent:0;mso-height-percent:0;mso-width-percent:0;mso-height-percent:0" o:ole="">
            <v:imagedata r:id="rId50" o:title=""/>
          </v:shape>
          <o:OLEObject Type="Embed" ProgID="Equation.DSMT4" ShapeID="_x0000_i1047" DrawAspect="Content" ObjectID="_1662138738" r:id="rId51"/>
        </w:object>
      </w:r>
      <w:r w:rsidRPr="00D04362">
        <w:t xml:space="preserve"> (or </w:t>
      </w:r>
      <w:r w:rsidRPr="00D04362">
        <w:rPr>
          <w:noProof/>
          <w:position w:val="-14"/>
        </w:rPr>
        <w:object w:dxaOrig="820" w:dyaOrig="400" w14:anchorId="5B6D7BF0">
          <v:shape id="_x0000_i1048" type="#_x0000_t75" alt="" style="width:41.15pt;height:21.2pt;mso-width-percent:0;mso-height-percent:0;mso-width-percent:0;mso-height-percent:0" o:ole="">
            <v:imagedata r:id="rId52" o:title=""/>
          </v:shape>
          <o:OLEObject Type="Embed" ProgID="Equation.DSMT4" ShapeID="_x0000_i1048" DrawAspect="Content" ObjectID="_1662138739" r:id="rId53"/>
        </w:object>
      </w:r>
      <w:r w:rsidRPr="00D04362">
        <w:t xml:space="preserve">), it implies electrons are required to convert substrates to biomass; if </w:t>
      </w:r>
      <w:r w:rsidRPr="00D04362">
        <w:rPr>
          <w:noProof/>
          <w:position w:val="-12"/>
        </w:rPr>
        <w:object w:dxaOrig="1100" w:dyaOrig="360" w14:anchorId="12389C47">
          <v:shape id="_x0000_i1049" type="#_x0000_t75" alt="" style="width:54.65pt;height:18.65pt;mso-width-percent:0;mso-height-percent:0;mso-width-percent:0;mso-height-percent:0" o:ole="">
            <v:imagedata r:id="rId54" o:title=""/>
          </v:shape>
          <o:OLEObject Type="Embed" ProgID="Equation.DSMT4" ShapeID="_x0000_i1049" DrawAspect="Content" ObjectID="_1662138740" r:id="rId55"/>
        </w:object>
      </w:r>
      <w:r w:rsidRPr="00D04362">
        <w:t xml:space="preserve"> (or </w:t>
      </w:r>
      <w:r w:rsidRPr="00D04362">
        <w:rPr>
          <w:noProof/>
          <w:position w:val="-14"/>
        </w:rPr>
        <w:object w:dxaOrig="820" w:dyaOrig="400" w14:anchorId="20D00D76">
          <v:shape id="_x0000_i1050" type="#_x0000_t75" alt="" style="width:41.15pt;height:21.2pt;mso-width-percent:0;mso-height-percent:0;mso-width-percent:0;mso-height-percent:0" o:ole="">
            <v:imagedata r:id="rId56" o:title=""/>
          </v:shape>
          <o:OLEObject Type="Embed" ProgID="Equation.DSMT4" ShapeID="_x0000_i1050" DrawAspect="Content" ObjectID="_1662138741" r:id="rId57"/>
        </w:object>
      </w:r>
      <w:r w:rsidRPr="00D04362">
        <w:t xml:space="preserve">), the conversion of substrates to biomass produces electrons, requiring an electron acceptor. In combination with electron donor or acceptor equation defined in Eqs. </w:t>
      </w:r>
      <w:r w:rsidRPr="00D04362">
        <w:fldChar w:fldCharType="begin"/>
      </w:r>
      <w:r w:rsidRPr="00D04362">
        <w:instrText xml:space="preserve"> GOTOBUTTON ZEqnNum941298  \* MERGEFORMAT </w:instrText>
      </w:r>
      <w:r w:rsidR="004867DA">
        <w:fldChar w:fldCharType="begin"/>
      </w:r>
      <w:r w:rsidR="004867DA">
        <w:instrText xml:space="preserve"> REF ZEqnNum941298 \* Charformat \! \* MERGEF</w:instrText>
      </w:r>
      <w:r w:rsidR="004867DA">
        <w:instrText xml:space="preserve">ORMAT </w:instrText>
      </w:r>
      <w:r w:rsidR="004867DA">
        <w:fldChar w:fldCharType="separate"/>
      </w:r>
      <w:r w:rsidR="002605E2" w:rsidRPr="00D04362">
        <w:instrText>(S1)</w:instrText>
      </w:r>
      <w:r w:rsidR="004867DA">
        <w:fldChar w:fldCharType="end"/>
      </w:r>
      <w:r w:rsidRPr="00D04362">
        <w:fldChar w:fldCharType="end"/>
      </w:r>
      <w:r w:rsidRPr="00D04362">
        <w:t xml:space="preserve">, </w:t>
      </w:r>
      <w:r w:rsidRPr="00D04362">
        <w:fldChar w:fldCharType="begin"/>
      </w:r>
      <w:r w:rsidRPr="00D04362">
        <w:instrText xml:space="preserve"> GOTOBUTTON ZEqnNum959631  \* MERGEFORMAT </w:instrText>
      </w:r>
      <w:r w:rsidR="004867DA">
        <w:fldChar w:fldCharType="begin"/>
      </w:r>
      <w:r w:rsidR="004867DA">
        <w:instrText xml:space="preserve"> REF ZEqnNum959631 \* Charformat \! \* MERGEFORMAT </w:instrText>
      </w:r>
      <w:r w:rsidR="004867DA">
        <w:fldChar w:fldCharType="separate"/>
      </w:r>
      <w:r w:rsidR="002605E2" w:rsidRPr="00D04362">
        <w:instrText>(S3)</w:instrText>
      </w:r>
      <w:r w:rsidR="004867DA">
        <w:fldChar w:fldCharType="end"/>
      </w:r>
      <w:r w:rsidRPr="00D04362">
        <w:fldChar w:fldCharType="end"/>
      </w:r>
      <w:r w:rsidRPr="00D04362">
        <w:t xml:space="preserve">, and </w:t>
      </w:r>
      <w:r w:rsidRPr="00D04362">
        <w:fldChar w:fldCharType="begin"/>
      </w:r>
      <w:r w:rsidRPr="00D04362">
        <w:instrText xml:space="preserve"> GOTOBUTTON ZEqnNum892220  \* MERGEFORMAT </w:instrText>
      </w:r>
      <w:r w:rsidR="004867DA">
        <w:fldChar w:fldCharType="begin"/>
      </w:r>
      <w:r w:rsidR="004867DA">
        <w:instrText xml:space="preserve"> REF ZEqnNum892220 \* Charformat \! \* MERGEFORMAT </w:instrText>
      </w:r>
      <w:r w:rsidR="004867DA">
        <w:fldChar w:fldCharType="separate"/>
      </w:r>
      <w:r w:rsidR="002605E2" w:rsidRPr="00D04362">
        <w:instrText>(S4)</w:instrText>
      </w:r>
      <w:r w:rsidR="004867DA">
        <w:fldChar w:fldCharType="end"/>
      </w:r>
      <w:r w:rsidRPr="00D04362">
        <w:fldChar w:fldCharType="end"/>
      </w:r>
      <w:r w:rsidRPr="00D04362">
        <w:t>, the anabolic reaction equation (</w:t>
      </w:r>
      <w:r w:rsidRPr="00D04362">
        <w:rPr>
          <w:noProof/>
          <w:position w:val="-4"/>
        </w:rPr>
        <w:object w:dxaOrig="420" w:dyaOrig="300" w14:anchorId="68A12E26">
          <v:shape id="_x0000_i1051" type="#_x0000_t75" alt="" style="width:21.2pt;height:15.45pt;mso-width-percent:0;mso-height-percent:0;mso-width-percent:0;mso-height-percent:0" o:ole="">
            <v:imagedata r:id="rId58" o:title=""/>
          </v:shape>
          <o:OLEObject Type="Embed" ProgID="Equation.DSMT4" ShapeID="_x0000_i1051" DrawAspect="Content" ObjectID="_1662138742" r:id="rId59"/>
        </w:object>
      </w:r>
      <w:r w:rsidRPr="00D04362">
        <w:t xml:space="preserve">) is finally represented without the electron term as follows: </w:t>
      </w:r>
    </w:p>
    <w:p w14:paraId="67CC8A0D" w14:textId="6D78090A" w:rsidR="00CB74E8" w:rsidRPr="00D04362" w:rsidRDefault="00CB74E8" w:rsidP="00CB74E8">
      <w:pPr>
        <w:pStyle w:val="MTDisplayEquation"/>
      </w:pPr>
      <w:r w:rsidRPr="00D04362">
        <w:lastRenderedPageBreak/>
        <w:tab/>
      </w:r>
      <w:r w:rsidRPr="00D04362">
        <w:rPr>
          <w:noProof/>
          <w:position w:val="-40"/>
        </w:rPr>
        <w:object w:dxaOrig="5120" w:dyaOrig="920" w14:anchorId="0A74502F">
          <v:shape id="_x0000_i1052" type="#_x0000_t75" alt="" style="width:257pt;height:45pt" o:ole="">
            <v:imagedata r:id="rId60" o:title=""/>
          </v:shape>
          <o:OLEObject Type="Embed" ProgID="Equation.DSMT4" ShapeID="_x0000_i1052" DrawAspect="Content" ObjectID="_1662138743" r:id="rId61"/>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bookmarkStart w:id="4" w:name="ZEqnNum797445"/>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9</w:instrText>
      </w:r>
      <w:r w:rsidR="004867DA">
        <w:rPr>
          <w:noProof/>
        </w:rPr>
        <w:fldChar w:fldCharType="end"/>
      </w:r>
      <w:r w:rsidR="00ED09D3" w:rsidRPr="00D04362">
        <w:instrText>)</w:instrText>
      </w:r>
      <w:bookmarkEnd w:id="4"/>
      <w:r w:rsidR="00ED09D3" w:rsidRPr="00D04362">
        <w:fldChar w:fldCharType="end"/>
      </w:r>
    </w:p>
    <w:p w14:paraId="1D750BC0" w14:textId="77777777" w:rsidR="00CB74E8" w:rsidRPr="00D04362" w:rsidRDefault="00CB74E8" w:rsidP="00CB74E8">
      <w:r w:rsidRPr="00D04362">
        <w:t>where the vector of stoichiometric coefficients is given as follows:</w:t>
      </w:r>
    </w:p>
    <w:p w14:paraId="5FAB400B" w14:textId="0C0E1D52" w:rsidR="00CB74E8" w:rsidRPr="00D04362" w:rsidRDefault="00CB74E8" w:rsidP="00CB74E8">
      <w:pPr>
        <w:pStyle w:val="MTDisplayEquation"/>
      </w:pPr>
      <w:r w:rsidRPr="00D04362">
        <w:tab/>
      </w:r>
      <w:r w:rsidRPr="00D04362">
        <w:rPr>
          <w:noProof/>
          <w:position w:val="-66"/>
        </w:rPr>
        <w:object w:dxaOrig="3940" w:dyaOrig="1440" w14:anchorId="2B34CF87">
          <v:shape id="_x0000_i1053" type="#_x0000_t75" alt="" style="width:196.6pt;height:1in;mso-width-percent:0;mso-height-percent:0;mso-width-percent:0;mso-height-percent:0" o:ole="">
            <v:imagedata r:id="rId62" o:title=""/>
          </v:shape>
          <o:OLEObject Type="Embed" ProgID="Equation.DSMT4" ShapeID="_x0000_i1053" DrawAspect="Content" ObjectID="_1662138744" r:id="rId63"/>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10</w:instrText>
      </w:r>
      <w:r w:rsidR="004867DA">
        <w:rPr>
          <w:noProof/>
        </w:rPr>
        <w:fldChar w:fldCharType="end"/>
      </w:r>
      <w:r w:rsidR="00ED09D3" w:rsidRPr="00D04362">
        <w:instrText>)</w:instrText>
      </w:r>
      <w:r w:rsidR="00ED09D3" w:rsidRPr="00D04362">
        <w:fldChar w:fldCharType="end"/>
      </w:r>
    </w:p>
    <w:p w14:paraId="47C4CEE5" w14:textId="77777777" w:rsidR="00CB74E8" w:rsidRPr="00D04362" w:rsidRDefault="00CB74E8" w:rsidP="00CB74E8"/>
    <w:p w14:paraId="089001C9" w14:textId="2BAA41D7" w:rsidR="00ED0B25" w:rsidRPr="00D04362" w:rsidRDefault="00ED0B25" w:rsidP="00ED0B25">
      <w:pPr>
        <w:rPr>
          <w:b/>
        </w:rPr>
      </w:pPr>
      <w:r w:rsidRPr="00D04362">
        <w:rPr>
          <w:b/>
        </w:rPr>
        <w:t xml:space="preserve">Reaction kinetics </w:t>
      </w:r>
    </w:p>
    <w:p w14:paraId="17A131AC" w14:textId="3A3E2F4F" w:rsidR="00ED0B25" w:rsidRPr="00D04362" w:rsidRDefault="00ED0B25" w:rsidP="00ED0B25">
      <w:r w:rsidRPr="00D04362">
        <w:t xml:space="preserve">The foregoing sections show how to systematically convert chemical formula of OC to stoichiometric equations for oxidative OC degradation reactions including catabolic, anabolic, and metabolic reactions. As a next step, we extend it to formulate kinetics using the microbial growth thermodynamic theory developed by </w:t>
      </w:r>
      <w:r w:rsidRPr="00D04362">
        <w:rPr>
          <w:noProof/>
        </w:rPr>
        <w:t>Desmond-Le Quemener and Bouchez</w:t>
      </w:r>
      <w:r w:rsidRPr="00D04362">
        <w:t xml:space="preserve"> (2014). They considered microbial growth through the following two steps: (1) reversible transition of a microbe (</w:t>
      </w:r>
      <w:r w:rsidR="00D04362" w:rsidRPr="00D04362">
        <w:rPr>
          <w:noProof/>
          <w:position w:val="-4"/>
        </w:rPr>
        <w:object w:dxaOrig="260" w:dyaOrig="260" w14:anchorId="7DD3CBE1">
          <v:shape id="_x0000_i1054" type="#_x0000_t75" alt="" style="width:14.4pt;height:13.5pt" o:ole="">
            <v:imagedata r:id="rId64" o:title=""/>
          </v:shape>
          <o:OLEObject Type="Embed" ProgID="Equation.DSMT4" ShapeID="_x0000_i1054" DrawAspect="Content" ObjectID="_1662138745" r:id="rId65"/>
        </w:object>
      </w:r>
      <w:r w:rsidRPr="00D04362">
        <w:t>) to an activated state (</w:t>
      </w:r>
      <w:r w:rsidR="00D04362" w:rsidRPr="00D04362">
        <w:rPr>
          <w:noProof/>
          <w:position w:val="-4"/>
        </w:rPr>
        <w:object w:dxaOrig="320" w:dyaOrig="300" w14:anchorId="41417C09">
          <v:shape id="_x0000_i1055" type="#_x0000_t75" alt="" style="width:15.1pt;height:15.45pt" o:ole="">
            <v:imagedata r:id="rId66" o:title=""/>
          </v:shape>
          <o:OLEObject Type="Embed" ProgID="Equation.DSMT4" ShapeID="_x0000_i1055" DrawAspect="Content" ObjectID="_1662138746" r:id="rId67"/>
        </w:object>
      </w:r>
      <w:r w:rsidRPr="00D04362">
        <w:t>) and (2) irreversible cell division from the activated cell to two daughter cells, i.e.,</w:t>
      </w:r>
    </w:p>
    <w:p w14:paraId="4C2E996B" w14:textId="2BBB60EE" w:rsidR="00ED0B25" w:rsidRPr="00D04362" w:rsidRDefault="00ED0B25" w:rsidP="00ED0B25">
      <w:pPr>
        <w:pStyle w:val="MTDisplayEquation"/>
      </w:pPr>
      <w:r w:rsidRPr="00D04362">
        <w:tab/>
      </w:r>
      <w:r w:rsidRPr="00D04362">
        <w:rPr>
          <w:noProof/>
          <w:position w:val="-6"/>
        </w:rPr>
        <w:object w:dxaOrig="1520" w:dyaOrig="320" w14:anchorId="08404482">
          <v:shape id="_x0000_i1056" type="#_x0000_t75" alt="" style="width:75.85pt;height:16.05pt" o:ole="">
            <v:imagedata r:id="rId68" o:title=""/>
          </v:shape>
          <o:OLEObject Type="Embed" ProgID="Equation.DSMT4" ShapeID="_x0000_i1056" DrawAspect="Content" ObjectID="_1662138747" r:id="rId69"/>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11</w:instrText>
      </w:r>
      <w:r w:rsidR="004867DA">
        <w:rPr>
          <w:noProof/>
        </w:rPr>
        <w:fldChar w:fldCharType="end"/>
      </w:r>
      <w:r w:rsidR="00ED09D3" w:rsidRPr="00D04362">
        <w:instrText>)</w:instrText>
      </w:r>
      <w:r w:rsidR="00ED09D3" w:rsidRPr="00D04362">
        <w:fldChar w:fldCharType="end"/>
      </w:r>
    </w:p>
    <w:p w14:paraId="1CA09416" w14:textId="77777777" w:rsidR="00ED0B25" w:rsidRPr="00D04362" w:rsidRDefault="00ED0B25" w:rsidP="00ED0B25">
      <w:r w:rsidRPr="00D04362">
        <w:t xml:space="preserve">Similar to the classical transition state theory in chemical reaction </w:t>
      </w:r>
      <w:r w:rsidRPr="00D04362">
        <w:fldChar w:fldCharType="begin"/>
      </w:r>
      <w:r w:rsidRPr="00D04362">
        <w:instrText xml:space="preserve"> ADDIN EN.CITE &lt;EndNote&gt;&lt;Cite&gt;&lt;Author&gt;Truhlar&lt;/Author&gt;&lt;Year&gt;1996&lt;/Year&gt;&lt;RecNum&gt;41&lt;/RecNum&gt;&lt;DisplayText&gt;(Truhlar et al., 1996)&lt;/DisplayText&gt;&lt;record&gt;&lt;rec-number&gt;41&lt;/rec-number&gt;&lt;foreign-keys&gt;&lt;key app="EN" db-id="d9se0s5vszdwf5e5d9epe5e1ea0prrspx29w" timestamp="1562351066"&gt;41&lt;/key&gt;&lt;/foreign-keys&gt;&lt;ref-type name="Journal Article"&gt;17&lt;/ref-type&gt;&lt;contributors&gt;&lt;authors&gt;&lt;author&gt;Truhlar, D. G.&lt;/author&gt;&lt;author&gt;Garrett, B. C.&lt;/author&gt;&lt;author&gt;Klippenstein, S. J.&lt;/author&gt;&lt;/authors&gt;&lt;/contributors&gt;&lt;auth-address&gt;Univ Minnesota, Inst Supercomp, Minneapolis, Mn 55455 USA&amp;#xD;Pacific Nw Lab, Environm Mol Sci Lab, Richland, Wa 99352 USA&amp;#xD;Case Western Reserve Univ, Dept Chem, Cleveland, Oh 44106 USA&lt;/auth-address&gt;&lt;titles&gt;&lt;title&gt;Current status of transition-state theory&lt;/title&gt;&lt;secondary-title&gt;Journal of Physical Chemistry&lt;/secondary-title&gt;&lt;alt-title&gt;J Phys Chem-Us&lt;/alt-title&gt;&lt;/titles&gt;&lt;periodical&gt;&lt;full-title&gt;Journal of Physical Chemistry&lt;/full-title&gt;&lt;abbr-1&gt;J Phys Chem-Us&lt;/abbr-1&gt;&lt;/periodical&gt;&lt;alt-periodical&gt;&lt;full-title&gt;Journal of Physical Chemistry&lt;/full-title&gt;&lt;abbr-1&gt;J Phys Chem-Us&lt;/abbr-1&gt;&lt;/alt-periodical&gt;&lt;pages&gt;12771-12800&lt;/pages&gt;&lt;volume&gt;100&lt;/volume&gt;&lt;number&gt;31&lt;/number&gt;&lt;keywords&gt;&lt;keyword&gt;activated-rate-processes&lt;/keyword&gt;&lt;keyword&gt;potential-energy surfaces&lt;/keyword&gt;&lt;keyword&gt;chemical-reaction rates&lt;/keyword&gt;&lt;keyword&gt;proton-transfer reactions&lt;/keyword&gt;&lt;keyword&gt;cumulative reaction probabilities&lt;/keyword&gt;&lt;keyword&gt;thermal rate constants&lt;/keyword&gt;&lt;keyword&gt;ab-initio dynamics&lt;/keyword&gt;&lt;keyword&gt;phase-space theory&lt;/keyword&gt;&lt;keyword&gt;mechanical rate constants&lt;/keyword&gt;&lt;keyword&gt;density-functional theory&lt;/keyword&gt;&lt;/keywords&gt;&lt;dates&gt;&lt;year&gt;1996&lt;/year&gt;&lt;pub-dates&gt;&lt;date&gt;Aug 1&lt;/date&gt;&lt;/pub-dates&gt;&lt;/dates&gt;&lt;isbn&gt;0022-3654&lt;/isbn&gt;&lt;accession-num&gt;WOS:A1996VA59500008&lt;/accession-num&gt;&lt;urls&gt;&lt;related-urls&gt;&lt;url&gt;&amp;lt;Go to ISI&amp;gt;://WOS:A1996VA59500008&lt;/url&gt;&lt;/related-urls&gt;&lt;/urls&gt;&lt;electronic-resource-num&gt;DOI 10.1021/jp953748q&lt;/electronic-resource-num&gt;&lt;language&gt;English&lt;/language&gt;&lt;/record&gt;&lt;/Cite&gt;&lt;/EndNote&gt;</w:instrText>
      </w:r>
      <w:r w:rsidRPr="00D04362">
        <w:fldChar w:fldCharType="separate"/>
      </w:r>
      <w:r w:rsidRPr="00D04362">
        <w:rPr>
          <w:noProof/>
        </w:rPr>
        <w:t>(Truhlar et al., 1996)</w:t>
      </w:r>
      <w:r w:rsidRPr="00D04362">
        <w:fldChar w:fldCharType="end"/>
      </w:r>
      <w:r w:rsidRPr="00D04362">
        <w:t>, the reversible reaction in the first step is assumed to be faster than the second step so that they are in equilibrium. During the first step, each microbe harvests chemical energy from environment. In order to trigger cell division, the energy acquisition from environment should exceed a certain threshold level (</w:t>
      </w:r>
      <w:r w:rsidRPr="00D04362">
        <w:rPr>
          <w:noProof/>
          <w:position w:val="-4"/>
        </w:rPr>
        <w:object w:dxaOrig="320" w:dyaOrig="300" w14:anchorId="2490DD89">
          <v:shape id="_x0000_i1057" type="#_x0000_t75" alt="" style="width:16.05pt;height:15.45pt;mso-width-percent:0;mso-height-percent:0;mso-width-percent:0;mso-height-percent:0" o:ole="">
            <v:imagedata r:id="rId70" o:title=""/>
          </v:shape>
          <o:OLEObject Type="Embed" ProgID="Equation.DSMT4" ShapeID="_x0000_i1057" DrawAspect="Content" ObjectID="_1662138748" r:id="rId71"/>
        </w:object>
      </w:r>
      <w:r w:rsidRPr="00D04362">
        <w:t xml:space="preserve">, activation energy). The activation energy is nothing but the summation of anabolic energy requirement and energy dissipation, i.e., </w:t>
      </w:r>
    </w:p>
    <w:p w14:paraId="437CA021" w14:textId="53B05AEE" w:rsidR="00ED0B25" w:rsidRPr="00D04362" w:rsidRDefault="00ED0B25" w:rsidP="00ED0B25">
      <w:pPr>
        <w:pStyle w:val="MTDisplayEquation"/>
      </w:pPr>
      <w:r w:rsidRPr="00D04362">
        <w:tab/>
      </w:r>
      <w:r w:rsidR="00D04362" w:rsidRPr="00D04362">
        <w:rPr>
          <w:noProof/>
          <w:position w:val="-16"/>
        </w:rPr>
        <w:object w:dxaOrig="2700" w:dyaOrig="440" w14:anchorId="648F8DFC">
          <v:shape id="_x0000_i1058" type="#_x0000_t75" alt="" style="width:135.7pt;height:21.2pt" o:ole="">
            <v:imagedata r:id="rId72" o:title=""/>
          </v:shape>
          <o:OLEObject Type="Embed" ProgID="Equation.DSMT4" ShapeID="_x0000_i1058" DrawAspect="Content" ObjectID="_1662138749" r:id="rId73"/>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12</w:instrText>
      </w:r>
      <w:r w:rsidR="004867DA">
        <w:rPr>
          <w:noProof/>
        </w:rPr>
        <w:fldChar w:fldCharType="end"/>
      </w:r>
      <w:r w:rsidR="00ED09D3" w:rsidRPr="00D04362">
        <w:instrText>)</w:instrText>
      </w:r>
      <w:r w:rsidR="00ED09D3" w:rsidRPr="00D04362">
        <w:fldChar w:fldCharType="end"/>
      </w:r>
    </w:p>
    <w:p w14:paraId="7129D36E" w14:textId="3A8605A9" w:rsidR="00ED0B25" w:rsidRPr="00D04362" w:rsidRDefault="00ED0B25" w:rsidP="00ED0B25">
      <w:r w:rsidRPr="00D04362">
        <w:t>The total usable energy for growth depends on two factors: (1) the energy generation through catabolism (</w:t>
      </w:r>
      <w:r w:rsidR="00D04362" w:rsidRPr="00D04362">
        <w:rPr>
          <w:position w:val="-14"/>
        </w:rPr>
        <w:object w:dxaOrig="700" w:dyaOrig="380" w14:anchorId="3BB404E9">
          <v:shape id="_x0000_i1059" type="#_x0000_t75" style="width:34.7pt;height:19.3pt" o:ole="">
            <v:imagedata r:id="rId74" o:title=""/>
          </v:shape>
          <o:OLEObject Type="Embed" ProgID="Equation.DSMT4" ShapeID="_x0000_i1059" DrawAspect="Content" ObjectID="_1662138750" r:id="rId75"/>
        </w:object>
      </w:r>
      <w:r w:rsidRPr="00D04362">
        <w:t>), and (2) the availability of energy sources (i.e., substrates) in environment. The second factor depends on substrate concentration (</w:t>
      </w:r>
      <w:r w:rsidRPr="00D04362">
        <w:rPr>
          <w:noProof/>
          <w:position w:val="-10"/>
        </w:rPr>
        <w:object w:dxaOrig="320" w:dyaOrig="320" w14:anchorId="24E8AB20">
          <v:shape id="_x0000_i1060" type="#_x0000_t75" alt="" style="width:15.45pt;height:16.05pt" o:ole="">
            <v:imagedata r:id="rId76" o:title=""/>
          </v:shape>
          <o:OLEObject Type="Embed" ProgID="Equation.DSMT4" ShapeID="_x0000_i1060" DrawAspect="Content" ObjectID="_1662138751" r:id="rId77"/>
        </w:object>
      </w:r>
      <w:r w:rsidRPr="00D04362">
        <w:t>) and the volume that a microbe can access for harvesting energy (</w:t>
      </w:r>
      <w:r w:rsidRPr="00D04362">
        <w:rPr>
          <w:noProof/>
          <w:position w:val="-12"/>
        </w:rPr>
        <w:object w:dxaOrig="260" w:dyaOrig="360" w14:anchorId="0CF9C345">
          <v:shape id="_x0000_i1061" type="#_x0000_t75" alt="" style="width:13.5pt;height:17.35pt;mso-width-percent:0;mso-height-percent:0;mso-width-percent:0;mso-height-percent:0" o:ole="">
            <v:imagedata r:id="rId78" o:title=""/>
          </v:shape>
          <o:OLEObject Type="Embed" ProgID="Equation.DSMT4" ShapeID="_x0000_i1061" DrawAspect="Content" ObjectID="_1662138752" r:id="rId79"/>
        </w:object>
      </w:r>
      <w:r w:rsidRPr="00D04362">
        <w:t xml:space="preserve">, harvest volume). Using statistical analysis, </w:t>
      </w:r>
      <w:r w:rsidRPr="00D04362">
        <w:rPr>
          <w:noProof/>
        </w:rPr>
        <w:t>Desmond-Le Quemener and Bouchez</w:t>
      </w:r>
      <w:r w:rsidRPr="00D04362">
        <w:t xml:space="preserve"> showed that the equation for microbial growth rate (</w:t>
      </w:r>
      <w:r w:rsidRPr="00D04362">
        <w:rPr>
          <w:noProof/>
          <w:position w:val="-10"/>
        </w:rPr>
        <w:object w:dxaOrig="240" w:dyaOrig="260" w14:anchorId="64C4DCF8">
          <v:shape id="_x0000_i1062" type="#_x0000_t75" alt="" style="width:12.2pt;height:13.5pt;mso-width-percent:0;mso-height-percent:0;mso-width-percent:0;mso-height-percent:0" o:ole="">
            <v:imagedata r:id="rId80" o:title=""/>
          </v:shape>
          <o:OLEObject Type="Embed" ProgID="Equation.DSMT4" ShapeID="_x0000_i1062" DrawAspect="Content" ObjectID="_1662138753" r:id="rId81"/>
        </w:object>
      </w:r>
      <w:r w:rsidRPr="00D04362">
        <w:t>) can be formulated as follows:</w:t>
      </w:r>
    </w:p>
    <w:p w14:paraId="7B0E682D" w14:textId="4C9A32C9" w:rsidR="00ED0B25" w:rsidRPr="00D04362" w:rsidRDefault="00ED0B25" w:rsidP="00ED0B25">
      <w:pPr>
        <w:pStyle w:val="MTDisplayEquation"/>
      </w:pPr>
      <w:r w:rsidRPr="00D04362">
        <w:tab/>
      </w:r>
      <w:r w:rsidR="00D04362" w:rsidRPr="00D04362">
        <w:rPr>
          <w:noProof/>
          <w:position w:val="-34"/>
        </w:rPr>
        <w:object w:dxaOrig="3840" w:dyaOrig="800" w14:anchorId="6F5E0B0E">
          <v:shape id="_x0000_i1063" type="#_x0000_t75" alt="" style="width:192.2pt;height:40.5pt" o:ole="">
            <v:imagedata r:id="rId82" o:title=""/>
          </v:shape>
          <o:OLEObject Type="Embed" ProgID="Equation.DSMT4" ShapeID="_x0000_i1063" DrawAspect="Content" ObjectID="_1662138754" r:id="rId83"/>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bookmarkStart w:id="5" w:name="ZEqnNum747087"/>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13</w:instrText>
      </w:r>
      <w:r w:rsidR="004867DA">
        <w:rPr>
          <w:noProof/>
        </w:rPr>
        <w:fldChar w:fldCharType="end"/>
      </w:r>
      <w:r w:rsidR="00ED09D3" w:rsidRPr="00D04362">
        <w:instrText>)</w:instrText>
      </w:r>
      <w:bookmarkEnd w:id="5"/>
      <w:r w:rsidR="00ED09D3" w:rsidRPr="00D04362">
        <w:fldChar w:fldCharType="end"/>
      </w:r>
    </w:p>
    <w:p w14:paraId="383225A0" w14:textId="708B7FBC" w:rsidR="00ED0B25" w:rsidRPr="00D04362" w:rsidRDefault="00ED0B25" w:rsidP="00ED0B25">
      <w:r w:rsidRPr="00D04362">
        <w:t xml:space="preserve">where </w:t>
      </w:r>
      <w:r w:rsidRPr="00D04362">
        <w:rPr>
          <w:noProof/>
          <w:position w:val="-10"/>
        </w:rPr>
        <w:object w:dxaOrig="480" w:dyaOrig="360" w14:anchorId="05DB06AF">
          <v:shape id="_x0000_i1064" type="#_x0000_t75" alt="" style="width:24.45pt;height:17.35pt;mso-width-percent:0;mso-height-percent:0;mso-width-percent:0;mso-height-percent:0" o:ole="">
            <v:imagedata r:id="rId84" o:title=""/>
          </v:shape>
          <o:OLEObject Type="Embed" ProgID="Equation.DSMT4" ShapeID="_x0000_i1064" DrawAspect="Content" ObjectID="_1662138755" r:id="rId85"/>
        </w:object>
      </w:r>
      <w:r w:rsidRPr="00D04362">
        <w:t xml:space="preserve"> is the maximal specific growth rate. </w:t>
      </w:r>
      <w:r w:rsidR="002605E2" w:rsidRPr="00D04362">
        <w:t xml:space="preserve">While conventional representation of microbial state </w:t>
      </w:r>
      <w:r w:rsidR="00A414A5" w:rsidRPr="00D04362">
        <w:t xml:space="preserve">is </w:t>
      </w:r>
      <w:r w:rsidR="002605E2" w:rsidRPr="00D04362">
        <w:t xml:space="preserve">based on the rate of energy acquisition from the environment </w:t>
      </w:r>
      <w:r w:rsidR="002605E2" w:rsidRPr="00D04362">
        <w:fldChar w:fldCharType="begin">
          <w:fldData xml:space="preserve">PEVuZE5vdGU+PENpdGU+PEF1dGhvcj5CcmFkbGV5PC9BdXRob3I+PFllYXI+MjAxODwvWWVhcj48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==
</w:fldData>
        </w:fldChar>
      </w:r>
      <w:r w:rsidR="002605E2" w:rsidRPr="00D04362">
        <w:instrText xml:space="preserve"> ADDIN EN.CITE </w:instrText>
      </w:r>
      <w:r w:rsidR="002605E2" w:rsidRPr="00D04362">
        <w:fldChar w:fldCharType="begin">
          <w:fldData xml:space="preserve">PEVuZE5vdGU+PENpdGU+PEF1dGhvcj5CcmFkbGV5PC9BdXRob3I+PFllYXI+MjAxODwvWWVhcj48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==
</w:fldData>
        </w:fldChar>
      </w:r>
      <w:r w:rsidR="002605E2" w:rsidRPr="00D04362">
        <w:instrText xml:space="preserve"> ADDIN EN.CITE.DATA </w:instrText>
      </w:r>
      <w:r w:rsidR="002605E2" w:rsidRPr="00D04362">
        <w:fldChar w:fldCharType="end"/>
      </w:r>
      <w:r w:rsidR="002605E2" w:rsidRPr="00D04362">
        <w:fldChar w:fldCharType="separate"/>
      </w:r>
      <w:r w:rsidR="002605E2" w:rsidRPr="00D04362">
        <w:rPr>
          <w:noProof/>
        </w:rPr>
        <w:t>(Bradley et al., 2018)</w:t>
      </w:r>
      <w:r w:rsidR="002605E2" w:rsidRPr="00D04362">
        <w:fldChar w:fldCharType="end"/>
      </w:r>
      <w:r w:rsidR="002605E2" w:rsidRPr="00D04362">
        <w:t xml:space="preserve">, the </w:t>
      </w:r>
      <w:r w:rsidR="002605E2" w:rsidRPr="00D04362">
        <w:lastRenderedPageBreak/>
        <w:t xml:space="preserve">formulation above links the microbial growth rate to a function of activation energy. Eq. </w:t>
      </w:r>
      <w:r w:rsidR="002605E2" w:rsidRPr="00D04362">
        <w:rPr>
          <w:iCs/>
        </w:rPr>
        <w:fldChar w:fldCharType="begin"/>
      </w:r>
      <w:r w:rsidR="002605E2" w:rsidRPr="00D04362">
        <w:rPr>
          <w:iCs/>
        </w:rPr>
        <w:instrText xml:space="preserve"> GOTOBUTTON ZEqnNum747087  \* MERGEFORMAT </w:instrText>
      </w:r>
      <w:r w:rsidR="002605E2" w:rsidRPr="00D04362">
        <w:rPr>
          <w:iCs/>
        </w:rPr>
        <w:fldChar w:fldCharType="begin"/>
      </w:r>
      <w:r w:rsidR="002605E2" w:rsidRPr="00D04362">
        <w:rPr>
          <w:iCs/>
        </w:rPr>
        <w:instrText xml:space="preserve"> REF ZEqnNum747087 \* Charformat \! \* MERGEFORMAT </w:instrText>
      </w:r>
      <w:r w:rsidR="002605E2" w:rsidRPr="00D04362">
        <w:rPr>
          <w:iCs/>
        </w:rPr>
        <w:fldChar w:fldCharType="separate"/>
      </w:r>
      <w:r w:rsidR="002605E2" w:rsidRPr="00D04362">
        <w:rPr>
          <w:iCs/>
        </w:rPr>
        <w:instrText>(S13)</w:instrText>
      </w:r>
      <w:r w:rsidR="002605E2" w:rsidRPr="00D04362">
        <w:rPr>
          <w:iCs/>
        </w:rPr>
        <w:fldChar w:fldCharType="end"/>
      </w:r>
      <w:r w:rsidR="002605E2" w:rsidRPr="00D04362">
        <w:rPr>
          <w:iCs/>
        </w:rPr>
        <w:fldChar w:fldCharType="end"/>
      </w:r>
      <w:r w:rsidR="002605E2" w:rsidRPr="00D04362">
        <w:rPr>
          <w:iCs/>
        </w:rPr>
        <w:t xml:space="preserve"> </w:t>
      </w:r>
      <w:r w:rsidRPr="00D04362">
        <w:t xml:space="preserve">can be rewritten in terms of </w:t>
      </w:r>
      <w:r w:rsidRPr="00D04362">
        <w:rPr>
          <w:noProof/>
          <w:position w:val="-6"/>
        </w:rPr>
        <w:object w:dxaOrig="220" w:dyaOrig="279" w14:anchorId="3E9C1EF2">
          <v:shape id="_x0000_i1065" type="#_x0000_t75" alt="" style="width:10.3pt;height:15.45pt;mso-width-percent:0;mso-height-percent:0;mso-width-percent:0;mso-height-percent:0" o:ole="">
            <v:imagedata r:id="rId86" o:title=""/>
          </v:shape>
          <o:OLEObject Type="Embed" ProgID="Equation.DSMT4" ShapeID="_x0000_i1065" DrawAspect="Content" ObjectID="_1662138756" r:id="rId87"/>
        </w:object>
      </w:r>
      <w:r w:rsidRPr="00D04362">
        <w:t xml:space="preserve"> defined in Eq.</w:t>
      </w:r>
      <w:r w:rsidR="00395DCE" w:rsidRPr="00D04362">
        <w:t xml:space="preserve"> (4) in the main text,</w:t>
      </w:r>
      <w:r w:rsidRPr="00D04362">
        <w:t xml:space="preserve"> i.e.,</w:t>
      </w:r>
    </w:p>
    <w:p w14:paraId="2ECE06D1" w14:textId="637E6AF2" w:rsidR="00ED0B25" w:rsidRPr="00D04362" w:rsidRDefault="00ED0B25" w:rsidP="00ED0B25">
      <w:pPr>
        <w:pStyle w:val="MTDisplayEquation"/>
      </w:pPr>
      <w:r w:rsidRPr="00D04362">
        <w:tab/>
      </w:r>
      <w:r w:rsidRPr="00D04362">
        <w:rPr>
          <w:noProof/>
          <w:position w:val="-32"/>
        </w:rPr>
        <w:object w:dxaOrig="2220" w:dyaOrig="760" w14:anchorId="065C0CAC">
          <v:shape id="_x0000_i1066" type="#_x0000_t75" alt="" style="width:112.55pt;height:39.2pt" o:ole="">
            <v:imagedata r:id="rId88" o:title=""/>
          </v:shape>
          <o:OLEObject Type="Embed" ProgID="Equation.DSMT4" ShapeID="_x0000_i1066" DrawAspect="Content" ObjectID="_1662138757" r:id="rId89"/>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14</w:instrText>
      </w:r>
      <w:r w:rsidR="004867DA">
        <w:rPr>
          <w:noProof/>
        </w:rPr>
        <w:fldChar w:fldCharType="end"/>
      </w:r>
      <w:r w:rsidR="00ED09D3" w:rsidRPr="00D04362">
        <w:instrText>)</w:instrText>
      </w:r>
      <w:r w:rsidR="00ED09D3" w:rsidRPr="00D04362">
        <w:fldChar w:fldCharType="end"/>
      </w:r>
    </w:p>
    <w:p w14:paraId="5BE29038" w14:textId="77777777" w:rsidR="00ED0B25" w:rsidRPr="00D04362" w:rsidRDefault="00ED0B25" w:rsidP="00ED0B25">
      <w:pPr>
        <w:ind w:firstLine="720"/>
      </w:pPr>
      <w:r w:rsidRPr="00D04362">
        <w:t xml:space="preserve">In our current formulation where all stoichiometric equations were derived for a unit C-mole of biomass, the negative value of the parameter </w:t>
      </w:r>
      <w:r w:rsidRPr="00D04362">
        <w:rPr>
          <w:noProof/>
          <w:position w:val="-6"/>
        </w:rPr>
        <w:object w:dxaOrig="220" w:dyaOrig="279" w14:anchorId="145EE566">
          <v:shape id="_x0000_i1067" type="#_x0000_t75" alt="" style="width:10.35pt;height:15.55pt;mso-width-percent:0;mso-height-percent:0;mso-width-percent:0;mso-height-percent:0" o:ole="">
            <v:imagedata r:id="rId86" o:title=""/>
          </v:shape>
          <o:OLEObject Type="Embed" ProgID="Equation.DSMT4" ShapeID="_x0000_i1067" DrawAspect="Content" ObjectID="_1662138758" r:id="rId90"/>
        </w:object>
      </w:r>
      <w:r w:rsidRPr="00D04362">
        <w:t xml:space="preserve"> is equal to the stoichiometry coefficient of OC. For the </w:t>
      </w:r>
      <w:r w:rsidRPr="00D04362">
        <w:rPr>
          <w:noProof/>
          <w:position w:val="-6"/>
        </w:rPr>
        <w:object w:dxaOrig="260" w:dyaOrig="320" w14:anchorId="17933567">
          <v:shape id="_x0000_i1068" type="#_x0000_t75" alt="" style="width:12.1pt;height:17.3pt;mso-width-percent:0;mso-height-percent:0;mso-width-percent:0;mso-height-percent:0" o:ole="">
            <v:imagedata r:id="rId91" o:title=""/>
          </v:shape>
          <o:OLEObject Type="Embed" ProgID="Equation.DSMT4" ShapeID="_x0000_i1068" DrawAspect="Content" ObjectID="_1662138759" r:id="rId92"/>
        </w:object>
      </w:r>
      <w:r w:rsidRPr="00D04362">
        <w:t xml:space="preserve"> OC (i.e., </w:t>
      </w:r>
      <w:r w:rsidRPr="00D04362">
        <w:rPr>
          <w:noProof/>
          <w:position w:val="-12"/>
        </w:rPr>
        <w:object w:dxaOrig="460" w:dyaOrig="360" w14:anchorId="05745E81">
          <v:shape id="_x0000_i1069" type="#_x0000_t75" alt="" style="width:21.3pt;height:18.45pt" o:ole="">
            <v:imagedata r:id="rId93" o:title=""/>
          </v:shape>
          <o:OLEObject Type="Embed" ProgID="Equation.DSMT4" ShapeID="_x0000_i1069" DrawAspect="Content" ObjectID="_1662138760" r:id="rId94"/>
        </w:object>
      </w:r>
      <w:r w:rsidRPr="00D04362">
        <w:t xml:space="preserve">), this leads to the following form of microbial growth rate: </w:t>
      </w:r>
    </w:p>
    <w:p w14:paraId="758B0C34" w14:textId="18128DAC" w:rsidR="00ED0B25" w:rsidRPr="00D04362" w:rsidRDefault="00ED0B25" w:rsidP="00ED0B25">
      <w:pPr>
        <w:pStyle w:val="MTDisplayEquation"/>
      </w:pPr>
      <w:r w:rsidRPr="00D04362">
        <w:tab/>
      </w:r>
      <w:r w:rsidRPr="00D04362">
        <w:rPr>
          <w:noProof/>
          <w:position w:val="-36"/>
        </w:rPr>
        <w:object w:dxaOrig="2560" w:dyaOrig="840" w14:anchorId="5C5A232C">
          <v:shape id="_x0000_i1070" type="#_x0000_t75" alt="" style="width:126.7pt;height:44.35pt" o:ole="">
            <v:imagedata r:id="rId95" o:title=""/>
          </v:shape>
          <o:OLEObject Type="Embed" ProgID="Equation.DSMT4" ShapeID="_x0000_i1070" DrawAspect="Content" ObjectID="_1662138761" r:id="rId96"/>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bookmarkStart w:id="6" w:name="ZEqnNum399841"/>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15</w:instrText>
      </w:r>
      <w:r w:rsidR="004867DA">
        <w:rPr>
          <w:noProof/>
        </w:rPr>
        <w:fldChar w:fldCharType="end"/>
      </w:r>
      <w:r w:rsidR="00ED09D3" w:rsidRPr="00D04362">
        <w:instrText>)</w:instrText>
      </w:r>
      <w:bookmarkEnd w:id="6"/>
      <w:r w:rsidR="00ED09D3" w:rsidRPr="00D04362">
        <w:fldChar w:fldCharType="end"/>
      </w:r>
    </w:p>
    <w:p w14:paraId="06667390" w14:textId="188BE99D" w:rsidR="008267E6" w:rsidRPr="00D04362" w:rsidRDefault="00ED0B25" w:rsidP="008267E6">
      <w:r w:rsidRPr="00D04362">
        <w:t xml:space="preserve">where </w:t>
      </w:r>
      <w:r w:rsidRPr="00D04362">
        <w:rPr>
          <w:noProof/>
          <w:position w:val="-12"/>
        </w:rPr>
        <w:object w:dxaOrig="260" w:dyaOrig="360" w14:anchorId="0904448D">
          <v:shape id="_x0000_i1071" type="#_x0000_t75" alt="" style="width:13.25pt;height:17.3pt;mso-width-percent:0;mso-height-percent:0;mso-width-percent:0;mso-height-percent:0" o:ole="">
            <v:imagedata r:id="rId97" o:title=""/>
          </v:shape>
          <o:OLEObject Type="Embed" ProgID="Equation.DSMT4" ShapeID="_x0000_i1071" DrawAspect="Content" ObjectID="_1662138762" r:id="rId98"/>
        </w:object>
      </w:r>
      <w:r w:rsidRPr="00D04362">
        <w:t xml:space="preserve"> is the microbial growth rate on </w:t>
      </w:r>
      <w:r w:rsidRPr="00D04362">
        <w:rPr>
          <w:noProof/>
          <w:position w:val="-12"/>
        </w:rPr>
        <w:object w:dxaOrig="440" w:dyaOrig="360" w14:anchorId="03C6887A">
          <v:shape id="_x0000_i1072" type="#_x0000_t75" alt="" style="width:21.3pt;height:18.45pt;mso-width-percent:0;mso-height-percent:0;mso-width-percent:0;mso-height-percent:0" o:ole="">
            <v:imagedata r:id="rId99" o:title=""/>
          </v:shape>
          <o:OLEObject Type="Embed" ProgID="Equation.DSMT4" ShapeID="_x0000_i1072" DrawAspect="Content" ObjectID="_1662138763" r:id="rId100"/>
        </w:object>
      </w:r>
      <w:r w:rsidRPr="00D04362">
        <w:rPr>
          <w:noProof/>
        </w:rPr>
        <w:t xml:space="preserve">, </w:t>
      </w:r>
      <w:r w:rsidRPr="00D04362">
        <w:rPr>
          <w:noProof/>
          <w:position w:val="-14"/>
        </w:rPr>
        <w:object w:dxaOrig="499" w:dyaOrig="380" w14:anchorId="726E6D16">
          <v:shape id="_x0000_i1073" type="#_x0000_t75" alt="" style="width:25.9pt;height:17.85pt;mso-width-percent:0;mso-height-percent:0;mso-width-percent:0;mso-height-percent:0" o:ole="">
            <v:imagedata r:id="rId101" o:title=""/>
          </v:shape>
          <o:OLEObject Type="Embed" ProgID="Equation.DSMT4" ShapeID="_x0000_i1073" DrawAspect="Content" ObjectID="_1662138764" r:id="rId102"/>
        </w:object>
      </w:r>
      <w:r w:rsidRPr="00D04362">
        <w:t xml:space="preserve"> is the stoichiometric coefficient of </w:t>
      </w:r>
      <w:r w:rsidRPr="00D04362">
        <w:rPr>
          <w:noProof/>
          <w:position w:val="-12"/>
        </w:rPr>
        <w:object w:dxaOrig="440" w:dyaOrig="360" w14:anchorId="115BCABF">
          <v:shape id="_x0000_i1074" type="#_x0000_t75" alt="" style="width:21.3pt;height:18.45pt;mso-width-percent:0;mso-height-percent:0;mso-width-percent:0;mso-height-percent:0" o:ole="">
            <v:imagedata r:id="rId99" o:title=""/>
          </v:shape>
          <o:OLEObject Type="Embed" ProgID="Equation.DSMT4" ShapeID="_x0000_i1074" DrawAspect="Content" ObjectID="_1662138765" r:id="rId103"/>
        </w:object>
      </w:r>
      <w:r w:rsidRPr="00D04362">
        <w:rPr>
          <w:noProof/>
        </w:rPr>
        <w:t xml:space="preserve"> </w:t>
      </w:r>
      <w:r w:rsidRPr="00D04362">
        <w:t xml:space="preserve">in the metabolic reaction, and </w:t>
      </w:r>
      <w:r w:rsidRPr="00D04362">
        <w:rPr>
          <w:noProof/>
          <w:position w:val="-16"/>
        </w:rPr>
        <w:object w:dxaOrig="600" w:dyaOrig="440" w14:anchorId="097DCEA4">
          <v:shape id="_x0000_i1075" type="#_x0000_t75" alt="" style="width:28.8pt;height:21.3pt;mso-width-percent:0;mso-height-percent:0;mso-width-percent:0;mso-height-percent:0" o:ole="">
            <v:imagedata r:id="rId104" o:title=""/>
          </v:shape>
          <o:OLEObject Type="Embed" ProgID="Equation.DSMT4" ShapeID="_x0000_i1075" DrawAspect="Content" ObjectID="_1662138766" r:id="rId105"/>
        </w:object>
      </w:r>
      <w:r w:rsidRPr="00D04362">
        <w:t xml:space="preserve"> denotes the absolution value of </w:t>
      </w:r>
      <w:r w:rsidRPr="00D04362">
        <w:rPr>
          <w:noProof/>
          <w:position w:val="-14"/>
        </w:rPr>
        <w:object w:dxaOrig="499" w:dyaOrig="380" w14:anchorId="3A6D2778">
          <v:shape id="_x0000_i1076" type="#_x0000_t75" alt="" style="width:25.9pt;height:17.85pt;mso-width-percent:0;mso-height-percent:0;mso-width-percent:0;mso-height-percent:0" o:ole="">
            <v:imagedata r:id="rId101" o:title=""/>
          </v:shape>
          <o:OLEObject Type="Embed" ProgID="Equation.DSMT4" ShapeID="_x0000_i1076" DrawAspect="Content" ObjectID="_1662138767" r:id="rId106"/>
        </w:object>
      </w:r>
      <w:r w:rsidRPr="00D04362">
        <w:t xml:space="preserve">. </w:t>
      </w:r>
      <w:r w:rsidR="008267E6" w:rsidRPr="00D04362">
        <w:rPr>
          <w:noProof/>
        </w:rPr>
        <w:t>Desmond-Le Quemener and Bouchez also provided the extension of the formulation to multiple substrates. In the case of oxidative degration of OC, the final growth equation becomes</w:t>
      </w:r>
    </w:p>
    <w:p w14:paraId="236C0FEA" w14:textId="4228BDF9" w:rsidR="008267E6" w:rsidRPr="00D04362" w:rsidRDefault="008267E6" w:rsidP="008267E6">
      <w:pPr>
        <w:pStyle w:val="MTDisplayEquation"/>
      </w:pPr>
      <w:r w:rsidRPr="00D04362">
        <w:tab/>
      </w:r>
      <w:r w:rsidRPr="00D04362">
        <w:rPr>
          <w:noProof/>
          <w:position w:val="-40"/>
        </w:rPr>
        <w:object w:dxaOrig="4040" w:dyaOrig="920" w14:anchorId="561BF5D3">
          <v:shape id="_x0000_i1077" type="#_x0000_t75" alt="" style="width:200.4pt;height:46.1pt" o:ole="">
            <v:imagedata r:id="rId107" o:title=""/>
          </v:shape>
          <o:OLEObject Type="Embed" ProgID="Equation.DSMT4" ShapeID="_x0000_i1077" DrawAspect="Content" ObjectID="_1662138768" r:id="rId108"/>
        </w:object>
      </w:r>
      <w:r w:rsidRPr="00D04362">
        <w:t xml:space="preserve"> </w:t>
      </w:r>
      <w:r w:rsidRPr="00D04362">
        <w:tab/>
      </w:r>
      <w:r w:rsidR="00ED09D3" w:rsidRPr="00D04362">
        <w:fldChar w:fldCharType="begin"/>
      </w:r>
      <w:r w:rsidR="00ED09D3" w:rsidRPr="00D04362">
        <w:instrText xml:space="preserve"> MACROBUTTON MTPlaceRef \* MERGEFORMAT </w:instrText>
      </w:r>
      <w:r w:rsidR="00ED09D3" w:rsidRPr="00D04362">
        <w:fldChar w:fldCharType="begin"/>
      </w:r>
      <w:r w:rsidR="00ED09D3" w:rsidRPr="00D04362">
        <w:instrText xml:space="preserve"> SEQ MTEqn \h \* MERGEFORMAT </w:instrText>
      </w:r>
      <w:r w:rsidR="00ED09D3" w:rsidRPr="00D04362">
        <w:fldChar w:fldCharType="end"/>
      </w:r>
      <w:bookmarkStart w:id="7" w:name="ZEqnNum366621"/>
      <w:r w:rsidR="00ED09D3" w:rsidRPr="00D04362">
        <w:instrText>(S</w:instrText>
      </w:r>
      <w:r w:rsidR="004867DA">
        <w:fldChar w:fldCharType="begin"/>
      </w:r>
      <w:r w:rsidR="004867DA">
        <w:instrText xml:space="preserve"> SEQ MTEqn \c \* Arabic \* MERGEFORMAT </w:instrText>
      </w:r>
      <w:r w:rsidR="004867DA">
        <w:fldChar w:fldCharType="separate"/>
      </w:r>
      <w:r w:rsidR="002605E2" w:rsidRPr="00D04362">
        <w:rPr>
          <w:noProof/>
        </w:rPr>
        <w:instrText>16</w:instrText>
      </w:r>
      <w:r w:rsidR="004867DA">
        <w:rPr>
          <w:noProof/>
        </w:rPr>
        <w:fldChar w:fldCharType="end"/>
      </w:r>
      <w:r w:rsidR="00ED09D3" w:rsidRPr="00D04362">
        <w:instrText>)</w:instrText>
      </w:r>
      <w:bookmarkEnd w:id="7"/>
      <w:r w:rsidR="00ED09D3" w:rsidRPr="00D04362">
        <w:fldChar w:fldCharType="end"/>
      </w:r>
    </w:p>
    <w:p w14:paraId="4E0BE936" w14:textId="77777777" w:rsidR="001F3441" w:rsidRPr="00D04362" w:rsidRDefault="008267E6" w:rsidP="001F3441">
      <w:pPr>
        <w:spacing w:before="0" w:after="200" w:line="276" w:lineRule="auto"/>
      </w:pPr>
      <w:r w:rsidRPr="00D04362">
        <w:t xml:space="preserve">where </w:t>
      </w:r>
      <w:r w:rsidRPr="00D04362">
        <w:rPr>
          <w:noProof/>
          <w:position w:val="-14"/>
        </w:rPr>
        <w:object w:dxaOrig="460" w:dyaOrig="380" w14:anchorId="09B276B9">
          <v:shape id="_x0000_i1078" type="#_x0000_t75" alt="" style="width:22.45pt;height:17.85pt;mso-width-percent:0;mso-height-percent:0;mso-width-percent:0;mso-height-percent:0" o:ole="">
            <v:imagedata r:id="rId109" o:title=""/>
          </v:shape>
          <o:OLEObject Type="Embed" ProgID="Equation.DSMT4" ShapeID="_x0000_i1078" DrawAspect="Content" ObjectID="_1662138769" r:id="rId110"/>
        </w:object>
      </w:r>
      <w:r w:rsidRPr="00D04362">
        <w:t xml:space="preserve"> is the stoichiometric coefficient of O</w:t>
      </w:r>
      <w:r w:rsidRPr="00D04362">
        <w:rPr>
          <w:vertAlign w:val="subscript"/>
        </w:rPr>
        <w:t>2</w:t>
      </w:r>
      <w:r w:rsidRPr="00D04362">
        <w:t xml:space="preserve"> in the metabolic reaction associated with oxidative degradation of </w:t>
      </w:r>
      <w:r w:rsidRPr="00D04362">
        <w:rPr>
          <w:noProof/>
          <w:position w:val="-12"/>
        </w:rPr>
        <w:object w:dxaOrig="440" w:dyaOrig="360" w14:anchorId="1E814D3C">
          <v:shape id="_x0000_i1079" type="#_x0000_t75" alt="" style="width:21.3pt;height:18.45pt;mso-width-percent:0;mso-height-percent:0;mso-width-percent:0;mso-height-percent:0" o:ole="">
            <v:imagedata r:id="rId99" o:title=""/>
          </v:shape>
          <o:OLEObject Type="Embed" ProgID="Equation.DSMT4" ShapeID="_x0000_i1079" DrawAspect="Content" ObjectID="_1662138770" r:id="rId111"/>
        </w:object>
      </w:r>
      <w:r w:rsidRPr="00D04362">
        <w:t>.</w:t>
      </w:r>
    </w:p>
    <w:p w14:paraId="7788708B" w14:textId="77777777" w:rsidR="001F3441" w:rsidRPr="00D04362" w:rsidRDefault="001F3441" w:rsidP="001F3441">
      <w:pPr>
        <w:spacing w:before="0" w:after="200" w:line="276" w:lineRule="auto"/>
      </w:pPr>
    </w:p>
    <w:p w14:paraId="62D17C04" w14:textId="48527749" w:rsidR="002605E2" w:rsidRPr="00D04362" w:rsidRDefault="001F3441" w:rsidP="001F3441">
      <w:pPr>
        <w:spacing w:before="0" w:after="200" w:line="276" w:lineRule="auto"/>
      </w:pPr>
      <w:r w:rsidRPr="00D04362">
        <w:rPr>
          <w:b/>
          <w:bCs/>
        </w:rPr>
        <w:t>References</w:t>
      </w:r>
    </w:p>
    <w:p w14:paraId="420D81A5" w14:textId="77777777" w:rsidR="002605E2" w:rsidRPr="00D04362" w:rsidRDefault="002605E2" w:rsidP="002605E2">
      <w:pPr>
        <w:pStyle w:val="EndNoteBibliography"/>
        <w:spacing w:after="0"/>
        <w:ind w:left="720" w:hanging="720"/>
      </w:pPr>
      <w:r w:rsidRPr="00D04362">
        <w:fldChar w:fldCharType="begin"/>
      </w:r>
      <w:r w:rsidRPr="00D04362">
        <w:instrText xml:space="preserve"> ADDIN EN.REFLIST </w:instrText>
      </w:r>
      <w:r w:rsidRPr="00D04362">
        <w:fldChar w:fldCharType="separate"/>
      </w:r>
      <w:r w:rsidRPr="00D04362">
        <w:t xml:space="preserve">Bradley, J.A., Amend, J.P., and Larowe, D.E. (2018). Bioenergetic Controls on Microbial Ecophysiology in Marine Sediments. </w:t>
      </w:r>
      <w:r w:rsidRPr="00D04362">
        <w:rPr>
          <w:i/>
        </w:rPr>
        <w:t>Frontiers in Microbiology</w:t>
      </w:r>
      <w:r w:rsidRPr="00D04362">
        <w:t xml:space="preserve"> 9.</w:t>
      </w:r>
    </w:p>
    <w:p w14:paraId="07D13C23" w14:textId="77777777" w:rsidR="002605E2" w:rsidRPr="00D04362" w:rsidRDefault="002605E2" w:rsidP="002605E2">
      <w:pPr>
        <w:pStyle w:val="EndNoteBibliography"/>
        <w:spacing w:after="0"/>
        <w:ind w:left="720" w:hanging="720"/>
      </w:pPr>
      <w:r w:rsidRPr="00D04362">
        <w:t xml:space="preserve">Larowe, D.E., and Van Cappellen, P. (2011). Degradation of natural organic matter: A thermodynamic analysis. </w:t>
      </w:r>
      <w:r w:rsidRPr="00D04362">
        <w:rPr>
          <w:i/>
        </w:rPr>
        <w:t>Geochimica Et Cosmochimica Acta</w:t>
      </w:r>
      <w:r w:rsidRPr="00D04362">
        <w:t xml:space="preserve"> 75</w:t>
      </w:r>
      <w:r w:rsidRPr="00D04362">
        <w:rPr>
          <w:b/>
        </w:rPr>
        <w:t>,</w:t>
      </w:r>
      <w:r w:rsidRPr="00D04362">
        <w:t xml:space="preserve"> 2030-2042.</w:t>
      </w:r>
    </w:p>
    <w:p w14:paraId="7A7836B6" w14:textId="77777777" w:rsidR="002605E2" w:rsidRPr="00D04362" w:rsidRDefault="002605E2" w:rsidP="002605E2">
      <w:pPr>
        <w:pStyle w:val="EndNoteBibliography"/>
        <w:spacing w:after="0"/>
        <w:ind w:left="720" w:hanging="720"/>
      </w:pPr>
      <w:r w:rsidRPr="00D04362">
        <w:t xml:space="preserve">Rittmann, B.E., and Mccarty, P.L. (2012). </w:t>
      </w:r>
      <w:r w:rsidRPr="00D04362">
        <w:rPr>
          <w:i/>
        </w:rPr>
        <w:t>Environmental biotechnology: principles and applications.</w:t>
      </w:r>
      <w:r w:rsidRPr="00D04362">
        <w:t xml:space="preserve"> Tata McGraw-Hill Education.</w:t>
      </w:r>
    </w:p>
    <w:p w14:paraId="245FBB12" w14:textId="77777777" w:rsidR="002605E2" w:rsidRPr="00D04362" w:rsidRDefault="002605E2" w:rsidP="002605E2">
      <w:pPr>
        <w:pStyle w:val="EndNoteBibliography"/>
        <w:ind w:left="720" w:hanging="720"/>
      </w:pPr>
      <w:r w:rsidRPr="00D04362">
        <w:t xml:space="preserve">Truhlar, D.G., Garrett, B.C., and Klippenstein, S.J. (1996). Current status of transition-state theory. </w:t>
      </w:r>
      <w:r w:rsidRPr="00D04362">
        <w:rPr>
          <w:i/>
        </w:rPr>
        <w:t>Journal of Physical Chemistry</w:t>
      </w:r>
      <w:r w:rsidRPr="00D04362">
        <w:t xml:space="preserve"> 100</w:t>
      </w:r>
      <w:r w:rsidRPr="00D04362">
        <w:rPr>
          <w:b/>
        </w:rPr>
        <w:t>,</w:t>
      </w:r>
      <w:r w:rsidRPr="00D04362">
        <w:t xml:space="preserve"> 12771-12800.</w:t>
      </w:r>
    </w:p>
    <w:p w14:paraId="11AAE194" w14:textId="2CA296CD" w:rsidR="001F3441" w:rsidRPr="00D04362" w:rsidRDefault="002605E2" w:rsidP="007C35AE">
      <w:r w:rsidRPr="00D04362">
        <w:fldChar w:fldCharType="end"/>
      </w:r>
    </w:p>
    <w:p w14:paraId="748012DB" w14:textId="77777777" w:rsidR="001F3441" w:rsidRPr="00D04362" w:rsidRDefault="001F3441">
      <w:pPr>
        <w:spacing w:before="0" w:after="200" w:line="276" w:lineRule="auto"/>
      </w:pPr>
      <w:r w:rsidRPr="00D04362">
        <w:br w:type="page"/>
      </w:r>
    </w:p>
    <w:p w14:paraId="2F337584" w14:textId="77777777" w:rsidR="001F3441" w:rsidRPr="00D04362" w:rsidRDefault="001F3441" w:rsidP="001F3441">
      <w:pPr>
        <w:jc w:val="center"/>
        <w:rPr>
          <w:rFonts w:ascii="Arial" w:hAnsi="Arial" w:cs="Arial"/>
          <w:b/>
          <w:bCs/>
        </w:rPr>
      </w:pPr>
      <w:r w:rsidRPr="00D04362">
        <w:rPr>
          <w:rFonts w:ascii="Arial" w:hAnsi="Arial" w:cs="Arial"/>
          <w:b/>
          <w:bCs/>
        </w:rPr>
        <w:lastRenderedPageBreak/>
        <w:t>Supplementary Figures</w:t>
      </w:r>
    </w:p>
    <w:p w14:paraId="643002B9" w14:textId="77777777" w:rsidR="001F3441" w:rsidRPr="00D04362" w:rsidRDefault="001F3441" w:rsidP="001F3441">
      <w:pPr>
        <w:rPr>
          <w:b/>
          <w:bCs/>
        </w:rPr>
      </w:pPr>
    </w:p>
    <w:p w14:paraId="20E54EC6" w14:textId="77777777" w:rsidR="001F3441" w:rsidRPr="00D04362" w:rsidRDefault="001F3441" w:rsidP="001F3441">
      <w:pPr>
        <w:rPr>
          <w:b/>
          <w:bCs/>
        </w:rPr>
      </w:pPr>
      <w:r w:rsidRPr="00D04362">
        <w:rPr>
          <w:b/>
          <w:bCs/>
          <w:noProof/>
        </w:rPr>
        <w:drawing>
          <wp:inline distT="0" distB="0" distL="0" distR="0" wp14:anchorId="18EFA8D8" wp14:editId="3D2D2556">
            <wp:extent cx="6208395" cy="3589020"/>
            <wp:effectExtent l="0" t="0" r="0" b="0"/>
            <wp:docPr id="13" name="Picture 12">
              <a:extLst xmlns:a="http://schemas.openxmlformats.org/drawingml/2006/main">
                <a:ext uri="{FF2B5EF4-FFF2-40B4-BE49-F238E27FC236}">
                  <a16:creationId xmlns:a16="http://schemas.microsoft.com/office/drawing/2014/main" id="{27955369-BB20-4F59-AFA5-A1535B303B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7955369-BB20-4F59-AFA5-A1535B303BC8}"/>
                        </a:ext>
                      </a:extLst>
                    </pic:cNvPr>
                    <pic:cNvPicPr>
                      <a:picLocks noChangeAspect="1"/>
                    </pic:cNvPicPr>
                  </pic:nvPicPr>
                  <pic:blipFill>
                    <a:blip r:embed="rId112"/>
                    <a:stretch>
                      <a:fillRect/>
                    </a:stretch>
                  </pic:blipFill>
                  <pic:spPr>
                    <a:xfrm>
                      <a:off x="0" y="0"/>
                      <a:ext cx="6208395" cy="3589020"/>
                    </a:xfrm>
                    <a:prstGeom prst="rect">
                      <a:avLst/>
                    </a:prstGeom>
                  </pic:spPr>
                </pic:pic>
              </a:graphicData>
            </a:graphic>
          </wp:inline>
        </w:drawing>
      </w:r>
    </w:p>
    <w:p w14:paraId="180BB40F" w14:textId="77777777" w:rsidR="001F3441" w:rsidRPr="00D04362" w:rsidRDefault="001F3441" w:rsidP="001F3441">
      <w:r w:rsidRPr="00D04362">
        <w:rPr>
          <w:b/>
          <w:bCs/>
        </w:rPr>
        <w:t xml:space="preserve">Supplementary Figure S1. </w:t>
      </w:r>
      <w:r w:rsidRPr="00D04362">
        <w:t>Replot of Figure 2 with recalculation of thermodynamic functions per a unit C-mole of OC: (a) pH=0 (denoted by the superscript 0) and (b) pH=7. Blue and orange open circles denote the samples from low and high activity zones. Raz denotes the amount of resazurin reduced to resorufin over the 48hr incubation period.</w:t>
      </w:r>
    </w:p>
    <w:p w14:paraId="14076AC9" w14:textId="77777777" w:rsidR="001F3441" w:rsidRPr="00D04362" w:rsidRDefault="001F3441" w:rsidP="001F3441">
      <w:pPr>
        <w:rPr>
          <w:b/>
          <w:bCs/>
        </w:rPr>
      </w:pPr>
    </w:p>
    <w:p w14:paraId="7B98517F" w14:textId="77777777" w:rsidR="001F3441" w:rsidRPr="00D04362" w:rsidRDefault="001F3441" w:rsidP="001F3441">
      <w:pPr>
        <w:spacing w:before="0" w:after="200" w:line="276" w:lineRule="auto"/>
        <w:rPr>
          <w:rFonts w:cs="Times New Roman"/>
          <w:b/>
          <w:iCs/>
          <w:sz w:val="32"/>
          <w:szCs w:val="32"/>
        </w:rPr>
      </w:pPr>
      <w:r w:rsidRPr="00D04362">
        <w:rPr>
          <w:i/>
          <w:iCs/>
        </w:rPr>
        <w:br w:type="page"/>
      </w:r>
    </w:p>
    <w:p w14:paraId="1D7B62FC" w14:textId="77777777" w:rsidR="001F3441" w:rsidRPr="00D04362" w:rsidRDefault="001F3441" w:rsidP="001F3441">
      <w:pPr>
        <w:pStyle w:val="SupplementaryMaterial"/>
        <w:jc w:val="left"/>
        <w:rPr>
          <w:i w:val="0"/>
          <w:iCs/>
        </w:rPr>
      </w:pPr>
    </w:p>
    <w:p w14:paraId="21911C1D" w14:textId="77777777" w:rsidR="001F3441" w:rsidRPr="00D04362" w:rsidRDefault="001F3441" w:rsidP="001F3441">
      <w:pPr>
        <w:pStyle w:val="Title"/>
      </w:pPr>
      <w:r w:rsidRPr="00D04362">
        <w:rPr>
          <w:noProof/>
        </w:rPr>
        <w:drawing>
          <wp:inline distT="0" distB="0" distL="0" distR="0" wp14:anchorId="07FE16EF" wp14:editId="39C27543">
            <wp:extent cx="6208395" cy="2362200"/>
            <wp:effectExtent l="0" t="0" r="0" b="0"/>
            <wp:docPr id="35" name="Picture 34">
              <a:extLst xmlns:a="http://schemas.openxmlformats.org/drawingml/2006/main">
                <a:ext uri="{FF2B5EF4-FFF2-40B4-BE49-F238E27FC236}">
                  <a16:creationId xmlns:a16="http://schemas.microsoft.com/office/drawing/2014/main" id="{070DC5D7-C34A-495B-A286-D0F0728F9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70DC5D7-C34A-495B-A286-D0F0728F929A}"/>
                        </a:ext>
                      </a:extLst>
                    </pic:cNvPr>
                    <pic:cNvPicPr>
                      <a:picLocks noChangeAspect="1"/>
                    </pic:cNvPicPr>
                  </pic:nvPicPr>
                  <pic:blipFill>
                    <a:blip r:embed="rId113"/>
                    <a:stretch>
                      <a:fillRect/>
                    </a:stretch>
                  </pic:blipFill>
                  <pic:spPr>
                    <a:xfrm>
                      <a:off x="0" y="0"/>
                      <a:ext cx="6208395" cy="2362200"/>
                    </a:xfrm>
                    <a:prstGeom prst="rect">
                      <a:avLst/>
                    </a:prstGeom>
                  </pic:spPr>
                </pic:pic>
              </a:graphicData>
            </a:graphic>
          </wp:inline>
        </w:drawing>
      </w:r>
    </w:p>
    <w:p w14:paraId="56F051B6" w14:textId="77777777" w:rsidR="001F3441" w:rsidRPr="00D04362" w:rsidRDefault="001F3441" w:rsidP="001F3441">
      <w:pPr>
        <w:rPr>
          <w:b/>
          <w:bCs/>
        </w:rPr>
      </w:pPr>
      <w:r w:rsidRPr="00D04362">
        <w:rPr>
          <w:b/>
          <w:bCs/>
        </w:rPr>
        <w:t xml:space="preserve">Supplementary Figure S2. </w:t>
      </w:r>
      <w:r w:rsidRPr="00D04362">
        <w:t>Choice of two representative sections for the comparison of the low- and high-activity zones based on the correlations of aerobic respiration with (a) the energy coupling parameter (</w:t>
      </w:r>
      <w:r w:rsidRPr="00D04362">
        <w:rPr>
          <w:noProof/>
          <w:position w:val="-6"/>
        </w:rPr>
        <w:object w:dxaOrig="220" w:dyaOrig="279" w14:anchorId="70605A56">
          <v:shape id="_x0000_i1080" type="#_x0000_t75" alt="" style="width:15.55pt;height:15.55pt;mso-width-percent:0;mso-height-percent:0;mso-width-percent:0;mso-height-percent:0" o:ole="">
            <v:imagedata r:id="rId8" o:title=""/>
          </v:shape>
          <o:OLEObject Type="Embed" ProgID="Equation.DSMT4" ShapeID="_x0000_i1080" DrawAspect="Content" ObjectID="_1662138771" r:id="rId114"/>
        </w:object>
      </w:r>
      <w:r w:rsidRPr="00D04362">
        <w:t>) and O</w:t>
      </w:r>
      <w:r w:rsidRPr="00D04362">
        <w:rPr>
          <w:vertAlign w:val="subscript"/>
        </w:rPr>
        <w:t>2</w:t>
      </w:r>
      <w:r w:rsidRPr="00D04362">
        <w:t xml:space="preserve"> consumption rate (</w:t>
      </w:r>
      <w:r w:rsidRPr="00D04362">
        <w:rPr>
          <w:noProof/>
          <w:position w:val="-14"/>
        </w:rPr>
        <w:object w:dxaOrig="480" w:dyaOrig="380" w14:anchorId="3B767BF8">
          <v:shape id="_x0000_i1081" type="#_x0000_t75" alt="" style="width:21.9pt;height:21.9pt;mso-width-percent:0;mso-height-percent:0;mso-width-percent:0;mso-height-percent:0" o:ole="">
            <v:imagedata r:id="rId10" o:title=""/>
          </v:shape>
          <o:OLEObject Type="Embed" ProgID="Equation.DSMT4" ShapeID="_x0000_i1081" DrawAspect="Content" ObjectID="_1662138772" r:id="rId115"/>
        </w:object>
      </w:r>
      <w:r w:rsidRPr="00D04362">
        <w:t>).Raz denotes the amount of resazurin reduced to resorufin over the 48hr incubation period. Blue and orange open circles denote the samples from low and high activity zones.</w:t>
      </w:r>
    </w:p>
    <w:p w14:paraId="5C7B9067" w14:textId="77777777" w:rsidR="001F3441" w:rsidRPr="00D04362" w:rsidRDefault="001F3441" w:rsidP="001F3441">
      <w:pPr>
        <w:spacing w:before="0" w:after="200" w:line="276" w:lineRule="auto"/>
      </w:pPr>
      <w:r w:rsidRPr="00D04362">
        <w:br w:type="page"/>
      </w:r>
    </w:p>
    <w:p w14:paraId="0B5F9EBB" w14:textId="77777777" w:rsidR="001F3441" w:rsidRPr="00D04362" w:rsidRDefault="001F3441" w:rsidP="001F3441"/>
    <w:p w14:paraId="6E592135" w14:textId="77777777" w:rsidR="001F3441" w:rsidRPr="00D04362" w:rsidRDefault="001F3441" w:rsidP="001F3441">
      <w:r w:rsidRPr="00D04362">
        <w:rPr>
          <w:noProof/>
        </w:rPr>
        <w:drawing>
          <wp:inline distT="0" distB="0" distL="0" distR="0" wp14:anchorId="74196C25" wp14:editId="0E56BB5C">
            <wp:extent cx="6208395" cy="2590165"/>
            <wp:effectExtent l="0" t="0" r="1905" b="635"/>
            <wp:docPr id="5" name="Picture 4">
              <a:extLst xmlns:a="http://schemas.openxmlformats.org/drawingml/2006/main">
                <a:ext uri="{FF2B5EF4-FFF2-40B4-BE49-F238E27FC236}">
                  <a16:creationId xmlns:a16="http://schemas.microsoft.com/office/drawing/2014/main" id="{59C67ABA-DE7D-4B70-A05D-2A2173602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9C67ABA-DE7D-4B70-A05D-2A21736029D5}"/>
                        </a:ext>
                      </a:extLst>
                    </pic:cNvPr>
                    <pic:cNvPicPr>
                      <a:picLocks noChangeAspect="1"/>
                    </pic:cNvPicPr>
                  </pic:nvPicPr>
                  <pic:blipFill>
                    <a:blip r:embed="rId116"/>
                    <a:stretch>
                      <a:fillRect/>
                    </a:stretch>
                  </pic:blipFill>
                  <pic:spPr>
                    <a:xfrm>
                      <a:off x="0" y="0"/>
                      <a:ext cx="6208395" cy="2590165"/>
                    </a:xfrm>
                    <a:prstGeom prst="rect">
                      <a:avLst/>
                    </a:prstGeom>
                  </pic:spPr>
                </pic:pic>
              </a:graphicData>
            </a:graphic>
          </wp:inline>
        </w:drawing>
      </w:r>
    </w:p>
    <w:p w14:paraId="6C5BCDB6" w14:textId="77777777" w:rsidR="001F3441" w:rsidRPr="00D04362" w:rsidRDefault="001F3441" w:rsidP="001F3441">
      <w:pPr>
        <w:rPr>
          <w:b/>
          <w:bCs/>
        </w:rPr>
      </w:pPr>
      <w:r w:rsidRPr="00D04362">
        <w:rPr>
          <w:b/>
          <w:bCs/>
        </w:rPr>
        <w:t xml:space="preserve">Supplementary Figure S3. </w:t>
      </w:r>
      <w:r w:rsidRPr="00D04362">
        <w:t>Dynamic</w:t>
      </w:r>
      <w:r w:rsidRPr="00D04362">
        <w:rPr>
          <w:b/>
        </w:rPr>
        <w:t xml:space="preserve"> </w:t>
      </w:r>
      <w:r w:rsidRPr="00D04362">
        <w:t xml:space="preserve">simulations based on 500 OC randomly selected respectively from the low activity (LA) and high activity (HA) nutrient pools: (a) and (b) LA sample: SXM (a) without and (b) with enzymatic regulation; (c) and (d) HA sample: SXM (c) without and (d) with enzymatic regulation. </w:t>
      </w:r>
      <w:r w:rsidRPr="00D04362">
        <w:rPr>
          <w:noProof/>
          <w:position w:val="-6"/>
        </w:rPr>
        <w:object w:dxaOrig="200" w:dyaOrig="220" w14:anchorId="4B7EB422">
          <v:shape id="_x0000_i1082" type="#_x0000_t75" style="width:10.35pt;height:10.95pt" o:ole="">
            <v:imagedata r:id="rId117" o:title=""/>
          </v:shape>
          <o:OLEObject Type="Embed" ProgID="Equation.DSMT4" ShapeID="_x0000_i1082" DrawAspect="Content" ObjectID="_1662138773" r:id="rId118"/>
        </w:object>
      </w:r>
      <w:r w:rsidRPr="00D04362">
        <w:rPr>
          <w:noProof/>
        </w:rPr>
        <w:t xml:space="preserve"> </w:t>
      </w:r>
      <w:r w:rsidRPr="00D04362">
        <w:t>denotes the dimensionless time (</w:t>
      </w:r>
      <w:r w:rsidRPr="00D04362">
        <w:rPr>
          <w:noProof/>
          <w:position w:val="-10"/>
        </w:rPr>
        <w:object w:dxaOrig="740" w:dyaOrig="360" w14:anchorId="56D14A6D">
          <v:shape id="_x0000_i1083" type="#_x0000_t75" alt="" style="width:36.85pt;height:15.55pt;mso-width-percent:0;mso-height-percent:0;mso-width-percent:0;mso-height-percent:0" o:ole="">
            <v:imagedata r:id="rId119" o:title=""/>
          </v:shape>
          <o:OLEObject Type="Embed" ProgID="Equation.DSMT4" ShapeID="_x0000_i1083" DrawAspect="Content" ObjectID="_1662138774" r:id="rId120"/>
        </w:object>
      </w:r>
      <w:r w:rsidRPr="00D04362">
        <w:rPr>
          <w:noProof/>
        </w:rPr>
        <w:t xml:space="preserve"> where t =time and </w:t>
      </w:r>
      <w:r w:rsidRPr="00D04362">
        <w:rPr>
          <w:noProof/>
          <w:position w:val="-10"/>
        </w:rPr>
        <w:object w:dxaOrig="480" w:dyaOrig="360" w14:anchorId="36211BC7">
          <v:shape id="_x0000_i1084" type="#_x0000_t75" style="width:23.6pt;height:17.85pt" o:ole="">
            <v:imagedata r:id="rId121" o:title=""/>
          </v:shape>
          <o:OLEObject Type="Embed" ProgID="Equation.DSMT4" ShapeID="_x0000_i1084" DrawAspect="Content" ObjectID="_1662138775" r:id="rId122"/>
        </w:object>
      </w:r>
      <w:r w:rsidRPr="00D04362">
        <w:rPr>
          <w:noProof/>
        </w:rPr>
        <w:t xml:space="preserve"> = maximal growth rates</w:t>
      </w:r>
      <w:r w:rsidRPr="00D04362">
        <w:t>). CMB = C-mole biomass.</w:t>
      </w:r>
    </w:p>
    <w:p w14:paraId="6FE7D9FC" w14:textId="77777777" w:rsidR="007C35AE" w:rsidRPr="00D04362" w:rsidRDefault="007C35AE" w:rsidP="007C35AE"/>
    <w:sectPr w:rsidR="007C35AE" w:rsidRPr="00D04362" w:rsidSect="0093429D">
      <w:headerReference w:type="even" r:id="rId123"/>
      <w:footerReference w:type="even" r:id="rId124"/>
      <w:footerReference w:type="default" r:id="rId125"/>
      <w:headerReference w:type="first" r:id="rId12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3F38B" w14:textId="77777777" w:rsidR="004867DA" w:rsidRDefault="004867DA" w:rsidP="00117666">
      <w:pPr>
        <w:spacing w:after="0"/>
      </w:pPr>
      <w:r>
        <w:separator/>
      </w:r>
    </w:p>
  </w:endnote>
  <w:endnote w:type="continuationSeparator" w:id="0">
    <w:p w14:paraId="523EDF7C" w14:textId="77777777" w:rsidR="004867DA" w:rsidRDefault="004867D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A414A5" w:rsidRPr="00577C4C" w:rsidRDefault="00A414A5">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A414A5" w:rsidRPr="00577C4C" w:rsidRDefault="00A414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A414A5" w:rsidRPr="00577C4C" w:rsidRDefault="00A414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A414A5" w:rsidRPr="00577C4C" w:rsidRDefault="00A414A5">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A414A5" w:rsidRPr="00577C4C" w:rsidRDefault="00A414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A414A5" w:rsidRPr="00577C4C" w:rsidRDefault="00A414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4371C" w14:textId="77777777" w:rsidR="004867DA" w:rsidRDefault="004867DA" w:rsidP="00117666">
      <w:pPr>
        <w:spacing w:after="0"/>
      </w:pPr>
      <w:r>
        <w:separator/>
      </w:r>
    </w:p>
  </w:footnote>
  <w:footnote w:type="continuationSeparator" w:id="0">
    <w:p w14:paraId="6A986A50" w14:textId="77777777" w:rsidR="004867DA" w:rsidRDefault="004867D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A414A5" w:rsidRPr="009151AA" w:rsidRDefault="00A414A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A414A5" w:rsidRDefault="00A414A5"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2"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2E1497B"/>
    <w:multiLevelType w:val="hybridMultilevel"/>
    <w:tmpl w:val="7470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erxrtp4z9pwvexs9pvpxaq2ppxa02xz0va&quot;&gt;lambda-backup-Converted&lt;record-ids&gt;&lt;item&gt;98&lt;/item&gt;&lt;/record-ids&gt;&lt;/item&gt;&lt;/Libraries&gt;"/>
  </w:docVars>
  <w:rsids>
    <w:rsidRoot w:val="00ED20B5"/>
    <w:rsid w:val="0001436A"/>
    <w:rsid w:val="00034304"/>
    <w:rsid w:val="00035434"/>
    <w:rsid w:val="00052A14"/>
    <w:rsid w:val="00077D53"/>
    <w:rsid w:val="00105FD9"/>
    <w:rsid w:val="00117666"/>
    <w:rsid w:val="001338F4"/>
    <w:rsid w:val="00145F6E"/>
    <w:rsid w:val="001472EE"/>
    <w:rsid w:val="001549D3"/>
    <w:rsid w:val="00160065"/>
    <w:rsid w:val="00167839"/>
    <w:rsid w:val="00177D84"/>
    <w:rsid w:val="001F3441"/>
    <w:rsid w:val="0024378F"/>
    <w:rsid w:val="002605E2"/>
    <w:rsid w:val="00267D18"/>
    <w:rsid w:val="00274347"/>
    <w:rsid w:val="00282418"/>
    <w:rsid w:val="002868E2"/>
    <w:rsid w:val="002869C3"/>
    <w:rsid w:val="002914F1"/>
    <w:rsid w:val="002936E4"/>
    <w:rsid w:val="002B4A57"/>
    <w:rsid w:val="002C74CA"/>
    <w:rsid w:val="003123F4"/>
    <w:rsid w:val="00312448"/>
    <w:rsid w:val="003544FB"/>
    <w:rsid w:val="00394EB4"/>
    <w:rsid w:val="00395DCE"/>
    <w:rsid w:val="003D2F2D"/>
    <w:rsid w:val="003D49F1"/>
    <w:rsid w:val="003E606C"/>
    <w:rsid w:val="003E7F20"/>
    <w:rsid w:val="00401590"/>
    <w:rsid w:val="00447801"/>
    <w:rsid w:val="00452E9C"/>
    <w:rsid w:val="00460BCE"/>
    <w:rsid w:val="004735C8"/>
    <w:rsid w:val="004867DA"/>
    <w:rsid w:val="004947A6"/>
    <w:rsid w:val="004961FF"/>
    <w:rsid w:val="00517A89"/>
    <w:rsid w:val="005250F2"/>
    <w:rsid w:val="00593EEA"/>
    <w:rsid w:val="005A5EEE"/>
    <w:rsid w:val="006375C7"/>
    <w:rsid w:val="006445E4"/>
    <w:rsid w:val="0064588E"/>
    <w:rsid w:val="00654E8F"/>
    <w:rsid w:val="00660D05"/>
    <w:rsid w:val="006820B1"/>
    <w:rsid w:val="006A006F"/>
    <w:rsid w:val="006B7D14"/>
    <w:rsid w:val="006C49B1"/>
    <w:rsid w:val="00701727"/>
    <w:rsid w:val="0070566C"/>
    <w:rsid w:val="00714C50"/>
    <w:rsid w:val="00725A7D"/>
    <w:rsid w:val="00727E72"/>
    <w:rsid w:val="007501BE"/>
    <w:rsid w:val="0078308B"/>
    <w:rsid w:val="00790BB3"/>
    <w:rsid w:val="007C206C"/>
    <w:rsid w:val="007C35AE"/>
    <w:rsid w:val="00817DD6"/>
    <w:rsid w:val="008267E6"/>
    <w:rsid w:val="0083759F"/>
    <w:rsid w:val="008531BD"/>
    <w:rsid w:val="00862637"/>
    <w:rsid w:val="00885156"/>
    <w:rsid w:val="009151AA"/>
    <w:rsid w:val="00933856"/>
    <w:rsid w:val="0093429D"/>
    <w:rsid w:val="00943573"/>
    <w:rsid w:val="00964134"/>
    <w:rsid w:val="00970F7D"/>
    <w:rsid w:val="00977D80"/>
    <w:rsid w:val="00994A3D"/>
    <w:rsid w:val="009B4FBC"/>
    <w:rsid w:val="009C2B12"/>
    <w:rsid w:val="00A174D9"/>
    <w:rsid w:val="00A414A5"/>
    <w:rsid w:val="00A85B42"/>
    <w:rsid w:val="00AA4D24"/>
    <w:rsid w:val="00AB6715"/>
    <w:rsid w:val="00B1671E"/>
    <w:rsid w:val="00B25EB8"/>
    <w:rsid w:val="00B37F4D"/>
    <w:rsid w:val="00B700DA"/>
    <w:rsid w:val="00C315CC"/>
    <w:rsid w:val="00C52A7B"/>
    <w:rsid w:val="00C56BAF"/>
    <w:rsid w:val="00C679AA"/>
    <w:rsid w:val="00C75972"/>
    <w:rsid w:val="00CB74E8"/>
    <w:rsid w:val="00CD066B"/>
    <w:rsid w:val="00CE4FEE"/>
    <w:rsid w:val="00D04362"/>
    <w:rsid w:val="00D060CF"/>
    <w:rsid w:val="00D46CC9"/>
    <w:rsid w:val="00D6415C"/>
    <w:rsid w:val="00D91BE1"/>
    <w:rsid w:val="00DB59C3"/>
    <w:rsid w:val="00DC259A"/>
    <w:rsid w:val="00DE23E8"/>
    <w:rsid w:val="00E52377"/>
    <w:rsid w:val="00E537AD"/>
    <w:rsid w:val="00E64E17"/>
    <w:rsid w:val="00E866C9"/>
    <w:rsid w:val="00EA3D3C"/>
    <w:rsid w:val="00EC090A"/>
    <w:rsid w:val="00ED09D3"/>
    <w:rsid w:val="00ED0B25"/>
    <w:rsid w:val="00ED20B5"/>
    <w:rsid w:val="00EE635C"/>
    <w:rsid w:val="00F10A98"/>
    <w:rsid w:val="00F46900"/>
    <w:rsid w:val="00F61D89"/>
    <w:rsid w:val="00FD6E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MTDisplayEquation">
    <w:name w:val="MTDisplayEquation"/>
    <w:basedOn w:val="Normal"/>
    <w:next w:val="Normal"/>
    <w:link w:val="MTDisplayEquationChar"/>
    <w:rsid w:val="00CB74E8"/>
    <w:pPr>
      <w:tabs>
        <w:tab w:val="center" w:pos="4680"/>
        <w:tab w:val="right" w:pos="9360"/>
      </w:tabs>
      <w:spacing w:before="0" w:after="0" w:line="259" w:lineRule="auto"/>
      <w:contextualSpacing/>
    </w:pPr>
    <w:rPr>
      <w:rFonts w:eastAsiaTheme="minorEastAsia"/>
      <w:lang w:eastAsia="ko-KR"/>
    </w:rPr>
  </w:style>
  <w:style w:type="character" w:customStyle="1" w:styleId="MTDisplayEquationChar">
    <w:name w:val="MTDisplayEquation Char"/>
    <w:basedOn w:val="DefaultParagraphFont"/>
    <w:link w:val="MTDisplayEquation"/>
    <w:rsid w:val="00CB74E8"/>
    <w:rPr>
      <w:rFonts w:ascii="Times New Roman" w:eastAsiaTheme="minorEastAsia" w:hAnsi="Times New Roman"/>
      <w:sz w:val="24"/>
      <w:lang w:eastAsia="ko-KR"/>
    </w:rPr>
  </w:style>
  <w:style w:type="character" w:styleId="UnresolvedMention">
    <w:name w:val="Unresolved Mention"/>
    <w:basedOn w:val="DefaultParagraphFont"/>
    <w:uiPriority w:val="99"/>
    <w:semiHidden/>
    <w:unhideWhenUsed/>
    <w:rsid w:val="00862637"/>
    <w:rPr>
      <w:color w:val="605E5C"/>
      <w:shd w:val="clear" w:color="auto" w:fill="E1DFDD"/>
    </w:rPr>
  </w:style>
  <w:style w:type="paragraph" w:customStyle="1" w:styleId="EndNoteBibliographyTitle">
    <w:name w:val="EndNote Bibliography Title"/>
    <w:basedOn w:val="Normal"/>
    <w:link w:val="EndNoteBibliographyTitleChar"/>
    <w:rsid w:val="002605E2"/>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2605E2"/>
    <w:rPr>
      <w:rFonts w:ascii="Times New Roman" w:hAnsi="Times New Roman" w:cs="Times New Roman"/>
      <w:noProof/>
      <w:sz w:val="24"/>
    </w:rPr>
  </w:style>
  <w:style w:type="paragraph" w:customStyle="1" w:styleId="EndNoteBibliography">
    <w:name w:val="EndNote Bibliography"/>
    <w:basedOn w:val="Normal"/>
    <w:link w:val="EndNoteBibliographyChar"/>
    <w:rsid w:val="002605E2"/>
    <w:rPr>
      <w:rFonts w:cs="Times New Roman"/>
      <w:noProof/>
    </w:rPr>
  </w:style>
  <w:style w:type="character" w:customStyle="1" w:styleId="EndNoteBibliographyChar">
    <w:name w:val="EndNote Bibliography Char"/>
    <w:basedOn w:val="DefaultParagraphFont"/>
    <w:link w:val="EndNoteBibliography"/>
    <w:rsid w:val="002605E2"/>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2.bin"/><Relationship Id="rId112" Type="http://schemas.openxmlformats.org/officeDocument/2006/relationships/image" Target="media/image50.png"/><Relationship Id="rId16" Type="http://schemas.openxmlformats.org/officeDocument/2006/relationships/oleObject" Target="embeddings/oleObject5.bin"/><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2.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header" Target="head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3.wmf"/><Relationship Id="rId22" Type="http://schemas.openxmlformats.org/officeDocument/2006/relationships/oleObject" Target="embeddings/oleObject8.bin"/><Relationship Id="rId27" Type="http://schemas.openxmlformats.org/officeDocument/2006/relationships/image" Target="media/image10.wmf"/><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2.bin"/><Relationship Id="rId113" Type="http://schemas.openxmlformats.org/officeDocument/2006/relationships/image" Target="media/image51.png"/><Relationship Id="rId118" Type="http://schemas.openxmlformats.org/officeDocument/2006/relationships/oleObject" Target="embeddings/oleObject58.bin"/><Relationship Id="rId80" Type="http://schemas.openxmlformats.org/officeDocument/2006/relationships/image" Target="media/image36.wmf"/><Relationship Id="rId85" Type="http://schemas.openxmlformats.org/officeDocument/2006/relationships/oleObject" Target="embeddings/oleObject40.bin"/><Relationship Id="rId12" Type="http://schemas.openxmlformats.org/officeDocument/2006/relationships/image" Target="media/image3.wmf"/><Relationship Id="rId17" Type="http://schemas.openxmlformats.org/officeDocument/2006/relationships/image" Target="media/image5.wmf"/><Relationship Id="rId33" Type="http://schemas.openxmlformats.org/officeDocument/2006/relationships/oleObject" Target="embeddings/oleObject14.bin"/><Relationship Id="rId38" Type="http://schemas.openxmlformats.org/officeDocument/2006/relationships/image" Target="media/image15.wmf"/><Relationship Id="rId59" Type="http://schemas.openxmlformats.org/officeDocument/2006/relationships/oleObject" Target="embeddings/oleObject27.bin"/><Relationship Id="rId103" Type="http://schemas.openxmlformats.org/officeDocument/2006/relationships/oleObject" Target="embeddings/oleObject50.bin"/><Relationship Id="rId108" Type="http://schemas.openxmlformats.org/officeDocument/2006/relationships/oleObject" Target="embeddings/oleObject53.bin"/><Relationship Id="rId124" Type="http://schemas.openxmlformats.org/officeDocument/2006/relationships/footer" Target="footer1.xml"/><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5.bin"/><Relationship Id="rId91" Type="http://schemas.openxmlformats.org/officeDocument/2006/relationships/image" Target="media/image41.wmf"/><Relationship Id="rId96"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oleObject" Target="embeddings/oleObject56.bin"/><Relationship Id="rId119" Type="http://schemas.openxmlformats.org/officeDocument/2006/relationships/image" Target="media/image54.w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39.wmf"/><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image" Target="media/image49.wmf"/><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image" Target="media/image47.wmf"/><Relationship Id="rId120" Type="http://schemas.openxmlformats.org/officeDocument/2006/relationships/oleObject" Target="embeddings/oleObject59.bin"/><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oleObject" Target="embeddings/oleObject20.bin"/><Relationship Id="rId66" Type="http://schemas.openxmlformats.org/officeDocument/2006/relationships/image" Target="media/image29.wmf"/><Relationship Id="rId87" Type="http://schemas.openxmlformats.org/officeDocument/2006/relationships/oleObject" Target="embeddings/oleObject41.bin"/><Relationship Id="rId110" Type="http://schemas.openxmlformats.org/officeDocument/2006/relationships/oleObject" Target="embeddings/oleObject54.bin"/><Relationship Id="rId115" Type="http://schemas.openxmlformats.org/officeDocument/2006/relationships/oleObject" Target="embeddings/oleObject57.bin"/><Relationship Id="rId61" Type="http://schemas.openxmlformats.org/officeDocument/2006/relationships/oleObject" Target="embeddings/oleObject28.bin"/><Relationship Id="rId82" Type="http://schemas.openxmlformats.org/officeDocument/2006/relationships/image" Target="media/image37.wmf"/><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oleObject" Target="embeddings/oleObject48.bin"/><Relationship Id="rId105" Type="http://schemas.openxmlformats.org/officeDocument/2006/relationships/oleObject" Target="embeddings/oleObject51.bin"/><Relationship Id="rId126"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5.w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31.bin"/><Relationship Id="rId116" Type="http://schemas.openxmlformats.org/officeDocument/2006/relationships/image" Target="media/image52.png"/><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27.wmf"/><Relationship Id="rId83" Type="http://schemas.openxmlformats.org/officeDocument/2006/relationships/oleObject" Target="embeddings/oleObject39.bin"/><Relationship Id="rId88" Type="http://schemas.openxmlformats.org/officeDocument/2006/relationships/image" Target="media/image40.wmf"/><Relationship Id="rId111" Type="http://schemas.openxmlformats.org/officeDocument/2006/relationships/oleObject" Target="embeddings/oleObject55.bin"/><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6.bin"/><Relationship Id="rId106" Type="http://schemas.openxmlformats.org/officeDocument/2006/relationships/oleObject" Target="embeddings/oleObject52.bin"/><Relationship Id="rId127"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image" Target="media/image22.wmf"/><Relationship Id="rId73" Type="http://schemas.openxmlformats.org/officeDocument/2006/relationships/oleObject" Target="embeddings/oleObject34.bin"/><Relationship Id="rId78" Type="http://schemas.openxmlformats.org/officeDocument/2006/relationships/image" Target="media/image35.wmf"/><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0.bin"/><Relationship Id="rId4" Type="http://schemas.openxmlformats.org/officeDocument/2006/relationships/settings" Target="settings.xml"/><Relationship Id="rId9"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5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599D3C8-58D6-4C8F-8546-EE6F84BEE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100</TotalTime>
  <Pages>8</Pages>
  <Words>2754</Words>
  <Characters>15700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Hyun-Seob Song</cp:lastModifiedBy>
  <cp:revision>36</cp:revision>
  <cp:lastPrinted>2013-10-03T12:51:00Z</cp:lastPrinted>
  <dcterms:created xsi:type="dcterms:W3CDTF">2019-03-12T18:52:00Z</dcterms:created>
  <dcterms:modified xsi:type="dcterms:W3CDTF">2020-09-21T01:21:00Z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(S#E1)</vt:lpwstr>
  </property>
  <property fmtid="{D5CDD505-2E9C-101B-9397-08002B2CF9AE}" pid="3" name="MTCustomEquationNumber">
    <vt:lpwstr>1</vt:lpwstr>
  </property>
  <property fmtid="{D5CDD505-2E9C-101B-9397-08002B2CF9AE}" pid="4" name="MTWinEqns">
    <vt:bool>true</vt:bool>
  </property>
</Properties>
</file>