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6D661677" w:rsidR="00654E8F" w:rsidRDefault="00654E8F" w:rsidP="0001436A">
      <w:pPr>
        <w:pStyle w:val="SupplementaryMaterial"/>
      </w:pPr>
      <w:r w:rsidRPr="001549D3">
        <w:t>Supplementary Material</w:t>
      </w:r>
    </w:p>
    <w:p w14:paraId="0078BFCE" w14:textId="77777777" w:rsidR="00E80D38" w:rsidRPr="00E80D38" w:rsidRDefault="00E80D38" w:rsidP="00E80D38">
      <w:pPr>
        <w:pStyle w:val="Title"/>
      </w:pPr>
    </w:p>
    <w:p w14:paraId="7077C965" w14:textId="1FCAE687" w:rsidR="00E80D38" w:rsidRPr="005B0E34" w:rsidRDefault="00E80D38" w:rsidP="00E80D38">
      <w:pPr>
        <w:jc w:val="center"/>
        <w:rPr>
          <w:rFonts w:cs="Times New Roman"/>
          <w:szCs w:val="24"/>
        </w:rPr>
      </w:pPr>
      <w:r w:rsidRPr="005B0E34">
        <w:rPr>
          <w:rFonts w:cs="Times New Roman"/>
          <w:szCs w:val="24"/>
        </w:rPr>
        <w:t>Fixel based analysis reveals atypical white matter micro- and macrostructure in adults with autism spectrum disorder</w:t>
      </w:r>
      <w:r w:rsidR="00DB79FB">
        <w:rPr>
          <w:rFonts w:cs="Times New Roman"/>
          <w:szCs w:val="24"/>
        </w:rPr>
        <w:t xml:space="preserve">: </w:t>
      </w:r>
      <w:bookmarkStart w:id="0" w:name="_GoBack"/>
      <w:bookmarkEnd w:id="0"/>
      <w:r w:rsidR="00DB79FB" w:rsidRPr="00DB79FB">
        <w:rPr>
          <w:rFonts w:cs="Times New Roman"/>
          <w:szCs w:val="24"/>
        </w:rPr>
        <w:t>An investigation of the role of biological sex</w:t>
      </w:r>
    </w:p>
    <w:p w14:paraId="6C337729" w14:textId="77777777" w:rsidR="001557EA" w:rsidRPr="005B0E34" w:rsidRDefault="001557EA" w:rsidP="00E80D38">
      <w:pPr>
        <w:jc w:val="center"/>
        <w:rPr>
          <w:rFonts w:cs="Times New Roman"/>
          <w:szCs w:val="24"/>
        </w:rPr>
      </w:pPr>
    </w:p>
    <w:p w14:paraId="7B65BC41" w14:textId="7109B22E" w:rsidR="00DE23E8" w:rsidRPr="005B0E34" w:rsidRDefault="00C7285E" w:rsidP="00654E8F">
      <w:pPr>
        <w:spacing w:before="240"/>
        <w:rPr>
          <w:rFonts w:cs="Times New Roman"/>
          <w:szCs w:val="24"/>
        </w:rPr>
      </w:pPr>
      <w:r w:rsidRPr="005B0E34">
        <w:rPr>
          <w:rFonts w:cs="Times New Roman"/>
          <w:szCs w:val="24"/>
        </w:rPr>
        <w:t>Supplementary Table S1.</w:t>
      </w:r>
      <w:r w:rsidR="00CF3D03" w:rsidRPr="005B0E34">
        <w:rPr>
          <w:rFonts w:cs="Times New Roman"/>
          <w:szCs w:val="24"/>
        </w:rPr>
        <w:t xml:space="preserve"> Descriptive statistics for intracranial volume (ICV) 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1001"/>
        <w:gridCol w:w="1290"/>
        <w:gridCol w:w="1403"/>
        <w:gridCol w:w="1029"/>
        <w:gridCol w:w="1290"/>
        <w:gridCol w:w="1391"/>
        <w:gridCol w:w="1030"/>
      </w:tblGrid>
      <w:tr w:rsidR="00C7285E" w:rsidRPr="005B0E34" w14:paraId="4BBBB589" w14:textId="77777777" w:rsidTr="005B0E34">
        <w:trPr>
          <w:trHeight w:val="315"/>
        </w:trPr>
        <w:tc>
          <w:tcPr>
            <w:tcW w:w="50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489C7060" w14:textId="77777777" w:rsidR="00C7285E" w:rsidRPr="005B0E34" w:rsidRDefault="00C7285E" w:rsidP="00C7285E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3490012C" w14:textId="77777777" w:rsidR="00C7285E" w:rsidRPr="005B0E34" w:rsidRDefault="00C7285E" w:rsidP="00C7285E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</w:p>
        </w:tc>
        <w:tc>
          <w:tcPr>
            <w:tcW w:w="1981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01225A89" w14:textId="71C7BE64" w:rsidR="00C7285E" w:rsidRPr="005B0E34" w:rsidRDefault="00C7285E" w:rsidP="00C7285E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Healthy Control</w:t>
            </w:r>
            <w:r w:rsidR="009711B2" w:rsidRPr="005B0E34">
              <w:rPr>
                <w:rFonts w:eastAsia="Times New Roman" w:cs="Times New Roman"/>
                <w:szCs w:val="24"/>
                <w:lang w:val="en-AU" w:eastAsia="en-AU"/>
              </w:rPr>
              <w:t>s</w:t>
            </w:r>
          </w:p>
        </w:tc>
        <w:tc>
          <w:tcPr>
            <w:tcW w:w="1975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4E69CBC9" w14:textId="07DA7934" w:rsidR="00C7285E" w:rsidRPr="005B0E34" w:rsidRDefault="009711B2" w:rsidP="00C7285E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Autism Spectrum Disorder</w:t>
            </w:r>
          </w:p>
        </w:tc>
      </w:tr>
      <w:tr w:rsidR="00C7285E" w:rsidRPr="005B0E34" w14:paraId="0732508B" w14:textId="77777777" w:rsidTr="005B0E34">
        <w:trPr>
          <w:trHeight w:val="315"/>
        </w:trPr>
        <w:tc>
          <w:tcPr>
            <w:tcW w:w="50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516C6E4" w14:textId="77777777" w:rsidR="00C7285E" w:rsidRPr="005B0E34" w:rsidRDefault="00C7285E" w:rsidP="00C7285E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 </w:t>
            </w:r>
          </w:p>
        </w:tc>
        <w:tc>
          <w:tcPr>
            <w:tcW w:w="54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5D9198F" w14:textId="77777777" w:rsidR="00C7285E" w:rsidRPr="005B0E34" w:rsidRDefault="00C7285E" w:rsidP="00C7285E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 </w:t>
            </w:r>
          </w:p>
        </w:tc>
        <w:tc>
          <w:tcPr>
            <w:tcW w:w="6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4B638D2" w14:textId="77777777" w:rsidR="00C7285E" w:rsidRPr="005B0E34" w:rsidRDefault="00C7285E" w:rsidP="00C7285E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Mean (SD)</w:t>
            </w:r>
          </w:p>
        </w:tc>
        <w:tc>
          <w:tcPr>
            <w:tcW w:w="75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DAEC122" w14:textId="77777777" w:rsidR="00C7285E" w:rsidRPr="005B0E34" w:rsidRDefault="00C7285E" w:rsidP="00C7285E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Range</w:t>
            </w: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433FE1C" w14:textId="79FAD10C" w:rsidR="00C7285E" w:rsidRPr="005B0E34" w:rsidRDefault="00D76EEA" w:rsidP="00C7285E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proofErr w:type="spellStart"/>
            <w:r>
              <w:rPr>
                <w:rFonts w:eastAsia="Times New Roman" w:cs="Times New Roman"/>
                <w:szCs w:val="24"/>
                <w:lang w:val="en-AU" w:eastAsia="en-AU"/>
              </w:rPr>
              <w:t>Mdn</w:t>
            </w:r>
            <w:proofErr w:type="spellEnd"/>
          </w:p>
        </w:tc>
        <w:tc>
          <w:tcPr>
            <w:tcW w:w="66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5C45847" w14:textId="77777777" w:rsidR="00C7285E" w:rsidRPr="005B0E34" w:rsidRDefault="00C7285E" w:rsidP="00C7285E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Mean (SD)</w:t>
            </w:r>
          </w:p>
        </w:tc>
        <w:tc>
          <w:tcPr>
            <w:tcW w:w="75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87B6153" w14:textId="77777777" w:rsidR="00C7285E" w:rsidRPr="005B0E34" w:rsidRDefault="00C7285E" w:rsidP="00C7285E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Range</w:t>
            </w: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0519C92" w14:textId="636A242D" w:rsidR="00C7285E" w:rsidRPr="005B0E34" w:rsidRDefault="00D76EEA" w:rsidP="00C7285E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proofErr w:type="spellStart"/>
            <w:r>
              <w:rPr>
                <w:rFonts w:eastAsia="Times New Roman" w:cs="Times New Roman"/>
                <w:szCs w:val="24"/>
                <w:lang w:val="en-AU" w:eastAsia="en-AU"/>
              </w:rPr>
              <w:t>Mdn</w:t>
            </w:r>
            <w:proofErr w:type="spellEnd"/>
          </w:p>
        </w:tc>
      </w:tr>
      <w:tr w:rsidR="00C7285E" w:rsidRPr="005B0E34" w14:paraId="1D65F811" w14:textId="77777777" w:rsidTr="005B0E34">
        <w:trPr>
          <w:trHeight w:val="375"/>
        </w:trPr>
        <w:tc>
          <w:tcPr>
            <w:tcW w:w="502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0489294" w14:textId="218D04AC" w:rsidR="00C7285E" w:rsidRPr="005B0E34" w:rsidRDefault="00C7285E" w:rsidP="00C7285E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IC</w:t>
            </w:r>
            <w:r w:rsidR="00CA2FCF" w:rsidRPr="005B0E34">
              <w:rPr>
                <w:rFonts w:eastAsia="Times New Roman" w:cs="Times New Roman"/>
                <w:szCs w:val="24"/>
                <w:lang w:val="en-AU" w:eastAsia="en-AU"/>
              </w:rPr>
              <w:t>V</w:t>
            </w:r>
          </w:p>
        </w:tc>
        <w:tc>
          <w:tcPr>
            <w:tcW w:w="542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B2C0670" w14:textId="77777777" w:rsidR="00C7285E" w:rsidRPr="005B0E34" w:rsidRDefault="00C7285E" w:rsidP="00C7285E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Total</w:t>
            </w:r>
          </w:p>
        </w:tc>
        <w:tc>
          <w:tcPr>
            <w:tcW w:w="667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2FFEC41" w14:textId="1802F7BD" w:rsidR="00C7285E" w:rsidRPr="005B0E34" w:rsidRDefault="00CA2FCF" w:rsidP="00C7285E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1.5 (0.14)</w:t>
            </w:r>
          </w:p>
        </w:tc>
        <w:tc>
          <w:tcPr>
            <w:tcW w:w="757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F172CF0" w14:textId="50BD635E" w:rsidR="00C7285E" w:rsidRPr="005B0E34" w:rsidRDefault="00CA2FCF" w:rsidP="00C7285E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1.23 – 1.74</w:t>
            </w: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723DD49" w14:textId="36F3B868" w:rsidR="00C7285E" w:rsidRPr="005B0E34" w:rsidRDefault="00CA2FCF" w:rsidP="00C7285E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1.50</w:t>
            </w:r>
          </w:p>
        </w:tc>
        <w:tc>
          <w:tcPr>
            <w:tcW w:w="668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43774A5" w14:textId="217C6F88" w:rsidR="00C7285E" w:rsidRPr="005B0E34" w:rsidRDefault="00CA2FCF" w:rsidP="00C7285E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1.52 (0.17)</w:t>
            </w:r>
          </w:p>
        </w:tc>
        <w:tc>
          <w:tcPr>
            <w:tcW w:w="750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E82B0E2" w14:textId="05692909" w:rsidR="00C7285E" w:rsidRPr="005B0E34" w:rsidRDefault="00CA2FCF" w:rsidP="00C7285E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1.28 – 2.30</w:t>
            </w: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6C8D139" w14:textId="00B1B237" w:rsidR="00C7285E" w:rsidRPr="005B0E34" w:rsidRDefault="00CA2FCF" w:rsidP="00C7285E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1.50</w:t>
            </w:r>
          </w:p>
        </w:tc>
      </w:tr>
      <w:tr w:rsidR="00C7285E" w:rsidRPr="005B0E34" w14:paraId="269EA08B" w14:textId="77777777" w:rsidTr="005B0E34">
        <w:trPr>
          <w:trHeight w:val="315"/>
        </w:trPr>
        <w:tc>
          <w:tcPr>
            <w:tcW w:w="502" w:type="pct"/>
            <w:shd w:val="clear" w:color="auto" w:fill="auto"/>
            <w:noWrap/>
            <w:hideMark/>
          </w:tcPr>
          <w:p w14:paraId="6BEA6B81" w14:textId="39F8FC1F" w:rsidR="00C7285E" w:rsidRPr="005B0E34" w:rsidRDefault="00CA2FCF" w:rsidP="00C7285E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(litres)</w:t>
            </w:r>
          </w:p>
        </w:tc>
        <w:tc>
          <w:tcPr>
            <w:tcW w:w="542" w:type="pct"/>
            <w:shd w:val="clear" w:color="auto" w:fill="auto"/>
            <w:noWrap/>
            <w:hideMark/>
          </w:tcPr>
          <w:p w14:paraId="1B2B3112" w14:textId="77777777" w:rsidR="00C7285E" w:rsidRPr="005B0E34" w:rsidRDefault="00C7285E" w:rsidP="00C7285E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Male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14:paraId="63064718" w14:textId="3353F565" w:rsidR="00C7285E" w:rsidRPr="005B0E34" w:rsidRDefault="00CA2FCF" w:rsidP="00C7285E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1.54 (0.16)</w:t>
            </w:r>
          </w:p>
        </w:tc>
        <w:tc>
          <w:tcPr>
            <w:tcW w:w="757" w:type="pct"/>
            <w:shd w:val="clear" w:color="auto" w:fill="auto"/>
            <w:noWrap/>
          </w:tcPr>
          <w:p w14:paraId="02E24F78" w14:textId="09789CE1" w:rsidR="00C7285E" w:rsidRPr="005B0E34" w:rsidRDefault="00CA2FCF" w:rsidP="00C7285E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1.23 – 1.74</w:t>
            </w:r>
          </w:p>
        </w:tc>
        <w:tc>
          <w:tcPr>
            <w:tcW w:w="557" w:type="pct"/>
            <w:shd w:val="clear" w:color="auto" w:fill="auto"/>
            <w:noWrap/>
          </w:tcPr>
          <w:p w14:paraId="3F0F69B6" w14:textId="05635AF5" w:rsidR="00C7285E" w:rsidRPr="005B0E34" w:rsidRDefault="00CA2FCF" w:rsidP="00C7285E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1.54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29CC1EDC" w14:textId="516F67B3" w:rsidR="00C7285E" w:rsidRPr="005B0E34" w:rsidRDefault="00CA2FCF" w:rsidP="00C7285E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1.60 (0.18)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16C8A2EF" w14:textId="151F61C8" w:rsidR="00C7285E" w:rsidRPr="005B0E34" w:rsidRDefault="00CA2FCF" w:rsidP="00C7285E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1.35 – 2.30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14:paraId="2A1F6977" w14:textId="2A5FC8A4" w:rsidR="00C7285E" w:rsidRPr="005B0E34" w:rsidRDefault="00CA2FCF" w:rsidP="00C7285E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1.59</w:t>
            </w:r>
          </w:p>
        </w:tc>
      </w:tr>
      <w:tr w:rsidR="00CA2FCF" w:rsidRPr="005B0E34" w14:paraId="7EF40244" w14:textId="77777777" w:rsidTr="005B0E34">
        <w:trPr>
          <w:trHeight w:val="315"/>
        </w:trPr>
        <w:tc>
          <w:tcPr>
            <w:tcW w:w="502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E81BF5A" w14:textId="77777777" w:rsidR="00CA2FCF" w:rsidRPr="005B0E34" w:rsidRDefault="00CA2FCF" w:rsidP="00CA2FCF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296A4C8" w14:textId="77777777" w:rsidR="00CA2FCF" w:rsidRPr="005B0E34" w:rsidRDefault="00CA2FCF" w:rsidP="00CA2FCF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Female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83C5244" w14:textId="56B08729" w:rsidR="00CA2FCF" w:rsidRPr="005B0E34" w:rsidRDefault="00CA2FCF" w:rsidP="00CA2FCF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1.46 (0.10)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D2CCABA" w14:textId="43C55DD7" w:rsidR="00CA2FCF" w:rsidRPr="005B0E34" w:rsidRDefault="00CA2FCF" w:rsidP="00CA2FCF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1.30 – 1.62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A6A1B1C" w14:textId="05ADCE23" w:rsidR="00CA2FCF" w:rsidRPr="005B0E34" w:rsidRDefault="00CA2FCF" w:rsidP="00CA2FCF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1.46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09DEFC1" w14:textId="18C53D0A" w:rsidR="00CA2FCF" w:rsidRPr="005B0E34" w:rsidRDefault="00CA2FCF" w:rsidP="00CA2FCF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1.44 (0.11)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6038BD8" w14:textId="2A25226F" w:rsidR="00CA2FCF" w:rsidRPr="005B0E34" w:rsidRDefault="00CA2FCF" w:rsidP="00CA2FCF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1.28 – 1.63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11890F2" w14:textId="3D6BAA2A" w:rsidR="00CA2FCF" w:rsidRPr="005B0E34" w:rsidRDefault="00CA2FCF" w:rsidP="00CA2FCF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1.42</w:t>
            </w:r>
          </w:p>
        </w:tc>
      </w:tr>
    </w:tbl>
    <w:p w14:paraId="37255C76" w14:textId="77777777" w:rsidR="005B0E34" w:rsidRDefault="005B0E34" w:rsidP="00C76235">
      <w:pPr>
        <w:spacing w:before="240"/>
        <w:rPr>
          <w:rFonts w:cs="Times New Roman"/>
          <w:szCs w:val="24"/>
        </w:rPr>
      </w:pPr>
    </w:p>
    <w:p w14:paraId="44665880" w14:textId="77777777" w:rsidR="005B0E34" w:rsidRDefault="005B0E34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0CF40A7C" w14:textId="33E625F6" w:rsidR="00C76235" w:rsidRPr="005B0E34" w:rsidRDefault="00C76235" w:rsidP="00C76235">
      <w:pPr>
        <w:spacing w:before="240"/>
        <w:rPr>
          <w:rFonts w:cs="Times New Roman"/>
          <w:szCs w:val="24"/>
        </w:rPr>
      </w:pPr>
      <w:r w:rsidRPr="005B0E34">
        <w:rPr>
          <w:rFonts w:cs="Times New Roman"/>
          <w:szCs w:val="24"/>
        </w:rPr>
        <w:lastRenderedPageBreak/>
        <w:t>Supplementary Table S2. Descriptive statistics for</w:t>
      </w:r>
      <w:r w:rsidR="00BE2D6F" w:rsidRPr="005B0E34">
        <w:rPr>
          <w:rFonts w:cs="Times New Roman"/>
          <w:szCs w:val="24"/>
        </w:rPr>
        <w:t xml:space="preserve"> frame wise displacement (FWD)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992"/>
        <w:gridCol w:w="1421"/>
        <w:gridCol w:w="1277"/>
        <w:gridCol w:w="992"/>
        <w:gridCol w:w="1279"/>
        <w:gridCol w:w="1344"/>
        <w:gridCol w:w="782"/>
      </w:tblGrid>
      <w:tr w:rsidR="005B0E34" w:rsidRPr="005B0E34" w14:paraId="45841A48" w14:textId="77777777" w:rsidTr="00D76EEA">
        <w:trPr>
          <w:trHeight w:val="315"/>
        </w:trPr>
        <w:tc>
          <w:tcPr>
            <w:tcW w:w="6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942F4B7" w14:textId="77777777" w:rsidR="00C76235" w:rsidRPr="005B0E34" w:rsidRDefault="00C76235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</w:p>
        </w:tc>
        <w:tc>
          <w:tcPr>
            <w:tcW w:w="53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8B2D6C3" w14:textId="77777777" w:rsidR="00C76235" w:rsidRPr="005B0E34" w:rsidRDefault="00C76235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</w:p>
        </w:tc>
        <w:tc>
          <w:tcPr>
            <w:tcW w:w="1971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FE5DF37" w14:textId="77777777" w:rsidR="00C76235" w:rsidRPr="005B0E34" w:rsidRDefault="00C76235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Healthy Controls</w:t>
            </w:r>
          </w:p>
        </w:tc>
        <w:tc>
          <w:tcPr>
            <w:tcW w:w="1819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0B11BCC" w14:textId="77777777" w:rsidR="00C76235" w:rsidRPr="005B0E34" w:rsidRDefault="00C76235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Autism Spectrum Disorder</w:t>
            </w:r>
          </w:p>
        </w:tc>
      </w:tr>
      <w:tr w:rsidR="00D76EEA" w:rsidRPr="005B0E34" w14:paraId="2D88E8EE" w14:textId="77777777" w:rsidTr="00D76EEA">
        <w:trPr>
          <w:trHeight w:val="315"/>
        </w:trPr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F10655" w14:textId="0D6F522A" w:rsidR="00C76235" w:rsidRPr="005B0E34" w:rsidRDefault="00C76235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8CE456" w14:textId="02AFC8E3" w:rsidR="00C76235" w:rsidRPr="005B0E34" w:rsidRDefault="00C76235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20A203" w14:textId="77777777" w:rsidR="00C76235" w:rsidRPr="005B0E34" w:rsidRDefault="00C76235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Mean (SD)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F44725" w14:textId="77777777" w:rsidR="00C76235" w:rsidRPr="005B0E34" w:rsidRDefault="00C76235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Range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5A5286" w14:textId="1D37AFB6" w:rsidR="00C76235" w:rsidRPr="005B0E34" w:rsidRDefault="00D76EEA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proofErr w:type="spellStart"/>
            <w:r>
              <w:rPr>
                <w:rFonts w:eastAsia="Times New Roman" w:cs="Times New Roman"/>
                <w:szCs w:val="24"/>
                <w:lang w:val="en-AU" w:eastAsia="en-AU"/>
              </w:rPr>
              <w:t>Mdn</w:t>
            </w:r>
            <w:proofErr w:type="spellEnd"/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1CB0B9" w14:textId="77777777" w:rsidR="00C76235" w:rsidRPr="005B0E34" w:rsidRDefault="00C76235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Mean (SD)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B4A56F" w14:textId="77777777" w:rsidR="00C76235" w:rsidRPr="005B0E34" w:rsidRDefault="00C76235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Range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3B99D1" w14:textId="37DCEBC9" w:rsidR="00C76235" w:rsidRPr="005B0E34" w:rsidRDefault="00D76EEA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proofErr w:type="spellStart"/>
            <w:r>
              <w:rPr>
                <w:rFonts w:eastAsia="Times New Roman" w:cs="Times New Roman"/>
                <w:szCs w:val="24"/>
                <w:lang w:val="en-AU" w:eastAsia="en-AU"/>
              </w:rPr>
              <w:t>Mdn</w:t>
            </w:r>
            <w:proofErr w:type="spellEnd"/>
          </w:p>
        </w:tc>
      </w:tr>
      <w:tr w:rsidR="005B0E34" w:rsidRPr="005B0E34" w14:paraId="2BF8CCE7" w14:textId="77777777" w:rsidTr="00D76EEA">
        <w:trPr>
          <w:trHeight w:val="375"/>
        </w:trPr>
        <w:tc>
          <w:tcPr>
            <w:tcW w:w="1210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81BB33" w14:textId="124A9D3A" w:rsidR="00BE2D6F" w:rsidRPr="005B0E34" w:rsidRDefault="00BE2D6F" w:rsidP="005B0E34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b/>
                <w:bCs/>
                <w:szCs w:val="24"/>
                <w:lang w:val="en-AU" w:eastAsia="en-AU"/>
              </w:rPr>
              <w:t>Pre-correction</w:t>
            </w:r>
          </w:p>
        </w:tc>
        <w:tc>
          <w:tcPr>
            <w:tcW w:w="75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F75949" w14:textId="77777777" w:rsidR="00BE2D6F" w:rsidRPr="005B0E34" w:rsidRDefault="00BE2D6F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</w:p>
        </w:tc>
        <w:tc>
          <w:tcPr>
            <w:tcW w:w="6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29237B" w14:textId="77777777" w:rsidR="00BE2D6F" w:rsidRPr="005B0E34" w:rsidRDefault="00BE2D6F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</w:p>
        </w:tc>
        <w:tc>
          <w:tcPr>
            <w:tcW w:w="53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42F6FC" w14:textId="77777777" w:rsidR="00BE2D6F" w:rsidRPr="005B0E34" w:rsidRDefault="00BE2D6F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</w:p>
        </w:tc>
        <w:tc>
          <w:tcPr>
            <w:tcW w:w="68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09D818" w14:textId="77777777" w:rsidR="00BE2D6F" w:rsidRPr="005B0E34" w:rsidRDefault="00BE2D6F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</w:p>
        </w:tc>
        <w:tc>
          <w:tcPr>
            <w:tcW w:w="71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B3F38D" w14:textId="77777777" w:rsidR="00BE2D6F" w:rsidRPr="005B0E34" w:rsidRDefault="00BE2D6F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</w:p>
        </w:tc>
        <w:tc>
          <w:tcPr>
            <w:tcW w:w="41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93322D" w14:textId="77777777" w:rsidR="00BE2D6F" w:rsidRPr="005B0E34" w:rsidRDefault="00BE2D6F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</w:p>
        </w:tc>
      </w:tr>
      <w:tr w:rsidR="00D76EEA" w:rsidRPr="005B0E34" w14:paraId="4BC1080B" w14:textId="77777777" w:rsidTr="00D76EEA">
        <w:trPr>
          <w:trHeight w:val="375"/>
        </w:trPr>
        <w:tc>
          <w:tcPr>
            <w:tcW w:w="680" w:type="pct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CABA1" w14:textId="4DC932B7" w:rsidR="00F670A0" w:rsidRPr="005B0E34" w:rsidRDefault="00F670A0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 xml:space="preserve">FWD </w:t>
            </w:r>
            <w:r w:rsidR="008A7CA6">
              <w:rPr>
                <w:rFonts w:eastAsia="Times New Roman" w:cs="Times New Roman"/>
                <w:szCs w:val="24"/>
                <w:lang w:val="en-AU" w:eastAsia="en-AU"/>
              </w:rPr>
              <w:t xml:space="preserve">mm </w:t>
            </w: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(including b=2000s and b=0s)</w:t>
            </w:r>
          </w:p>
        </w:tc>
        <w:tc>
          <w:tcPr>
            <w:tcW w:w="53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13009" w14:textId="08FF4AB4" w:rsidR="00F670A0" w:rsidRPr="005B0E34" w:rsidRDefault="00F670A0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Total</w:t>
            </w:r>
          </w:p>
        </w:tc>
        <w:tc>
          <w:tcPr>
            <w:tcW w:w="75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C7626" w14:textId="1AE81B32" w:rsidR="00F670A0" w:rsidRPr="005B0E34" w:rsidRDefault="00F670A0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0.99 (0.26)</w:t>
            </w:r>
          </w:p>
        </w:tc>
        <w:tc>
          <w:tcPr>
            <w:tcW w:w="68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D8871" w14:textId="13E46E9F" w:rsidR="00F670A0" w:rsidRPr="005B0E34" w:rsidRDefault="00F670A0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0.64 - 1.62</w:t>
            </w:r>
          </w:p>
        </w:tc>
        <w:tc>
          <w:tcPr>
            <w:tcW w:w="53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81B9C" w14:textId="3A0C324A" w:rsidR="00F670A0" w:rsidRPr="005B0E34" w:rsidRDefault="00F670A0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0.94</w:t>
            </w:r>
          </w:p>
        </w:tc>
        <w:tc>
          <w:tcPr>
            <w:tcW w:w="68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8113B" w14:textId="607CB975" w:rsidR="00F670A0" w:rsidRPr="005B0E34" w:rsidRDefault="00F670A0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1.23 (0.64)</w:t>
            </w:r>
          </w:p>
        </w:tc>
        <w:tc>
          <w:tcPr>
            <w:tcW w:w="71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9CAF2" w14:textId="596217DD" w:rsidR="00F670A0" w:rsidRPr="005B0E34" w:rsidRDefault="00F670A0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0.61 - 3.87</w:t>
            </w:r>
          </w:p>
        </w:tc>
        <w:tc>
          <w:tcPr>
            <w:tcW w:w="41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B5678" w14:textId="13AA153A" w:rsidR="00F670A0" w:rsidRPr="005B0E34" w:rsidRDefault="00F670A0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1.24</w:t>
            </w:r>
          </w:p>
        </w:tc>
      </w:tr>
      <w:tr w:rsidR="00D76EEA" w:rsidRPr="005B0E34" w14:paraId="2B1328FC" w14:textId="77777777" w:rsidTr="00D76EEA">
        <w:trPr>
          <w:trHeight w:val="315"/>
        </w:trPr>
        <w:tc>
          <w:tcPr>
            <w:tcW w:w="68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E6EA7" w14:textId="3B164623" w:rsidR="00F670A0" w:rsidRPr="005B0E34" w:rsidRDefault="00F670A0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7E2A6" w14:textId="31305E98" w:rsidR="00F670A0" w:rsidRPr="005B0E34" w:rsidRDefault="00F670A0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Male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EB5F2" w14:textId="3612C9F6" w:rsidR="00F670A0" w:rsidRPr="005B0E34" w:rsidRDefault="00F670A0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0.97 (0.24)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A6F53B" w14:textId="24795133" w:rsidR="00F670A0" w:rsidRPr="005B0E34" w:rsidRDefault="00F670A0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0.64 - 1.37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1ABD10" w14:textId="1C2C4AE8" w:rsidR="00F670A0" w:rsidRPr="005B0E34" w:rsidRDefault="00F670A0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0.94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3E67A" w14:textId="0E3DDBDE" w:rsidR="00F670A0" w:rsidRPr="005B0E34" w:rsidRDefault="00F670A0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1.32 (0.33)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DC418" w14:textId="0D3BF822" w:rsidR="00F670A0" w:rsidRPr="005B0E34" w:rsidRDefault="00F670A0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0.68 - 1.74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8842B" w14:textId="4A2EE871" w:rsidR="00F670A0" w:rsidRPr="005B0E34" w:rsidRDefault="00F670A0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1.30</w:t>
            </w:r>
          </w:p>
        </w:tc>
      </w:tr>
      <w:tr w:rsidR="00D76EEA" w:rsidRPr="005B0E34" w14:paraId="4A0269F1" w14:textId="77777777" w:rsidTr="00D76EEA">
        <w:trPr>
          <w:trHeight w:val="315"/>
        </w:trPr>
        <w:tc>
          <w:tcPr>
            <w:tcW w:w="680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1815CE" w14:textId="77777777" w:rsidR="00F670A0" w:rsidRPr="005B0E34" w:rsidRDefault="00F670A0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093389" w14:textId="59178923" w:rsidR="00F670A0" w:rsidRPr="005B0E34" w:rsidRDefault="00F670A0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Female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0AF559" w14:textId="2C03D554" w:rsidR="00F670A0" w:rsidRPr="005B0E34" w:rsidRDefault="00F670A0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1.01 (0.30)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73245B" w14:textId="03EB9365" w:rsidR="00F670A0" w:rsidRPr="005B0E34" w:rsidRDefault="00F670A0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0.67 - 1.62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46ACC6" w14:textId="43D01C84" w:rsidR="00F670A0" w:rsidRPr="005B0E34" w:rsidRDefault="00F670A0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0.96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5EE932" w14:textId="14513E2E" w:rsidR="00F670A0" w:rsidRPr="005B0E34" w:rsidRDefault="00F670A0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1.26 (0.85)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24DEA9" w14:textId="0CD00C67" w:rsidR="00F670A0" w:rsidRPr="005B0E34" w:rsidRDefault="00F670A0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0.61 - 3.87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7EB569" w14:textId="3E77DF8D" w:rsidR="00F670A0" w:rsidRPr="005B0E34" w:rsidRDefault="00F670A0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1.09</w:t>
            </w:r>
          </w:p>
        </w:tc>
      </w:tr>
      <w:tr w:rsidR="00D76EEA" w:rsidRPr="005B0E34" w14:paraId="035BC4E9" w14:textId="77777777" w:rsidTr="00D76EEA">
        <w:trPr>
          <w:trHeight w:val="315"/>
        </w:trPr>
        <w:tc>
          <w:tcPr>
            <w:tcW w:w="680" w:type="pct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9A7127F" w14:textId="18277A65" w:rsidR="00F670A0" w:rsidRPr="005B0E34" w:rsidRDefault="00F670A0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 xml:space="preserve">FWD </w:t>
            </w:r>
            <w:r w:rsidR="008A7CA6">
              <w:rPr>
                <w:rFonts w:eastAsia="Times New Roman" w:cs="Times New Roman"/>
                <w:szCs w:val="24"/>
                <w:lang w:val="en-AU" w:eastAsia="en-AU"/>
              </w:rPr>
              <w:t xml:space="preserve">mm </w:t>
            </w: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(including b=2000s only)</w:t>
            </w:r>
          </w:p>
        </w:tc>
        <w:tc>
          <w:tcPr>
            <w:tcW w:w="53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97D8B11" w14:textId="5407034C" w:rsidR="00F670A0" w:rsidRPr="005B0E34" w:rsidRDefault="00F670A0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Total</w:t>
            </w:r>
          </w:p>
        </w:tc>
        <w:tc>
          <w:tcPr>
            <w:tcW w:w="75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04D11D2" w14:textId="5E3A0AD4" w:rsidR="00F670A0" w:rsidRPr="005B0E34" w:rsidRDefault="00E4767D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0.61 (0.15)</w:t>
            </w:r>
          </w:p>
        </w:tc>
        <w:tc>
          <w:tcPr>
            <w:tcW w:w="68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7B18EDE" w14:textId="6418D394" w:rsidR="00F670A0" w:rsidRPr="005B0E34" w:rsidRDefault="004B6927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0.42 - 0.89</w:t>
            </w:r>
          </w:p>
        </w:tc>
        <w:tc>
          <w:tcPr>
            <w:tcW w:w="53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1C28B80" w14:textId="4277E971" w:rsidR="00F670A0" w:rsidRPr="005B0E34" w:rsidRDefault="000D602D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0.56</w:t>
            </w:r>
          </w:p>
        </w:tc>
        <w:tc>
          <w:tcPr>
            <w:tcW w:w="68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F6E97D2" w14:textId="0165A0E2" w:rsidR="00F670A0" w:rsidRPr="005B0E34" w:rsidRDefault="008D4FC6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0.78 (0.51)</w:t>
            </w:r>
          </w:p>
        </w:tc>
        <w:tc>
          <w:tcPr>
            <w:tcW w:w="71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0C349D4" w14:textId="15239612" w:rsidR="00F670A0" w:rsidRPr="005B0E34" w:rsidRDefault="004B6927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0.41 - 3.13</w:t>
            </w:r>
          </w:p>
        </w:tc>
        <w:tc>
          <w:tcPr>
            <w:tcW w:w="41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EF40B21" w14:textId="0CD857AB" w:rsidR="00F670A0" w:rsidRPr="005B0E34" w:rsidRDefault="000D602D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0.71</w:t>
            </w:r>
          </w:p>
        </w:tc>
      </w:tr>
      <w:tr w:rsidR="005B0E34" w:rsidRPr="005B0E34" w14:paraId="41D284D0" w14:textId="77777777" w:rsidTr="00D76EEA">
        <w:trPr>
          <w:trHeight w:val="70"/>
        </w:trPr>
        <w:tc>
          <w:tcPr>
            <w:tcW w:w="68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9DE2E7" w14:textId="77777777" w:rsidR="00B43315" w:rsidRPr="005B0E34" w:rsidRDefault="00B43315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16A3F7" w14:textId="2C164FBB" w:rsidR="00B43315" w:rsidRPr="005B0E34" w:rsidRDefault="00B43315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Male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9D11DF" w14:textId="0ED03194" w:rsidR="00B43315" w:rsidRPr="005B0E34" w:rsidRDefault="00B43315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cs="Times New Roman"/>
                <w:color w:val="000000"/>
                <w:szCs w:val="24"/>
              </w:rPr>
              <w:t>0.52 (0.1)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C37B5D" w14:textId="640ABB34" w:rsidR="00B43315" w:rsidRPr="005B0E34" w:rsidRDefault="00B43315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cs="Times New Roman"/>
                <w:color w:val="000000"/>
                <w:szCs w:val="24"/>
              </w:rPr>
              <w:t>0.42 - 0.79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609972" w14:textId="09CC72F5" w:rsidR="00B43315" w:rsidRPr="005B0E34" w:rsidRDefault="00C41542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0.50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EB6B26" w14:textId="4DC569D7" w:rsidR="00B43315" w:rsidRPr="005B0E34" w:rsidRDefault="00B43315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cs="Times New Roman"/>
                <w:color w:val="000000"/>
                <w:szCs w:val="24"/>
              </w:rPr>
              <w:t>0.69 (0.17)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7A8E9C" w14:textId="297A4B07" w:rsidR="00B43315" w:rsidRPr="005B0E34" w:rsidRDefault="00B43315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cs="Times New Roman"/>
                <w:color w:val="000000"/>
                <w:szCs w:val="24"/>
              </w:rPr>
              <w:t>0.42 - 0.99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BDCF9D" w14:textId="7C414A05" w:rsidR="00B43315" w:rsidRPr="005B0E34" w:rsidRDefault="00C41542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0.66</w:t>
            </w:r>
          </w:p>
        </w:tc>
      </w:tr>
      <w:tr w:rsidR="005B0E34" w:rsidRPr="005B0E34" w14:paraId="3E98802A" w14:textId="77777777" w:rsidTr="00D76EEA">
        <w:trPr>
          <w:trHeight w:val="315"/>
        </w:trPr>
        <w:tc>
          <w:tcPr>
            <w:tcW w:w="680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3E040B" w14:textId="77777777" w:rsidR="00B43315" w:rsidRPr="005B0E34" w:rsidRDefault="00B43315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2DE3BA" w14:textId="6EFD7998" w:rsidR="00B43315" w:rsidRPr="005B0E34" w:rsidRDefault="00B43315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Female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862637" w14:textId="62F6827F" w:rsidR="00B43315" w:rsidRPr="005B0E34" w:rsidRDefault="00B43315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cs="Times New Roman"/>
                <w:color w:val="000000"/>
                <w:szCs w:val="24"/>
              </w:rPr>
              <w:t>0.69 (0.14)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750F67" w14:textId="25F9306F" w:rsidR="00B43315" w:rsidRPr="005B0E34" w:rsidRDefault="00B43315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cs="Times New Roman"/>
                <w:color w:val="000000"/>
                <w:szCs w:val="24"/>
              </w:rPr>
              <w:t>0.44 - 0.89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DCD355" w14:textId="00D5167D" w:rsidR="00B43315" w:rsidRPr="005B0E34" w:rsidRDefault="00C41542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0.70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A459D0" w14:textId="728F35E7" w:rsidR="00B43315" w:rsidRPr="005B0E34" w:rsidRDefault="00B43315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cs="Times New Roman"/>
                <w:color w:val="000000"/>
                <w:szCs w:val="24"/>
              </w:rPr>
              <w:t>0.86 (0.7)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167D2A" w14:textId="7B13C112" w:rsidR="00B43315" w:rsidRPr="005B0E34" w:rsidRDefault="00B43315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cs="Times New Roman"/>
                <w:color w:val="000000"/>
                <w:szCs w:val="24"/>
              </w:rPr>
              <w:t>0.41 - 3.13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CCB715" w14:textId="1E3BB7C7" w:rsidR="00B43315" w:rsidRPr="005B0E34" w:rsidRDefault="00C41542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0.75</w:t>
            </w:r>
          </w:p>
        </w:tc>
      </w:tr>
      <w:tr w:rsidR="00D76EEA" w:rsidRPr="005B0E34" w14:paraId="2202469A" w14:textId="77777777" w:rsidTr="00D76EEA">
        <w:trPr>
          <w:trHeight w:val="315"/>
        </w:trPr>
        <w:tc>
          <w:tcPr>
            <w:tcW w:w="1210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4FDB65" w14:textId="3F2831FB" w:rsidR="00BE2D6F" w:rsidRPr="005B0E34" w:rsidRDefault="00BE2D6F" w:rsidP="005B0E34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b/>
                <w:bCs/>
                <w:szCs w:val="24"/>
                <w:lang w:val="en-AU" w:eastAsia="en-AU"/>
              </w:rPr>
              <w:t>Post-correction</w:t>
            </w:r>
          </w:p>
        </w:tc>
        <w:tc>
          <w:tcPr>
            <w:tcW w:w="75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A06B9D" w14:textId="77777777" w:rsidR="00BE2D6F" w:rsidRPr="005B0E34" w:rsidRDefault="00BE2D6F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</w:p>
        </w:tc>
        <w:tc>
          <w:tcPr>
            <w:tcW w:w="6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4D292C" w14:textId="77777777" w:rsidR="00BE2D6F" w:rsidRPr="005B0E34" w:rsidRDefault="00BE2D6F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</w:p>
        </w:tc>
        <w:tc>
          <w:tcPr>
            <w:tcW w:w="53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314D3D" w14:textId="77777777" w:rsidR="00BE2D6F" w:rsidRPr="005B0E34" w:rsidRDefault="00BE2D6F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</w:p>
        </w:tc>
        <w:tc>
          <w:tcPr>
            <w:tcW w:w="68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6CBEE0" w14:textId="77777777" w:rsidR="00BE2D6F" w:rsidRPr="005B0E34" w:rsidRDefault="00BE2D6F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</w:p>
        </w:tc>
        <w:tc>
          <w:tcPr>
            <w:tcW w:w="71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E38D89" w14:textId="77777777" w:rsidR="00BE2D6F" w:rsidRPr="005B0E34" w:rsidRDefault="00BE2D6F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</w:p>
        </w:tc>
        <w:tc>
          <w:tcPr>
            <w:tcW w:w="41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B9ABD8" w14:textId="77777777" w:rsidR="00BE2D6F" w:rsidRPr="005B0E34" w:rsidRDefault="00BE2D6F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</w:p>
        </w:tc>
      </w:tr>
      <w:tr w:rsidR="00D76EEA" w:rsidRPr="005B0E34" w14:paraId="33C477E1" w14:textId="77777777" w:rsidTr="00D76EEA">
        <w:trPr>
          <w:trHeight w:val="315"/>
        </w:trPr>
        <w:tc>
          <w:tcPr>
            <w:tcW w:w="680" w:type="pct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0BA52CA" w14:textId="51D3C907" w:rsidR="00F670A0" w:rsidRPr="005B0E34" w:rsidRDefault="00F670A0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proofErr w:type="gramStart"/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 xml:space="preserve">FWD </w:t>
            </w:r>
            <w:r w:rsidR="008A7CA6">
              <w:rPr>
                <w:rFonts w:eastAsia="Times New Roman" w:cs="Times New Roman"/>
                <w:szCs w:val="24"/>
                <w:lang w:val="en-AU" w:eastAsia="en-AU"/>
              </w:rPr>
              <w:t xml:space="preserve"> mm</w:t>
            </w:r>
            <w:proofErr w:type="gramEnd"/>
            <w:r w:rsidR="008A7CA6">
              <w:rPr>
                <w:rFonts w:eastAsia="Times New Roman" w:cs="Times New Roman"/>
                <w:szCs w:val="24"/>
                <w:lang w:val="en-AU" w:eastAsia="en-AU"/>
              </w:rPr>
              <w:t xml:space="preserve"> </w:t>
            </w: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(including b=2000s and b=0s)</w:t>
            </w:r>
          </w:p>
        </w:tc>
        <w:tc>
          <w:tcPr>
            <w:tcW w:w="53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706F609" w14:textId="15CC62D6" w:rsidR="00F670A0" w:rsidRPr="005B0E34" w:rsidRDefault="00F670A0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Total</w:t>
            </w:r>
          </w:p>
        </w:tc>
        <w:tc>
          <w:tcPr>
            <w:tcW w:w="75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1198B43" w14:textId="34581944" w:rsidR="00F670A0" w:rsidRPr="005B0E34" w:rsidRDefault="00E4767D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0.83 (0.22)</w:t>
            </w:r>
          </w:p>
        </w:tc>
        <w:tc>
          <w:tcPr>
            <w:tcW w:w="68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C007AEE" w14:textId="3ABA204A" w:rsidR="00F670A0" w:rsidRPr="005B0E34" w:rsidRDefault="004B6927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0.48 - 1.22</w:t>
            </w:r>
          </w:p>
        </w:tc>
        <w:tc>
          <w:tcPr>
            <w:tcW w:w="53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978E463" w14:textId="243FADA7" w:rsidR="00F670A0" w:rsidRPr="005B0E34" w:rsidRDefault="000D602D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0.85</w:t>
            </w:r>
          </w:p>
        </w:tc>
        <w:tc>
          <w:tcPr>
            <w:tcW w:w="68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DDE8167" w14:textId="7EABC767" w:rsidR="00F670A0" w:rsidRPr="005B0E34" w:rsidRDefault="008D4FC6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0.98 (0.32)</w:t>
            </w:r>
          </w:p>
        </w:tc>
        <w:tc>
          <w:tcPr>
            <w:tcW w:w="71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C174BA6" w14:textId="24398990" w:rsidR="00F670A0" w:rsidRPr="005B0E34" w:rsidRDefault="00966CCF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0.54 - 1.8</w:t>
            </w:r>
          </w:p>
        </w:tc>
        <w:tc>
          <w:tcPr>
            <w:tcW w:w="41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4BDE343" w14:textId="0B368E17" w:rsidR="00F670A0" w:rsidRPr="005B0E34" w:rsidRDefault="000D602D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0.92</w:t>
            </w:r>
          </w:p>
        </w:tc>
      </w:tr>
      <w:tr w:rsidR="00D76EEA" w:rsidRPr="005B0E34" w14:paraId="709F581C" w14:textId="77777777" w:rsidTr="00D76EEA">
        <w:trPr>
          <w:trHeight w:val="315"/>
        </w:trPr>
        <w:tc>
          <w:tcPr>
            <w:tcW w:w="68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37B401" w14:textId="77777777" w:rsidR="00B43315" w:rsidRPr="005B0E34" w:rsidRDefault="00B43315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0145DB" w14:textId="5CF85BD8" w:rsidR="00B43315" w:rsidRPr="005B0E34" w:rsidRDefault="00B43315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Male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E1C4F0" w14:textId="3AD5BD77" w:rsidR="00B43315" w:rsidRPr="005B0E34" w:rsidRDefault="00B43315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0.75 (0.2)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4D17FC" w14:textId="3690E987" w:rsidR="00B43315" w:rsidRPr="005B0E34" w:rsidRDefault="00B43315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0.48 - 1.06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9DEE80" w14:textId="624CC65E" w:rsidR="00B43315" w:rsidRPr="005B0E34" w:rsidRDefault="00C41542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0.79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D350B4" w14:textId="34581C24" w:rsidR="00B43315" w:rsidRPr="005B0E34" w:rsidRDefault="00B43315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cs="Times New Roman"/>
                <w:color w:val="000000"/>
                <w:szCs w:val="24"/>
              </w:rPr>
              <w:t>1.01 (0.4)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CC1009" w14:textId="333C661F" w:rsidR="00B43315" w:rsidRPr="005B0E34" w:rsidRDefault="00B43315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cs="Times New Roman"/>
                <w:color w:val="000000"/>
                <w:szCs w:val="24"/>
              </w:rPr>
              <w:t>0.54 - 1.8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9029C5" w14:textId="1325535C" w:rsidR="00B43315" w:rsidRPr="005B0E34" w:rsidRDefault="00C41542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0.90</w:t>
            </w:r>
          </w:p>
        </w:tc>
      </w:tr>
      <w:tr w:rsidR="005B0E34" w:rsidRPr="005B0E34" w14:paraId="6DC49678" w14:textId="77777777" w:rsidTr="00D76EEA">
        <w:trPr>
          <w:trHeight w:val="315"/>
        </w:trPr>
        <w:tc>
          <w:tcPr>
            <w:tcW w:w="680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041997" w14:textId="77777777" w:rsidR="00B43315" w:rsidRPr="005B0E34" w:rsidRDefault="00B43315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569398" w14:textId="3EE85ED6" w:rsidR="00B43315" w:rsidRPr="005B0E34" w:rsidRDefault="00B43315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Female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68EA9C" w14:textId="1981C012" w:rsidR="00B43315" w:rsidRPr="005B0E34" w:rsidRDefault="00B43315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cs="Times New Roman"/>
                <w:color w:val="000000"/>
                <w:szCs w:val="24"/>
              </w:rPr>
              <w:t>0.91 (0.22)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FD4BF2" w14:textId="21B24171" w:rsidR="00B43315" w:rsidRPr="005B0E34" w:rsidRDefault="00B43315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cs="Times New Roman"/>
                <w:color w:val="000000"/>
                <w:szCs w:val="24"/>
              </w:rPr>
              <w:t>0.5 - 1.22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5764B1" w14:textId="7FF1CF07" w:rsidR="00B43315" w:rsidRPr="005B0E34" w:rsidRDefault="00C41542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0.96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BEDC28" w14:textId="55F53730" w:rsidR="00B43315" w:rsidRPr="005B0E34" w:rsidRDefault="00B43315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cs="Times New Roman"/>
                <w:color w:val="000000"/>
                <w:szCs w:val="24"/>
              </w:rPr>
              <w:t>0.96 (0.23)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1095C3" w14:textId="3B5314BD" w:rsidR="00B43315" w:rsidRPr="005B0E34" w:rsidRDefault="00B43315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cs="Times New Roman"/>
                <w:color w:val="000000"/>
                <w:szCs w:val="24"/>
              </w:rPr>
              <w:t>0.68 - 1.32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4E52A1" w14:textId="5DCB8169" w:rsidR="00B43315" w:rsidRPr="005B0E34" w:rsidRDefault="00C41542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0.92</w:t>
            </w:r>
          </w:p>
        </w:tc>
      </w:tr>
      <w:tr w:rsidR="00D76EEA" w:rsidRPr="005B0E34" w14:paraId="7A432DC4" w14:textId="77777777" w:rsidTr="00D76EEA">
        <w:trPr>
          <w:trHeight w:val="315"/>
        </w:trPr>
        <w:tc>
          <w:tcPr>
            <w:tcW w:w="680" w:type="pct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9CD6B56" w14:textId="6C35BA39" w:rsidR="00F670A0" w:rsidRPr="005B0E34" w:rsidRDefault="00F670A0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 xml:space="preserve">FWD </w:t>
            </w:r>
            <w:r w:rsidR="008A7CA6">
              <w:rPr>
                <w:rFonts w:eastAsia="Times New Roman" w:cs="Times New Roman"/>
                <w:szCs w:val="24"/>
                <w:lang w:val="en-AU" w:eastAsia="en-AU"/>
              </w:rPr>
              <w:t xml:space="preserve">mm </w:t>
            </w: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(including b=2000s only)</w:t>
            </w:r>
          </w:p>
        </w:tc>
        <w:tc>
          <w:tcPr>
            <w:tcW w:w="53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89B91E4" w14:textId="763D3564" w:rsidR="00F670A0" w:rsidRPr="005B0E34" w:rsidRDefault="00F670A0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Total</w:t>
            </w:r>
          </w:p>
        </w:tc>
        <w:tc>
          <w:tcPr>
            <w:tcW w:w="75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338B4E4" w14:textId="4E25E8ED" w:rsidR="00F670A0" w:rsidRPr="005B0E34" w:rsidRDefault="00E4767D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0.55 (0.09)</w:t>
            </w:r>
          </w:p>
        </w:tc>
        <w:tc>
          <w:tcPr>
            <w:tcW w:w="68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180593C" w14:textId="08293542" w:rsidR="00F670A0" w:rsidRPr="005B0E34" w:rsidRDefault="004B6927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0.38 - 0.75</w:t>
            </w:r>
          </w:p>
        </w:tc>
        <w:tc>
          <w:tcPr>
            <w:tcW w:w="53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3EC146F" w14:textId="0280A810" w:rsidR="00F670A0" w:rsidRPr="005B0E34" w:rsidRDefault="000D602D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0.54</w:t>
            </w:r>
          </w:p>
        </w:tc>
        <w:tc>
          <w:tcPr>
            <w:tcW w:w="68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2D8C4AA" w14:textId="4ECD947C" w:rsidR="00F670A0" w:rsidRPr="005B0E34" w:rsidRDefault="008D4FC6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0.59 (0.13)</w:t>
            </w:r>
          </w:p>
        </w:tc>
        <w:tc>
          <w:tcPr>
            <w:tcW w:w="71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0FD60AC" w14:textId="60B0DA65" w:rsidR="00F670A0" w:rsidRPr="005B0E34" w:rsidRDefault="004B6927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0.43 - 1.08</w:t>
            </w:r>
          </w:p>
        </w:tc>
        <w:tc>
          <w:tcPr>
            <w:tcW w:w="41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3727D71" w14:textId="456AAC92" w:rsidR="00F670A0" w:rsidRPr="005B0E34" w:rsidRDefault="000D602D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0.56</w:t>
            </w:r>
          </w:p>
        </w:tc>
      </w:tr>
      <w:tr w:rsidR="005B0E34" w:rsidRPr="005B0E34" w14:paraId="74AAD2D6" w14:textId="77777777" w:rsidTr="00D76EEA">
        <w:trPr>
          <w:trHeight w:val="315"/>
        </w:trPr>
        <w:tc>
          <w:tcPr>
            <w:tcW w:w="68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3FB09C" w14:textId="77777777" w:rsidR="00B43315" w:rsidRPr="005B0E34" w:rsidRDefault="00B43315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674CFA" w14:textId="3186CB37" w:rsidR="00B43315" w:rsidRPr="005B0E34" w:rsidRDefault="00B43315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Male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0F9D9" w14:textId="17E7489A" w:rsidR="00B43315" w:rsidRPr="005B0E34" w:rsidRDefault="00B43315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cs="Times New Roman"/>
                <w:color w:val="000000"/>
                <w:szCs w:val="24"/>
              </w:rPr>
              <w:t>0.53 (0.09)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7DCA62" w14:textId="1ED90959" w:rsidR="00B43315" w:rsidRPr="005B0E34" w:rsidRDefault="00B43315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cs="Times New Roman"/>
                <w:color w:val="000000"/>
                <w:szCs w:val="24"/>
              </w:rPr>
              <w:t>0.38 - 0.66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C9CF32" w14:textId="5070B9C5" w:rsidR="00B43315" w:rsidRPr="005B0E34" w:rsidRDefault="00C41542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0.54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1E707A" w14:textId="7B4B47FD" w:rsidR="00B43315" w:rsidRPr="005B0E34" w:rsidRDefault="00B43315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cs="Times New Roman"/>
                <w:color w:val="000000"/>
                <w:szCs w:val="24"/>
              </w:rPr>
              <w:t>0.55 (0.1)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CDE4D1" w14:textId="1215A455" w:rsidR="00B43315" w:rsidRPr="005B0E34" w:rsidRDefault="00B43315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cs="Times New Roman"/>
                <w:color w:val="000000"/>
                <w:szCs w:val="24"/>
              </w:rPr>
              <w:t>0.43 - 0.75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D0005E" w14:textId="743069EB" w:rsidR="00B43315" w:rsidRPr="005B0E34" w:rsidRDefault="00C41542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0.54</w:t>
            </w:r>
          </w:p>
        </w:tc>
      </w:tr>
      <w:tr w:rsidR="005B0E34" w:rsidRPr="005B0E34" w14:paraId="5CE10CF1" w14:textId="77777777" w:rsidTr="00D76EEA">
        <w:trPr>
          <w:trHeight w:val="315"/>
        </w:trPr>
        <w:tc>
          <w:tcPr>
            <w:tcW w:w="680" w:type="pct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7DB52D0" w14:textId="77777777" w:rsidR="00B43315" w:rsidRPr="005B0E34" w:rsidRDefault="00B43315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</w:p>
        </w:tc>
        <w:tc>
          <w:tcPr>
            <w:tcW w:w="530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404E6B5" w14:textId="1B2EDDB7" w:rsidR="00B43315" w:rsidRPr="005B0E34" w:rsidRDefault="00B43315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Female</w:t>
            </w:r>
          </w:p>
        </w:tc>
        <w:tc>
          <w:tcPr>
            <w:tcW w:w="759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B136BDF" w14:textId="433A4BF2" w:rsidR="00B43315" w:rsidRPr="005B0E34" w:rsidRDefault="00B43315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cs="Times New Roman"/>
                <w:color w:val="000000"/>
                <w:szCs w:val="24"/>
              </w:rPr>
              <w:t>0.57 (0.09)</w:t>
            </w:r>
          </w:p>
        </w:tc>
        <w:tc>
          <w:tcPr>
            <w:tcW w:w="682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31E13BE" w14:textId="2E804A52" w:rsidR="00B43315" w:rsidRPr="005B0E34" w:rsidRDefault="00B43315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cs="Times New Roman"/>
                <w:color w:val="000000"/>
                <w:szCs w:val="24"/>
              </w:rPr>
              <w:t>0.42 - 0.75</w:t>
            </w:r>
          </w:p>
        </w:tc>
        <w:tc>
          <w:tcPr>
            <w:tcW w:w="530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E82FAC" w14:textId="6E052C20" w:rsidR="00B43315" w:rsidRPr="005B0E34" w:rsidRDefault="00C41542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0.56</w:t>
            </w:r>
          </w:p>
        </w:tc>
        <w:tc>
          <w:tcPr>
            <w:tcW w:w="68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D79B68C" w14:textId="1B8C3371" w:rsidR="00B43315" w:rsidRPr="005B0E34" w:rsidRDefault="00B43315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cs="Times New Roman"/>
                <w:color w:val="000000"/>
                <w:szCs w:val="24"/>
              </w:rPr>
              <w:t>0.63 (0.15)</w:t>
            </w:r>
          </w:p>
        </w:tc>
        <w:tc>
          <w:tcPr>
            <w:tcW w:w="71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15CE344" w14:textId="6C9E42A0" w:rsidR="00B43315" w:rsidRPr="005B0E34" w:rsidRDefault="00B43315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cs="Times New Roman"/>
                <w:color w:val="000000"/>
                <w:szCs w:val="24"/>
              </w:rPr>
              <w:t>0.51 - 1.08</w:t>
            </w:r>
          </w:p>
        </w:tc>
        <w:tc>
          <w:tcPr>
            <w:tcW w:w="41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3876957" w14:textId="00BC9BA8" w:rsidR="00B43315" w:rsidRPr="005B0E34" w:rsidRDefault="00C41542" w:rsidP="005B0E34">
            <w:pPr>
              <w:spacing w:before="0" w:after="0"/>
              <w:rPr>
                <w:rFonts w:eastAsia="Times New Roman" w:cs="Times New Roman"/>
                <w:szCs w:val="24"/>
                <w:lang w:val="en-AU" w:eastAsia="en-AU"/>
              </w:rPr>
            </w:pPr>
            <w:r w:rsidRPr="005B0E34">
              <w:rPr>
                <w:rFonts w:eastAsia="Times New Roman" w:cs="Times New Roman"/>
                <w:szCs w:val="24"/>
                <w:lang w:val="en-AU" w:eastAsia="en-AU"/>
              </w:rPr>
              <w:t>0.59</w:t>
            </w:r>
          </w:p>
        </w:tc>
      </w:tr>
    </w:tbl>
    <w:p w14:paraId="1E54E9AD" w14:textId="7193A666" w:rsidR="004B6927" w:rsidRPr="005B0E34" w:rsidRDefault="004B6927" w:rsidP="004B6927">
      <w:pPr>
        <w:keepNext/>
        <w:rPr>
          <w:rFonts w:cs="Times New Roman"/>
          <w:szCs w:val="24"/>
        </w:rPr>
      </w:pPr>
      <w:r w:rsidRPr="005B0E34">
        <w:rPr>
          <w:rFonts w:cs="Times New Roman"/>
          <w:szCs w:val="24"/>
        </w:rPr>
        <w:t xml:space="preserve">Note. </w:t>
      </w:r>
      <w:proofErr w:type="gramStart"/>
      <w:r w:rsidRPr="005B0E34">
        <w:rPr>
          <w:rFonts w:cs="Times New Roman"/>
          <w:szCs w:val="24"/>
        </w:rPr>
        <w:t>In light of</w:t>
      </w:r>
      <w:proofErr w:type="gramEnd"/>
      <w:r w:rsidRPr="005B0E34">
        <w:rPr>
          <w:rFonts w:cs="Times New Roman"/>
          <w:szCs w:val="24"/>
        </w:rPr>
        <w:t xml:space="preserve"> evidence that motion estimates calculated from diffusion data may be influence</w:t>
      </w:r>
      <w:r w:rsidR="001557EA" w:rsidRPr="005B0E34">
        <w:rPr>
          <w:rFonts w:cs="Times New Roman"/>
          <w:szCs w:val="24"/>
        </w:rPr>
        <w:t>d</w:t>
      </w:r>
      <w:r w:rsidRPr="005B0E34">
        <w:rPr>
          <w:rFonts w:cs="Times New Roman"/>
          <w:szCs w:val="24"/>
        </w:rPr>
        <w:t xml:space="preserve"> by differences in contrasts (</w:t>
      </w:r>
      <w:r w:rsidR="001557EA" w:rsidRPr="005B0E34">
        <w:rPr>
          <w:rFonts w:cs="Times New Roman"/>
          <w:szCs w:val="24"/>
        </w:rPr>
        <w:t>Ben‐</w:t>
      </w:r>
      <w:proofErr w:type="spellStart"/>
      <w:r w:rsidR="001557EA" w:rsidRPr="005B0E34">
        <w:rPr>
          <w:rFonts w:cs="Times New Roman"/>
          <w:szCs w:val="24"/>
        </w:rPr>
        <w:t>Amitay</w:t>
      </w:r>
      <w:proofErr w:type="spellEnd"/>
      <w:r w:rsidR="001557EA" w:rsidRPr="005B0E34">
        <w:rPr>
          <w:rFonts w:cs="Times New Roman"/>
          <w:szCs w:val="24"/>
        </w:rPr>
        <w:t xml:space="preserve"> et al., 2012</w:t>
      </w:r>
      <w:r w:rsidRPr="005B0E34">
        <w:rPr>
          <w:rFonts w:cs="Times New Roman"/>
          <w:szCs w:val="24"/>
        </w:rPr>
        <w:t>), we present motion estimates calculated from the entire sequence as reported in the main manuscript, and also for b=20</w:t>
      </w:r>
      <w:r w:rsidR="001557EA" w:rsidRPr="005B0E34">
        <w:rPr>
          <w:rFonts w:cs="Times New Roman"/>
          <w:szCs w:val="24"/>
        </w:rPr>
        <w:t>0</w:t>
      </w:r>
      <w:r w:rsidRPr="005B0E34">
        <w:rPr>
          <w:rFonts w:cs="Times New Roman"/>
          <w:szCs w:val="24"/>
        </w:rPr>
        <w:t xml:space="preserve">0s only. </w:t>
      </w:r>
    </w:p>
    <w:p w14:paraId="1EF4DDA9" w14:textId="44C0DB8B" w:rsidR="00C76235" w:rsidRPr="005B0E34" w:rsidRDefault="00C76235" w:rsidP="00654E8F">
      <w:pPr>
        <w:spacing w:before="240"/>
        <w:rPr>
          <w:rFonts w:cs="Times New Roman"/>
          <w:szCs w:val="24"/>
        </w:rPr>
      </w:pPr>
    </w:p>
    <w:p w14:paraId="35B34A00" w14:textId="3A2AA80F" w:rsidR="0069597C" w:rsidRPr="005B0E34" w:rsidRDefault="0069597C" w:rsidP="00654E8F">
      <w:pPr>
        <w:spacing w:before="240"/>
        <w:rPr>
          <w:rFonts w:cs="Times New Roman"/>
          <w:szCs w:val="24"/>
        </w:rPr>
      </w:pPr>
    </w:p>
    <w:p w14:paraId="117E1AEC" w14:textId="4CFC4114" w:rsidR="0069597C" w:rsidRPr="005B0E34" w:rsidRDefault="0069597C" w:rsidP="00654E8F">
      <w:pPr>
        <w:spacing w:before="240"/>
        <w:rPr>
          <w:rFonts w:cs="Times New Roman"/>
          <w:szCs w:val="24"/>
        </w:rPr>
      </w:pPr>
      <w:r w:rsidRPr="005B0E34">
        <w:rPr>
          <w:rFonts w:cs="Times New Roman"/>
          <w:szCs w:val="24"/>
        </w:rPr>
        <w:t>References</w:t>
      </w:r>
    </w:p>
    <w:p w14:paraId="2EE6F498" w14:textId="77777777" w:rsidR="0069597C" w:rsidRPr="005B0E34" w:rsidRDefault="0069597C" w:rsidP="0069597C">
      <w:pPr>
        <w:rPr>
          <w:rFonts w:cs="Times New Roman"/>
          <w:szCs w:val="24"/>
        </w:rPr>
      </w:pPr>
      <w:r w:rsidRPr="005B0E34">
        <w:rPr>
          <w:rFonts w:cs="Times New Roman"/>
          <w:szCs w:val="24"/>
        </w:rPr>
        <w:t>Ben‐</w:t>
      </w:r>
      <w:proofErr w:type="spellStart"/>
      <w:r w:rsidRPr="005B0E34">
        <w:rPr>
          <w:rFonts w:cs="Times New Roman"/>
          <w:szCs w:val="24"/>
        </w:rPr>
        <w:t>Amitay</w:t>
      </w:r>
      <w:proofErr w:type="spellEnd"/>
      <w:r w:rsidRPr="005B0E34">
        <w:rPr>
          <w:rFonts w:cs="Times New Roman"/>
          <w:szCs w:val="24"/>
        </w:rPr>
        <w:t>, S., Jones, D. K., &amp; Assaf, Y. (2012). Motion correction and registration of high b‐value diffusion weighted images. </w:t>
      </w:r>
      <w:r w:rsidRPr="005B0E34">
        <w:rPr>
          <w:rFonts w:cs="Times New Roman"/>
          <w:i/>
          <w:iCs/>
          <w:szCs w:val="24"/>
        </w:rPr>
        <w:t>Magnetic resonance in medicine</w:t>
      </w:r>
      <w:r w:rsidRPr="005B0E34">
        <w:rPr>
          <w:rFonts w:cs="Times New Roman"/>
          <w:szCs w:val="24"/>
        </w:rPr>
        <w:t>, </w:t>
      </w:r>
      <w:r w:rsidRPr="005B0E34">
        <w:rPr>
          <w:rFonts w:cs="Times New Roman"/>
          <w:i/>
          <w:iCs/>
          <w:szCs w:val="24"/>
        </w:rPr>
        <w:t>67</w:t>
      </w:r>
      <w:r w:rsidRPr="005B0E34">
        <w:rPr>
          <w:rFonts w:cs="Times New Roman"/>
          <w:szCs w:val="24"/>
        </w:rPr>
        <w:t>(6), 1694-1702.</w:t>
      </w:r>
    </w:p>
    <w:p w14:paraId="045976A2" w14:textId="77777777" w:rsidR="0069597C" w:rsidRPr="00C7285E" w:rsidRDefault="0069597C" w:rsidP="00654E8F">
      <w:pPr>
        <w:spacing w:before="240"/>
        <w:rPr>
          <w:rFonts w:asciiTheme="minorHAnsi" w:hAnsiTheme="minorHAnsi" w:cstheme="minorHAnsi"/>
          <w:sz w:val="20"/>
          <w:szCs w:val="20"/>
        </w:rPr>
      </w:pPr>
    </w:p>
    <w:sectPr w:rsidR="0069597C" w:rsidRPr="00C7285E" w:rsidSect="00C7285E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13327" w14:textId="77777777" w:rsidR="00AF66D6" w:rsidRDefault="00AF66D6" w:rsidP="00117666">
      <w:pPr>
        <w:spacing w:after="0"/>
      </w:pPr>
      <w:r>
        <w:separator/>
      </w:r>
    </w:p>
  </w:endnote>
  <w:endnote w:type="continuationSeparator" w:id="0">
    <w:p w14:paraId="1859869D" w14:textId="77777777" w:rsidR="00AF66D6" w:rsidRDefault="00AF66D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411D8" w14:textId="77777777" w:rsidR="00AF66D6" w:rsidRDefault="00AF66D6" w:rsidP="00117666">
      <w:pPr>
        <w:spacing w:after="0"/>
      </w:pPr>
      <w:r>
        <w:separator/>
      </w:r>
    </w:p>
  </w:footnote>
  <w:footnote w:type="continuationSeparator" w:id="0">
    <w:p w14:paraId="08D1DF41" w14:textId="77777777" w:rsidR="00AF66D6" w:rsidRDefault="00AF66D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AU" w:eastAsia="en-AU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0D517A"/>
    <w:rsid w:val="000D602D"/>
    <w:rsid w:val="00105FD9"/>
    <w:rsid w:val="00117666"/>
    <w:rsid w:val="001549D3"/>
    <w:rsid w:val="001557EA"/>
    <w:rsid w:val="00160065"/>
    <w:rsid w:val="00177D84"/>
    <w:rsid w:val="00250F9A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4B6927"/>
    <w:rsid w:val="004C3988"/>
    <w:rsid w:val="00517A89"/>
    <w:rsid w:val="005250F2"/>
    <w:rsid w:val="005747D1"/>
    <w:rsid w:val="00593EEA"/>
    <w:rsid w:val="005A5EEE"/>
    <w:rsid w:val="005B0E34"/>
    <w:rsid w:val="005E1C47"/>
    <w:rsid w:val="006375C7"/>
    <w:rsid w:val="00654E8F"/>
    <w:rsid w:val="00660D05"/>
    <w:rsid w:val="006820B1"/>
    <w:rsid w:val="0069597C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2792A"/>
    <w:rsid w:val="0083759F"/>
    <w:rsid w:val="00885156"/>
    <w:rsid w:val="008A7CA6"/>
    <w:rsid w:val="008D4FC6"/>
    <w:rsid w:val="009151AA"/>
    <w:rsid w:val="0093429D"/>
    <w:rsid w:val="00943573"/>
    <w:rsid w:val="00964134"/>
    <w:rsid w:val="00966CCF"/>
    <w:rsid w:val="00970F7D"/>
    <w:rsid w:val="009711B2"/>
    <w:rsid w:val="00994A3D"/>
    <w:rsid w:val="009C2B12"/>
    <w:rsid w:val="00A174D9"/>
    <w:rsid w:val="00A83884"/>
    <w:rsid w:val="00AA4D24"/>
    <w:rsid w:val="00AB6715"/>
    <w:rsid w:val="00AF66D6"/>
    <w:rsid w:val="00B1671E"/>
    <w:rsid w:val="00B25EB8"/>
    <w:rsid w:val="00B37F4D"/>
    <w:rsid w:val="00B43315"/>
    <w:rsid w:val="00BE2D6F"/>
    <w:rsid w:val="00C007E8"/>
    <w:rsid w:val="00C41542"/>
    <w:rsid w:val="00C52A7B"/>
    <w:rsid w:val="00C56BAF"/>
    <w:rsid w:val="00C679AA"/>
    <w:rsid w:val="00C7285E"/>
    <w:rsid w:val="00C75972"/>
    <w:rsid w:val="00C76235"/>
    <w:rsid w:val="00CA2FCF"/>
    <w:rsid w:val="00CC5CC5"/>
    <w:rsid w:val="00CD066B"/>
    <w:rsid w:val="00CE4FEE"/>
    <w:rsid w:val="00CF3D03"/>
    <w:rsid w:val="00D060CF"/>
    <w:rsid w:val="00D20260"/>
    <w:rsid w:val="00D76EEA"/>
    <w:rsid w:val="00DB59C3"/>
    <w:rsid w:val="00DB79FB"/>
    <w:rsid w:val="00DC259A"/>
    <w:rsid w:val="00DE23E8"/>
    <w:rsid w:val="00E4767D"/>
    <w:rsid w:val="00E52377"/>
    <w:rsid w:val="00E537AD"/>
    <w:rsid w:val="00E64E17"/>
    <w:rsid w:val="00E80D38"/>
    <w:rsid w:val="00E866C9"/>
    <w:rsid w:val="00EA3D3C"/>
    <w:rsid w:val="00EC090A"/>
    <w:rsid w:val="00ED20B5"/>
    <w:rsid w:val="00F46900"/>
    <w:rsid w:val="00F61D89"/>
    <w:rsid w:val="00F6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637B3BC8CEB4D81EAC925AA86E4C0" ma:contentTypeVersion="13" ma:contentTypeDescription="Create a new document." ma:contentTypeScope="" ma:versionID="f16f5b11bed1a2b75326823301c3f53e">
  <xsd:schema xmlns:xsd="http://www.w3.org/2001/XMLSchema" xmlns:xs="http://www.w3.org/2001/XMLSchema" xmlns:p="http://schemas.microsoft.com/office/2006/metadata/properties" xmlns:ns3="b8d55a4d-b935-486d-8381-7f2c6d1603e8" xmlns:ns4="c84195f7-b0c1-4f3c-a289-878e864f7b0e" targetNamespace="http://schemas.microsoft.com/office/2006/metadata/properties" ma:root="true" ma:fieldsID="f27f4a9d390c5c67e032d3c29300f35d" ns3:_="" ns4:_="">
    <xsd:import namespace="b8d55a4d-b935-486d-8381-7f2c6d1603e8"/>
    <xsd:import namespace="c84195f7-b0c1-4f3c-a289-878e864f7b0e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55a4d-b935-486d-8381-7f2c6d1603e8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195f7-b0c1-4f3c-a289-878e864f7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2A262A-0355-4C4F-8B46-0958DBA3D849}">
  <ds:schemaRefs>
    <ds:schemaRef ds:uri="c84195f7-b0c1-4f3c-a289-878e864f7b0e"/>
    <ds:schemaRef ds:uri="http://purl.org/dc/dcmitype/"/>
    <ds:schemaRef ds:uri="b8d55a4d-b935-486d-8381-7f2c6d1603e8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E49DB5E-B1F0-41EE-8EBB-B5CE7DECF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55a4d-b935-486d-8381-7f2c6d1603e8"/>
    <ds:schemaRef ds:uri="c84195f7-b0c1-4f3c-a289-878e864f7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CD7D1F-2B61-48F7-BC4A-5760B98639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F28ADF-EAC0-4790-A468-1B15A3A1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 Media SA</dc:creator>
  <cp:lastModifiedBy>Melissa Kirkovski</cp:lastModifiedBy>
  <cp:revision>2</cp:revision>
  <cp:lastPrinted>2013-10-03T12:51:00Z</cp:lastPrinted>
  <dcterms:created xsi:type="dcterms:W3CDTF">2020-07-02T08:56:00Z</dcterms:created>
  <dcterms:modified xsi:type="dcterms:W3CDTF">2020-07-02T08:56:00Z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0x010100BDC637B3BC8CEB4D81EAC925AA86E4C0</vt:lpwstr>
  </property>
</Properties>
</file>