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8800" w14:textId="2F4F12A1" w:rsidR="0028037B" w:rsidRDefault="00A73918">
      <w:pPr>
        <w:pStyle w:val="Title"/>
      </w:pPr>
      <w:r>
        <w:t xml:space="preserve">Supplementary </w:t>
      </w:r>
      <w:r w:rsidR="00CC6B4D">
        <w:t>M</w:t>
      </w:r>
      <w:bookmarkStart w:id="0" w:name="_GoBack"/>
      <w:bookmarkEnd w:id="0"/>
      <w:r>
        <w:t>aterials</w:t>
      </w:r>
    </w:p>
    <w:p w14:paraId="7937340D" w14:textId="77777777" w:rsidR="0028037B" w:rsidRDefault="00A73918">
      <w:pPr>
        <w:pStyle w:val="Heading2"/>
      </w:pPr>
      <w:r>
        <w:t>DNA sample preparation and sequencing</w:t>
      </w:r>
    </w:p>
    <w:p w14:paraId="55D4BE93" w14:textId="77777777" w:rsidR="0028037B" w:rsidRDefault="00A73918">
      <w:pPr>
        <w:jc w:val="both"/>
      </w:pPr>
      <w:r>
        <w:t xml:space="preserve">Four saliva samples from a family of Iberian Spanish/European descent were collected using </w:t>
      </w:r>
      <w:proofErr w:type="spellStart"/>
      <w:r>
        <w:t>oragene</w:t>
      </w:r>
      <w:proofErr w:type="spellEnd"/>
      <w:r>
        <w:t xml:space="preserve"> OG-600 and sent for DNA extraction and sequencing. The DNA sample was randomly fragmented by </w:t>
      </w:r>
      <w:proofErr w:type="spellStart"/>
      <w:r>
        <w:t>Covaris</w:t>
      </w:r>
      <w:proofErr w:type="spellEnd"/>
      <w:r>
        <w:t xml:space="preserve"> technology and fragments of 350 bps were obtained. Fragment DNA ends were repaired and an ‘A’ base added at the 3’ end of each strand. Adapters were then ligated to both strands of the end repaired/</w:t>
      </w:r>
      <w:proofErr w:type="spellStart"/>
      <w:r>
        <w:t>dA</w:t>
      </w:r>
      <w:proofErr w:type="spellEnd"/>
      <w:r>
        <w:t xml:space="preserve"> tailed DNA fragment. Amplification by ligation-mediated PCR was performed and then single strand separation and cyclisation. DNA nanoballs were created and loaded into the patterned nanoarrays and pair-end reads read through on the BGISEQ-500 platform and high throughput for each library to maximise the chances of a target of 30x coverage. Software for base calling with default parameters and the sequence data of each individual were generated as paired-end reads, identified as ‘raw data’ and provided as FASTQ format.</w:t>
      </w:r>
    </w:p>
    <w:p w14:paraId="5D9FDDF3" w14:textId="77777777" w:rsidR="0028037B" w:rsidRDefault="0028037B">
      <w:pPr>
        <w:jc w:val="both"/>
      </w:pPr>
    </w:p>
    <w:p w14:paraId="5912973B" w14:textId="77777777" w:rsidR="0028037B" w:rsidRDefault="00A73918">
      <w:pPr>
        <w:jc w:val="both"/>
      </w:pPr>
      <w:r>
        <w:t xml:space="preserve">Our analysis included the genome of a deceased relative whose DNA was extracted four years after her death. We were able to collect a DNA sample from hair follicles in a retrieved comb. For this individual (Aunt, PT00010A), we performed in parallel a set of different sequencing experiments given the level of degradation of the DNA detected as well as the nature of the sample. Hair roots were identified and verified using an inverted microscope. Seven 0.5 – 1 cm pieces were cut off starting from the hair bulb and transferred to a 1.5 ml microcentrifuge tube. DNA extraction was carried out using the </w:t>
      </w:r>
      <w:proofErr w:type="spellStart"/>
      <w:r>
        <w:t>QIAamp</w:t>
      </w:r>
      <w:proofErr w:type="spellEnd"/>
      <w:r>
        <w:t xml:space="preserve"> DNA Investigator Kit from Qiagen, following manufacturer’s instructions. Extracted DNA was quantified using </w:t>
      </w:r>
      <w:proofErr w:type="spellStart"/>
      <w:r>
        <w:t>NanoVue</w:t>
      </w:r>
      <w:r>
        <w:rPr>
          <w:vertAlign w:val="superscript"/>
        </w:rPr>
        <w:t>TM</w:t>
      </w:r>
      <w:proofErr w:type="spellEnd"/>
      <w:r>
        <w:t xml:space="preserve"> plus. 2 </w:t>
      </w:r>
      <w:proofErr w:type="spellStart"/>
      <w:r>
        <w:t>μl</w:t>
      </w:r>
      <w:proofErr w:type="spellEnd"/>
      <w:r>
        <w:t xml:space="preserve"> were used as input in the quantification. The DNA concentration measured was 0.452 ng/</w:t>
      </w:r>
      <w:proofErr w:type="spellStart"/>
      <w:r>
        <w:t>μl</w:t>
      </w:r>
      <w:proofErr w:type="spellEnd"/>
      <w:r>
        <w:t xml:space="preserve">. The sample was then fragmented and its DNA library was prepared and sequenced on the Illumina </w:t>
      </w:r>
      <w:proofErr w:type="spellStart"/>
      <w:r>
        <w:t>HiSeq</w:t>
      </w:r>
      <w:proofErr w:type="spellEnd"/>
      <w:r>
        <w:t xml:space="preserve"> with a sequencing configuration of 2x150 PE. After sequencing was completed, base calls and quality scores were stored in </w:t>
      </w:r>
      <w:proofErr w:type="spellStart"/>
      <w:r>
        <w:t>bcl</w:t>
      </w:r>
      <w:proofErr w:type="spellEnd"/>
      <w:r>
        <w:t xml:space="preserve"> format files. Using bcl2fastq v. 2.17, </w:t>
      </w:r>
      <w:proofErr w:type="spellStart"/>
      <w:r>
        <w:t>bcl</w:t>
      </w:r>
      <w:proofErr w:type="spellEnd"/>
      <w:r>
        <w:t xml:space="preserve"> files were converted into </w:t>
      </w:r>
      <w:proofErr w:type="spellStart"/>
      <w:r>
        <w:t>fastq</w:t>
      </w:r>
      <w:proofErr w:type="spellEnd"/>
      <w:r>
        <w:t xml:space="preserve"> files and de-multiplexed according to the sample’s barcode. Data amount and quality were examined and adapter sequences were removed during the process before the analysis.</w:t>
      </w:r>
    </w:p>
    <w:p w14:paraId="3940981D" w14:textId="77777777" w:rsidR="0028037B" w:rsidRDefault="00A73918">
      <w:pPr>
        <w:pStyle w:val="Heading2"/>
      </w:pPr>
      <w:r>
        <w:t>Data Processing</w:t>
      </w:r>
    </w:p>
    <w:p w14:paraId="7E1856AA" w14:textId="77777777" w:rsidR="0028037B" w:rsidRDefault="00A73918">
      <w:pPr>
        <w:jc w:val="both"/>
      </w:pPr>
      <w:r>
        <w:t xml:space="preserve">Once </w:t>
      </w:r>
      <w:proofErr w:type="spellStart"/>
      <w:r>
        <w:t>fastq</w:t>
      </w:r>
      <w:proofErr w:type="spellEnd"/>
      <w:r>
        <w:t xml:space="preserve"> files were obtained, we used the </w:t>
      </w:r>
      <w:proofErr w:type="spellStart"/>
      <w:r>
        <w:t>Sentieon</w:t>
      </w:r>
      <w:proofErr w:type="spellEnd"/>
      <w:r>
        <w:t xml:space="preserve"> </w:t>
      </w:r>
      <w:proofErr w:type="spellStart"/>
      <w:r>
        <w:t>DNASeq</w:t>
      </w:r>
      <w:proofErr w:type="spellEnd"/>
      <w:r>
        <w:t xml:space="preserve"> pipeline </w:t>
      </w:r>
      <w:r>
        <w:rPr>
          <w:color w:val="000000"/>
        </w:rPr>
        <w:t>(</w:t>
      </w:r>
      <w:proofErr w:type="spellStart"/>
      <w:r>
        <w:rPr>
          <w:color w:val="000000"/>
        </w:rPr>
        <w:t>Kendig</w:t>
      </w:r>
      <w:proofErr w:type="spellEnd"/>
      <w:r>
        <w:rPr>
          <w:color w:val="000000"/>
        </w:rPr>
        <w:t xml:space="preserve"> et al., 2019)</w:t>
      </w:r>
      <w:r>
        <w:t xml:space="preserve"> for all five samples. </w:t>
      </w:r>
      <w:proofErr w:type="spellStart"/>
      <w:r>
        <w:t>Sentieon</w:t>
      </w:r>
      <w:proofErr w:type="spellEnd"/>
      <w:r>
        <w:t xml:space="preserve"> is a toolkit analogous to GATK </w:t>
      </w:r>
      <w:r>
        <w:rPr>
          <w:color w:val="000000"/>
        </w:rPr>
        <w:t>(McKenna et al., 2010)</w:t>
      </w:r>
      <w:r>
        <w:t xml:space="preserve"> but built on a highly optimised backend. It takes raw </w:t>
      </w:r>
      <w:proofErr w:type="spellStart"/>
      <w:r>
        <w:t>fastq</w:t>
      </w:r>
      <w:proofErr w:type="spellEnd"/>
      <w:r>
        <w:t xml:space="preserve"> files and maps them to GRCh38 human reference genome using BWA-MEM </w:t>
      </w:r>
      <w:r>
        <w:rPr>
          <w:color w:val="000000"/>
        </w:rPr>
        <w:t>(Li and Durbin, 2009)</w:t>
      </w:r>
      <w:r>
        <w:t xml:space="preserve">. For variant calling, </w:t>
      </w:r>
      <w:proofErr w:type="spellStart"/>
      <w:r>
        <w:t>Sentieon</w:t>
      </w:r>
      <w:proofErr w:type="spellEnd"/>
      <w:r>
        <w:t xml:space="preserve"> uses the recommended best practices for variant analysis with GATK </w:t>
      </w:r>
      <w:r>
        <w:rPr>
          <w:color w:val="000000"/>
        </w:rPr>
        <w:t>(Website)</w:t>
      </w:r>
      <w:r>
        <w:t xml:space="preserve">, with local realignment around indels and base recalibration using GATK and duplicate reads removed by Picard tools </w:t>
      </w:r>
      <w:r>
        <w:rPr>
          <w:color w:val="000000"/>
        </w:rPr>
        <w:t>(Picard)</w:t>
      </w:r>
      <w:r>
        <w:t>. The sequencing depth and coverage for each individual were calculated with strict data quality controls throughout the pipeline.</w:t>
      </w:r>
    </w:p>
    <w:p w14:paraId="06C1B890" w14:textId="77777777" w:rsidR="0028037B" w:rsidRDefault="0028037B">
      <w:pPr>
        <w:jc w:val="both"/>
      </w:pPr>
    </w:p>
    <w:p w14:paraId="122CF9D6" w14:textId="77777777" w:rsidR="009F76F0" w:rsidRDefault="009F76F0" w:rsidP="009F76F0">
      <w:pPr>
        <w:pStyle w:val="Heading2"/>
      </w:pPr>
      <w:r>
        <w:lastRenderedPageBreak/>
        <w:t>Prediction of Structural Variants</w:t>
      </w:r>
    </w:p>
    <w:p w14:paraId="62794AC6" w14:textId="77777777" w:rsidR="009F76F0" w:rsidRDefault="009F76F0" w:rsidP="009F76F0">
      <w:pPr>
        <w:jc w:val="both"/>
      </w:pPr>
      <w:r>
        <w:t xml:space="preserve">Structural variants are large variations of the genome (&gt; 50 base pairs). They are difficult to detect directly in short-read data, requiring the utilisation of several types of indirect signals. For their inference, we used Parliament2, a structural variant caller which combines multiple best-in-class structural variant callers to create a highly accurate callset (Zarate et al., 2020). Parliament2 has been deployed as a docker container in the </w:t>
      </w:r>
      <w:proofErr w:type="spellStart"/>
      <w:r>
        <w:t>DNAnexus</w:t>
      </w:r>
      <w:proofErr w:type="spellEnd"/>
      <w:r>
        <w:t xml:space="preserve"> platform (</w:t>
      </w:r>
      <w:r w:rsidRPr="00412DB5">
        <w:t>https://platform.dnanexus.com/</w:t>
      </w:r>
      <w:r>
        <w:t xml:space="preserve">), allowing us to query the BAM files created from the </w:t>
      </w:r>
      <w:proofErr w:type="spellStart"/>
      <w:r>
        <w:t>Sentieon</w:t>
      </w:r>
      <w:proofErr w:type="spellEnd"/>
      <w:r>
        <w:t xml:space="preserve"> pipeline as input and providing a combined genotype VCF file that contains structural variant predictions from all the algorithms that Parliament2 uses. For Father, Mother, Daughter and Son, we queried their Parliament2 output in search for duplications or deletions within the GRCh38 coordinates of the Cytochrome P450 genes of our pharmacogenomics analysis:</w:t>
      </w:r>
    </w:p>
    <w:p w14:paraId="62368B6F" w14:textId="77777777" w:rsidR="009F76F0" w:rsidRDefault="009F76F0" w:rsidP="009F76F0">
      <w:pPr>
        <w:jc w:val="both"/>
      </w:pPr>
    </w:p>
    <w:p w14:paraId="619004AD" w14:textId="77777777" w:rsidR="009F76F0" w:rsidRDefault="009F76F0" w:rsidP="009F76F0">
      <w:pPr>
        <w:tabs>
          <w:tab w:val="left" w:pos="284"/>
        </w:tabs>
        <w:jc w:val="both"/>
      </w:pPr>
      <w:r>
        <w:t xml:space="preserve">- </w:t>
      </w:r>
      <w:r>
        <w:tab/>
      </w:r>
      <w:r w:rsidRPr="00412DB5">
        <w:rPr>
          <w:i/>
        </w:rPr>
        <w:t>CYP2D6</w:t>
      </w:r>
      <w:r>
        <w:t>: chr22:42,126,499-42,130,810</w:t>
      </w:r>
    </w:p>
    <w:p w14:paraId="6D105B81" w14:textId="77777777" w:rsidR="009F76F0" w:rsidRDefault="009F76F0" w:rsidP="009F76F0">
      <w:pPr>
        <w:jc w:val="both"/>
      </w:pPr>
      <w:r>
        <w:t xml:space="preserve">-   </w:t>
      </w:r>
      <w:r w:rsidRPr="00412DB5">
        <w:rPr>
          <w:i/>
        </w:rPr>
        <w:t>CYP2C9</w:t>
      </w:r>
      <w:r>
        <w:t>: chr10:94,938,658-94,990,091</w:t>
      </w:r>
    </w:p>
    <w:p w14:paraId="27934AF7" w14:textId="77777777" w:rsidR="009F76F0" w:rsidRDefault="009F76F0" w:rsidP="009F76F0">
      <w:pPr>
        <w:jc w:val="both"/>
      </w:pPr>
      <w:r>
        <w:t xml:space="preserve">-   </w:t>
      </w:r>
      <w:r w:rsidRPr="00412DB5">
        <w:rPr>
          <w:i/>
        </w:rPr>
        <w:t>CYP2C19</w:t>
      </w:r>
      <w:r>
        <w:t>: chr10:94,762,681-94,855,547</w:t>
      </w:r>
    </w:p>
    <w:p w14:paraId="58AFBD2C" w14:textId="77777777" w:rsidR="009F76F0" w:rsidRDefault="009F76F0" w:rsidP="009F76F0">
      <w:pPr>
        <w:jc w:val="both"/>
      </w:pPr>
    </w:p>
    <w:p w14:paraId="68F919D9" w14:textId="77777777" w:rsidR="009F76F0" w:rsidRPr="00412DB5" w:rsidRDefault="009F76F0" w:rsidP="009F76F0">
      <w:pPr>
        <w:jc w:val="both"/>
      </w:pPr>
      <w:r>
        <w:t>Based on the Parliament2 output, there is not enough support to warrant there are copy number changes in any of these regions (data available via Data Access Agreement with all other inputs and outputs from this analysis).</w:t>
      </w:r>
    </w:p>
    <w:p w14:paraId="50D22914" w14:textId="0073D141" w:rsidR="0028037B" w:rsidRDefault="00A73918">
      <w:pPr>
        <w:pStyle w:val="Heading2"/>
      </w:pPr>
      <w:r>
        <w:t>Genetic Risk Scores</w:t>
      </w:r>
    </w:p>
    <w:p w14:paraId="297ECA05" w14:textId="77777777" w:rsidR="0028037B" w:rsidRDefault="00A73918">
      <w:pPr>
        <w:jc w:val="both"/>
      </w:pPr>
      <w:bookmarkStart w:id="1" w:name="_gjdgxs" w:colFirst="0" w:colLast="0"/>
      <w:bookmarkEnd w:id="1"/>
      <w:r>
        <w:t>We present a list of all of the phenotypes for which we have developed a genetic risk score (Supplementary Table 1). Each genetic risk score is based on one or several publications referenced from the GWAS Catalogue. In order to select a study for our phenotypes we performed a curation of candidate studies and selected those that belonged to established Genome Wide Association (GWAS) consortia. Their SNPs would need to include at least their risk allele and odds ratio or beta scores of their weight contribution to the phenotype. We analysed the four saliva sample individuals for all of the genetic risk scores for each of the phenotypes. In this paper we only report those for which there is an individual score greater than one standard deviation from the mean of the background distribution. We group phenotypes by categories.</w:t>
      </w:r>
    </w:p>
    <w:p w14:paraId="0018EEEC" w14:textId="77777777" w:rsidR="0028037B" w:rsidRDefault="00A73918">
      <w:pPr>
        <w:spacing w:line="240" w:lineRule="auto"/>
        <w:rPr>
          <w:color w:val="000000"/>
        </w:rPr>
      </w:pPr>
      <w:r>
        <w:br w:type="page"/>
      </w:r>
    </w:p>
    <w:p w14:paraId="579283B0" w14:textId="77777777" w:rsidR="0028037B" w:rsidRDefault="00A73918">
      <w:r>
        <w:rPr>
          <w:b/>
        </w:rPr>
        <w:lastRenderedPageBreak/>
        <w:t>Supplementary Table 1</w:t>
      </w:r>
      <w:r>
        <w:t>. List of phenotypes for which genetic risk scores were created and tested among the four saliva sample individuals of the quintuplet.</w:t>
      </w:r>
    </w:p>
    <w:p w14:paraId="2AD2DA5F" w14:textId="77777777" w:rsidR="0028037B" w:rsidRDefault="0028037B">
      <w:pPr>
        <w:widowControl w:val="0"/>
        <w:pBdr>
          <w:top w:val="nil"/>
          <w:left w:val="nil"/>
          <w:bottom w:val="nil"/>
          <w:right w:val="nil"/>
          <w:between w:val="nil"/>
        </w:pBdr>
        <w:spacing w:after="220" w:line="240" w:lineRule="auto"/>
        <w:ind w:left="440" w:hanging="440"/>
        <w:rPr>
          <w:color w:val="000000"/>
        </w:rPr>
      </w:pPr>
    </w:p>
    <w:tbl>
      <w:tblPr>
        <w:tblStyle w:val="a"/>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15"/>
        <w:gridCol w:w="3660"/>
        <w:gridCol w:w="3696"/>
      </w:tblGrid>
      <w:tr w:rsidR="0028037B" w14:paraId="3580662B" w14:textId="77777777">
        <w:trPr>
          <w:trHeight w:val="544"/>
        </w:trPr>
        <w:tc>
          <w:tcPr>
            <w:tcW w:w="2115" w:type="dxa"/>
            <w:shd w:val="clear" w:color="auto" w:fill="E7E6E6"/>
            <w:vAlign w:val="center"/>
          </w:tcPr>
          <w:p w14:paraId="7610310C" w14:textId="77777777" w:rsidR="0028037B" w:rsidRDefault="00A7391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Category</w:t>
            </w:r>
          </w:p>
        </w:tc>
        <w:tc>
          <w:tcPr>
            <w:tcW w:w="3660" w:type="dxa"/>
            <w:shd w:val="clear" w:color="auto" w:fill="E7E6E6"/>
            <w:tcMar>
              <w:top w:w="20" w:type="dxa"/>
              <w:left w:w="20" w:type="dxa"/>
              <w:bottom w:w="100" w:type="dxa"/>
              <w:right w:w="20" w:type="dxa"/>
            </w:tcMar>
            <w:vAlign w:val="center"/>
          </w:tcPr>
          <w:p w14:paraId="66367E96" w14:textId="77777777" w:rsidR="0028037B" w:rsidRDefault="00A73918">
            <w:pPr>
              <w:widowControl w:val="0"/>
              <w:pBdr>
                <w:top w:val="nil"/>
                <w:left w:val="nil"/>
                <w:bottom w:val="nil"/>
                <w:right w:val="nil"/>
                <w:between w:val="nil"/>
              </w:pBdr>
              <w:spacing w:line="240" w:lineRule="auto"/>
              <w:jc w:val="center"/>
              <w:rPr>
                <w:b/>
              </w:rPr>
            </w:pPr>
            <w:r>
              <w:rPr>
                <w:rFonts w:ascii="Calibri" w:eastAsia="Calibri" w:hAnsi="Calibri" w:cs="Calibri"/>
                <w:b/>
                <w:sz w:val="24"/>
                <w:szCs w:val="24"/>
              </w:rPr>
              <w:t>Phenotype</w:t>
            </w:r>
          </w:p>
        </w:tc>
        <w:tc>
          <w:tcPr>
            <w:tcW w:w="3696" w:type="dxa"/>
            <w:shd w:val="clear" w:color="auto" w:fill="E7E6E6"/>
            <w:tcMar>
              <w:top w:w="20" w:type="dxa"/>
              <w:left w:w="20" w:type="dxa"/>
              <w:bottom w:w="100" w:type="dxa"/>
              <w:right w:w="20" w:type="dxa"/>
            </w:tcMar>
            <w:vAlign w:val="center"/>
          </w:tcPr>
          <w:p w14:paraId="53A3299E" w14:textId="77777777" w:rsidR="0028037B" w:rsidRDefault="00A73918">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GWAS Catalogue Publication ID</w:t>
            </w:r>
          </w:p>
        </w:tc>
      </w:tr>
      <w:tr w:rsidR="0028037B" w14:paraId="3EF5129C" w14:textId="77777777">
        <w:trPr>
          <w:trHeight w:val="284"/>
        </w:trPr>
        <w:tc>
          <w:tcPr>
            <w:tcW w:w="2115" w:type="dxa"/>
            <w:vMerge w:val="restart"/>
            <w:vAlign w:val="center"/>
          </w:tcPr>
          <w:p w14:paraId="19DC5C4F" w14:textId="77777777" w:rsidR="0028037B" w:rsidRDefault="00A73918">
            <w:pPr>
              <w:rPr>
                <w:rFonts w:ascii="Calibri" w:eastAsia="Calibri" w:hAnsi="Calibri" w:cs="Calibri"/>
              </w:rPr>
            </w:pPr>
            <w:r>
              <w:rPr>
                <w:rFonts w:ascii="Calibri" w:eastAsia="Calibri" w:hAnsi="Calibri" w:cs="Calibri"/>
              </w:rPr>
              <w:t>General Health</w:t>
            </w:r>
          </w:p>
        </w:tc>
        <w:tc>
          <w:tcPr>
            <w:tcW w:w="3660" w:type="dxa"/>
            <w:tcMar>
              <w:top w:w="20" w:type="dxa"/>
              <w:left w:w="20" w:type="dxa"/>
              <w:bottom w:w="100" w:type="dxa"/>
              <w:right w:w="20" w:type="dxa"/>
            </w:tcMar>
            <w:vAlign w:val="center"/>
          </w:tcPr>
          <w:p w14:paraId="35CE10A0" w14:textId="77777777" w:rsidR="0028037B" w:rsidRDefault="00A73918">
            <w:pPr>
              <w:rPr>
                <w:rFonts w:ascii="Calibri" w:eastAsia="Calibri" w:hAnsi="Calibri" w:cs="Calibri"/>
              </w:rPr>
            </w:pPr>
            <w:r>
              <w:rPr>
                <w:rFonts w:ascii="Calibri" w:eastAsia="Calibri" w:hAnsi="Calibri" w:cs="Calibri"/>
              </w:rPr>
              <w:t>Age related macular degeneration</w:t>
            </w:r>
          </w:p>
        </w:tc>
        <w:tc>
          <w:tcPr>
            <w:tcW w:w="3696" w:type="dxa"/>
            <w:tcMar>
              <w:top w:w="20" w:type="dxa"/>
              <w:left w:w="20" w:type="dxa"/>
              <w:bottom w:w="100" w:type="dxa"/>
              <w:right w:w="20" w:type="dxa"/>
            </w:tcMar>
            <w:vAlign w:val="center"/>
          </w:tcPr>
          <w:p w14:paraId="3D60A05E" w14:textId="77777777" w:rsidR="0028037B" w:rsidRDefault="00A73918">
            <w:pPr>
              <w:rPr>
                <w:rFonts w:ascii="Calibri" w:eastAsia="Calibri" w:hAnsi="Calibri" w:cs="Calibri"/>
              </w:rPr>
            </w:pPr>
            <w:r>
              <w:rPr>
                <w:rFonts w:ascii="Calibri" w:eastAsia="Calibri" w:hAnsi="Calibri" w:cs="Calibri"/>
              </w:rPr>
              <w:t>GCST000652, GCST000653, GCST000806, GCST001100, GCST001571, GCST001814, GCST001884</w:t>
            </w:r>
          </w:p>
        </w:tc>
      </w:tr>
      <w:tr w:rsidR="0028037B" w14:paraId="3DF2992A" w14:textId="77777777">
        <w:trPr>
          <w:trHeight w:val="284"/>
        </w:trPr>
        <w:tc>
          <w:tcPr>
            <w:tcW w:w="2115" w:type="dxa"/>
            <w:vMerge/>
            <w:vAlign w:val="center"/>
          </w:tcPr>
          <w:p w14:paraId="5AD7CA0E"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236F5DB2" w14:textId="77777777" w:rsidR="0028037B" w:rsidRDefault="00A73918">
            <w:pPr>
              <w:rPr>
                <w:rFonts w:ascii="Calibri" w:eastAsia="Calibri" w:hAnsi="Calibri" w:cs="Calibri"/>
              </w:rPr>
            </w:pPr>
            <w:r>
              <w:rPr>
                <w:rFonts w:ascii="Calibri" w:eastAsia="Calibri" w:hAnsi="Calibri" w:cs="Calibri"/>
              </w:rPr>
              <w:t xml:space="preserve">Body mass index                       </w:t>
            </w:r>
          </w:p>
        </w:tc>
        <w:tc>
          <w:tcPr>
            <w:tcW w:w="3696" w:type="dxa"/>
            <w:tcMar>
              <w:top w:w="20" w:type="dxa"/>
              <w:left w:w="20" w:type="dxa"/>
              <w:bottom w:w="100" w:type="dxa"/>
              <w:right w:w="20" w:type="dxa"/>
            </w:tcMar>
            <w:vAlign w:val="center"/>
          </w:tcPr>
          <w:p w14:paraId="026A2AA4" w14:textId="77777777" w:rsidR="0028037B" w:rsidRDefault="00A73918">
            <w:pPr>
              <w:rPr>
                <w:rFonts w:ascii="Calibri" w:eastAsia="Calibri" w:hAnsi="Calibri" w:cs="Calibri"/>
              </w:rPr>
            </w:pPr>
            <w:r>
              <w:rPr>
                <w:rFonts w:ascii="Calibri" w:eastAsia="Calibri" w:hAnsi="Calibri" w:cs="Calibri"/>
              </w:rPr>
              <w:t>GCST002783</w:t>
            </w:r>
          </w:p>
        </w:tc>
      </w:tr>
      <w:tr w:rsidR="0028037B" w14:paraId="10C0B1E6" w14:textId="77777777">
        <w:trPr>
          <w:trHeight w:val="284"/>
        </w:trPr>
        <w:tc>
          <w:tcPr>
            <w:tcW w:w="2115" w:type="dxa"/>
            <w:vMerge/>
            <w:vAlign w:val="center"/>
          </w:tcPr>
          <w:p w14:paraId="1EEAB3F5"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2D06845D" w14:textId="77777777" w:rsidR="0028037B" w:rsidRDefault="00A73918">
            <w:pPr>
              <w:rPr>
                <w:rFonts w:ascii="Calibri" w:eastAsia="Calibri" w:hAnsi="Calibri" w:cs="Calibri"/>
              </w:rPr>
            </w:pPr>
            <w:r>
              <w:rPr>
                <w:rFonts w:ascii="Calibri" w:eastAsia="Calibri" w:hAnsi="Calibri" w:cs="Calibri"/>
              </w:rPr>
              <w:t>Crohn’s disease</w:t>
            </w:r>
          </w:p>
        </w:tc>
        <w:tc>
          <w:tcPr>
            <w:tcW w:w="3696" w:type="dxa"/>
            <w:tcMar>
              <w:top w:w="20" w:type="dxa"/>
              <w:left w:w="20" w:type="dxa"/>
              <w:bottom w:w="100" w:type="dxa"/>
              <w:right w:w="20" w:type="dxa"/>
            </w:tcMar>
            <w:vAlign w:val="center"/>
          </w:tcPr>
          <w:p w14:paraId="6E10ACC3" w14:textId="77777777" w:rsidR="0028037B" w:rsidRDefault="00A73918">
            <w:pPr>
              <w:rPr>
                <w:rFonts w:ascii="Calibri" w:eastAsia="Calibri" w:hAnsi="Calibri" w:cs="Calibri"/>
              </w:rPr>
            </w:pPr>
            <w:r>
              <w:rPr>
                <w:rFonts w:ascii="Calibri" w:eastAsia="Calibri" w:hAnsi="Calibri" w:cs="Calibri"/>
              </w:rPr>
              <w:t>GCST003044</w:t>
            </w:r>
          </w:p>
        </w:tc>
      </w:tr>
      <w:tr w:rsidR="0028037B" w14:paraId="72488475" w14:textId="77777777">
        <w:trPr>
          <w:trHeight w:val="284"/>
        </w:trPr>
        <w:tc>
          <w:tcPr>
            <w:tcW w:w="2115" w:type="dxa"/>
            <w:vMerge/>
            <w:vAlign w:val="center"/>
          </w:tcPr>
          <w:p w14:paraId="4B757E2D"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757651F8" w14:textId="77777777" w:rsidR="0028037B" w:rsidRDefault="00A73918">
            <w:pPr>
              <w:rPr>
                <w:rFonts w:ascii="Calibri" w:eastAsia="Calibri" w:hAnsi="Calibri" w:cs="Calibri"/>
              </w:rPr>
            </w:pPr>
            <w:r>
              <w:rPr>
                <w:rFonts w:ascii="Calibri" w:eastAsia="Calibri" w:hAnsi="Calibri" w:cs="Calibri"/>
              </w:rPr>
              <w:t>Glaucoma</w:t>
            </w:r>
          </w:p>
        </w:tc>
        <w:tc>
          <w:tcPr>
            <w:tcW w:w="3696" w:type="dxa"/>
            <w:tcMar>
              <w:top w:w="20" w:type="dxa"/>
              <w:left w:w="20" w:type="dxa"/>
              <w:bottom w:w="100" w:type="dxa"/>
              <w:right w:w="20" w:type="dxa"/>
            </w:tcMar>
            <w:vAlign w:val="center"/>
          </w:tcPr>
          <w:p w14:paraId="57339E30" w14:textId="77777777" w:rsidR="0028037B" w:rsidRDefault="00A73918">
            <w:pPr>
              <w:rPr>
                <w:rFonts w:ascii="Calibri" w:eastAsia="Calibri" w:hAnsi="Calibri" w:cs="Calibri"/>
              </w:rPr>
            </w:pPr>
            <w:r>
              <w:rPr>
                <w:rFonts w:ascii="Calibri" w:eastAsia="Calibri" w:hAnsi="Calibri" w:cs="Calibri"/>
              </w:rPr>
              <w:t xml:space="preserve">GCST006065, GCST006066, GCST006067 </w:t>
            </w:r>
          </w:p>
        </w:tc>
      </w:tr>
      <w:tr w:rsidR="0028037B" w14:paraId="04D08CE9" w14:textId="77777777">
        <w:trPr>
          <w:trHeight w:val="284"/>
        </w:trPr>
        <w:tc>
          <w:tcPr>
            <w:tcW w:w="2115" w:type="dxa"/>
            <w:vMerge/>
            <w:vAlign w:val="center"/>
          </w:tcPr>
          <w:p w14:paraId="630E615B"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39B9CCC8" w14:textId="77777777" w:rsidR="0028037B" w:rsidRDefault="00A73918">
            <w:pPr>
              <w:rPr>
                <w:rFonts w:ascii="Calibri" w:eastAsia="Calibri" w:hAnsi="Calibri" w:cs="Calibri"/>
              </w:rPr>
            </w:pPr>
            <w:r>
              <w:rPr>
                <w:rFonts w:ascii="Calibri" w:eastAsia="Calibri" w:hAnsi="Calibri" w:cs="Calibri"/>
              </w:rPr>
              <w:t>Hip circumference</w:t>
            </w:r>
          </w:p>
        </w:tc>
        <w:tc>
          <w:tcPr>
            <w:tcW w:w="3696" w:type="dxa"/>
            <w:tcMar>
              <w:top w:w="20" w:type="dxa"/>
              <w:left w:w="20" w:type="dxa"/>
              <w:bottom w:w="100" w:type="dxa"/>
              <w:right w:w="20" w:type="dxa"/>
            </w:tcMar>
            <w:vAlign w:val="center"/>
          </w:tcPr>
          <w:p w14:paraId="27F1DDA3" w14:textId="77777777" w:rsidR="0028037B" w:rsidRDefault="00A73918">
            <w:pPr>
              <w:rPr>
                <w:rFonts w:ascii="Calibri" w:eastAsia="Calibri" w:hAnsi="Calibri" w:cs="Calibri"/>
              </w:rPr>
            </w:pPr>
            <w:r>
              <w:rPr>
                <w:rFonts w:ascii="Calibri" w:eastAsia="Calibri" w:hAnsi="Calibri" w:cs="Calibri"/>
              </w:rPr>
              <w:t>GCST004066, GCST004067</w:t>
            </w:r>
          </w:p>
        </w:tc>
      </w:tr>
      <w:tr w:rsidR="0028037B" w14:paraId="3AEC36A1" w14:textId="77777777">
        <w:trPr>
          <w:trHeight w:val="284"/>
        </w:trPr>
        <w:tc>
          <w:tcPr>
            <w:tcW w:w="2115" w:type="dxa"/>
            <w:vMerge/>
            <w:vAlign w:val="center"/>
          </w:tcPr>
          <w:p w14:paraId="4FBA8030"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40D49E75" w14:textId="77777777" w:rsidR="0028037B" w:rsidRDefault="00A73918">
            <w:pPr>
              <w:rPr>
                <w:rFonts w:ascii="Calibri" w:eastAsia="Calibri" w:hAnsi="Calibri" w:cs="Calibri"/>
              </w:rPr>
            </w:pPr>
            <w:r>
              <w:rPr>
                <w:rFonts w:ascii="Calibri" w:eastAsia="Calibri" w:hAnsi="Calibri" w:cs="Calibri"/>
              </w:rPr>
              <w:t>Inflammatory bowel disease</w:t>
            </w:r>
          </w:p>
        </w:tc>
        <w:tc>
          <w:tcPr>
            <w:tcW w:w="3696" w:type="dxa"/>
            <w:tcMar>
              <w:top w:w="20" w:type="dxa"/>
              <w:left w:w="20" w:type="dxa"/>
              <w:bottom w:w="100" w:type="dxa"/>
              <w:right w:w="20" w:type="dxa"/>
            </w:tcMar>
            <w:vAlign w:val="center"/>
          </w:tcPr>
          <w:p w14:paraId="37CFD35C" w14:textId="77777777" w:rsidR="0028037B" w:rsidRDefault="00A73918">
            <w:pPr>
              <w:rPr>
                <w:rFonts w:ascii="Calibri" w:eastAsia="Calibri" w:hAnsi="Calibri" w:cs="Calibri"/>
              </w:rPr>
            </w:pPr>
            <w:r>
              <w:rPr>
                <w:rFonts w:ascii="Calibri" w:eastAsia="Calibri" w:hAnsi="Calibri" w:cs="Calibri"/>
              </w:rPr>
              <w:t>GCST003043</w:t>
            </w:r>
          </w:p>
        </w:tc>
      </w:tr>
      <w:tr w:rsidR="0028037B" w14:paraId="366179B9" w14:textId="77777777">
        <w:trPr>
          <w:trHeight w:val="284"/>
        </w:trPr>
        <w:tc>
          <w:tcPr>
            <w:tcW w:w="2115" w:type="dxa"/>
            <w:vMerge/>
            <w:vAlign w:val="center"/>
          </w:tcPr>
          <w:p w14:paraId="12F89FE6"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671AF320" w14:textId="77777777" w:rsidR="0028037B" w:rsidRDefault="00A73918">
            <w:pPr>
              <w:rPr>
                <w:rFonts w:ascii="Calibri" w:eastAsia="Calibri" w:hAnsi="Calibri" w:cs="Calibri"/>
              </w:rPr>
            </w:pPr>
            <w:r>
              <w:rPr>
                <w:rFonts w:ascii="Calibri" w:eastAsia="Calibri" w:hAnsi="Calibri" w:cs="Calibri"/>
              </w:rPr>
              <w:t>Obesity</w:t>
            </w:r>
          </w:p>
        </w:tc>
        <w:tc>
          <w:tcPr>
            <w:tcW w:w="3696" w:type="dxa"/>
            <w:tcMar>
              <w:top w:w="20" w:type="dxa"/>
              <w:left w:w="20" w:type="dxa"/>
              <w:bottom w:w="100" w:type="dxa"/>
              <w:right w:w="20" w:type="dxa"/>
            </w:tcMar>
            <w:vAlign w:val="center"/>
          </w:tcPr>
          <w:p w14:paraId="0FEDF1CA" w14:textId="77777777" w:rsidR="0028037B" w:rsidRDefault="00A73918">
            <w:pPr>
              <w:rPr>
                <w:rFonts w:ascii="Calibri" w:eastAsia="Calibri" w:hAnsi="Calibri" w:cs="Calibri"/>
              </w:rPr>
            </w:pPr>
            <w:r>
              <w:rPr>
                <w:rFonts w:ascii="Calibri" w:eastAsia="Calibri" w:hAnsi="Calibri" w:cs="Calibri"/>
              </w:rPr>
              <w:t>GCST2081</w:t>
            </w:r>
          </w:p>
        </w:tc>
      </w:tr>
      <w:tr w:rsidR="0028037B" w14:paraId="5A85D1AE" w14:textId="77777777">
        <w:trPr>
          <w:trHeight w:val="284"/>
        </w:trPr>
        <w:tc>
          <w:tcPr>
            <w:tcW w:w="2115" w:type="dxa"/>
            <w:vMerge/>
            <w:vAlign w:val="center"/>
          </w:tcPr>
          <w:p w14:paraId="54876F8B"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6ACF1052" w14:textId="77777777" w:rsidR="0028037B" w:rsidRDefault="00A73918">
            <w:pPr>
              <w:rPr>
                <w:rFonts w:ascii="Calibri" w:eastAsia="Calibri" w:hAnsi="Calibri" w:cs="Calibri"/>
              </w:rPr>
            </w:pPr>
            <w:r>
              <w:rPr>
                <w:rFonts w:ascii="Calibri" w:eastAsia="Calibri" w:hAnsi="Calibri" w:cs="Calibri"/>
              </w:rPr>
              <w:t>Rheumatoid arthritis</w:t>
            </w:r>
          </w:p>
        </w:tc>
        <w:tc>
          <w:tcPr>
            <w:tcW w:w="3696" w:type="dxa"/>
            <w:tcMar>
              <w:top w:w="20" w:type="dxa"/>
              <w:left w:w="20" w:type="dxa"/>
              <w:bottom w:w="100" w:type="dxa"/>
              <w:right w:w="20" w:type="dxa"/>
            </w:tcMar>
            <w:vAlign w:val="center"/>
          </w:tcPr>
          <w:p w14:paraId="24B1F80D" w14:textId="77777777" w:rsidR="0028037B" w:rsidRDefault="00A73918">
            <w:pPr>
              <w:rPr>
                <w:rFonts w:ascii="Calibri" w:eastAsia="Calibri" w:hAnsi="Calibri" w:cs="Calibri"/>
              </w:rPr>
            </w:pPr>
            <w:r>
              <w:rPr>
                <w:rFonts w:ascii="Calibri" w:eastAsia="Calibri" w:hAnsi="Calibri" w:cs="Calibri"/>
              </w:rPr>
              <w:t>GCST002318</w:t>
            </w:r>
          </w:p>
        </w:tc>
      </w:tr>
      <w:tr w:rsidR="0028037B" w14:paraId="3A45D746" w14:textId="77777777">
        <w:trPr>
          <w:trHeight w:val="284"/>
        </w:trPr>
        <w:tc>
          <w:tcPr>
            <w:tcW w:w="2115" w:type="dxa"/>
            <w:vMerge/>
            <w:vAlign w:val="center"/>
          </w:tcPr>
          <w:p w14:paraId="5AC9DA93"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0CD3157E" w14:textId="77777777" w:rsidR="0028037B" w:rsidRDefault="00A73918">
            <w:pPr>
              <w:rPr>
                <w:rFonts w:ascii="Calibri" w:eastAsia="Calibri" w:hAnsi="Calibri" w:cs="Calibri"/>
              </w:rPr>
            </w:pPr>
            <w:r>
              <w:rPr>
                <w:rFonts w:ascii="Calibri" w:eastAsia="Calibri" w:hAnsi="Calibri" w:cs="Calibri"/>
              </w:rPr>
              <w:t>Ulcerative colitis</w:t>
            </w:r>
          </w:p>
        </w:tc>
        <w:tc>
          <w:tcPr>
            <w:tcW w:w="3696" w:type="dxa"/>
            <w:tcMar>
              <w:top w:w="20" w:type="dxa"/>
              <w:left w:w="20" w:type="dxa"/>
              <w:bottom w:w="100" w:type="dxa"/>
              <w:right w:w="20" w:type="dxa"/>
            </w:tcMar>
            <w:vAlign w:val="center"/>
          </w:tcPr>
          <w:p w14:paraId="18EC3F51" w14:textId="77777777" w:rsidR="0028037B" w:rsidRDefault="00A73918">
            <w:pPr>
              <w:rPr>
                <w:rFonts w:ascii="Calibri" w:eastAsia="Calibri" w:hAnsi="Calibri" w:cs="Calibri"/>
              </w:rPr>
            </w:pPr>
            <w:r>
              <w:rPr>
                <w:rFonts w:ascii="Calibri" w:eastAsia="Calibri" w:hAnsi="Calibri" w:cs="Calibri"/>
              </w:rPr>
              <w:t>GCST003045</w:t>
            </w:r>
          </w:p>
        </w:tc>
      </w:tr>
      <w:tr w:rsidR="0028037B" w14:paraId="3FB6CDEF" w14:textId="77777777">
        <w:trPr>
          <w:trHeight w:val="284"/>
        </w:trPr>
        <w:tc>
          <w:tcPr>
            <w:tcW w:w="2115" w:type="dxa"/>
            <w:vMerge w:val="restart"/>
            <w:vAlign w:val="center"/>
          </w:tcPr>
          <w:p w14:paraId="246071E5" w14:textId="77777777" w:rsidR="0028037B" w:rsidRDefault="00A73918">
            <w:pPr>
              <w:rPr>
                <w:rFonts w:ascii="Calibri" w:eastAsia="Calibri" w:hAnsi="Calibri" w:cs="Calibri"/>
              </w:rPr>
            </w:pPr>
            <w:r>
              <w:rPr>
                <w:rFonts w:ascii="Calibri" w:eastAsia="Calibri" w:hAnsi="Calibri" w:cs="Calibri"/>
              </w:rPr>
              <w:t>Heart and lungs</w:t>
            </w:r>
          </w:p>
        </w:tc>
        <w:tc>
          <w:tcPr>
            <w:tcW w:w="3660" w:type="dxa"/>
            <w:tcMar>
              <w:top w:w="20" w:type="dxa"/>
              <w:left w:w="20" w:type="dxa"/>
              <w:bottom w:w="100" w:type="dxa"/>
              <w:right w:w="20" w:type="dxa"/>
            </w:tcMar>
            <w:vAlign w:val="center"/>
          </w:tcPr>
          <w:p w14:paraId="22FE3363" w14:textId="77777777" w:rsidR="0028037B" w:rsidRDefault="00A73918">
            <w:pPr>
              <w:rPr>
                <w:rFonts w:ascii="Calibri" w:eastAsia="Calibri" w:hAnsi="Calibri" w:cs="Calibri"/>
              </w:rPr>
            </w:pPr>
            <w:r>
              <w:rPr>
                <w:rFonts w:ascii="Calibri" w:eastAsia="Calibri" w:hAnsi="Calibri" w:cs="Calibri"/>
              </w:rPr>
              <w:t>Coronary artery disease</w:t>
            </w:r>
          </w:p>
        </w:tc>
        <w:tc>
          <w:tcPr>
            <w:tcW w:w="3696" w:type="dxa"/>
            <w:tcMar>
              <w:top w:w="20" w:type="dxa"/>
              <w:left w:w="20" w:type="dxa"/>
              <w:bottom w:w="100" w:type="dxa"/>
              <w:right w:w="20" w:type="dxa"/>
            </w:tcMar>
            <w:vAlign w:val="center"/>
          </w:tcPr>
          <w:p w14:paraId="0D06249A" w14:textId="77777777" w:rsidR="0028037B" w:rsidRDefault="00A73918">
            <w:pPr>
              <w:rPr>
                <w:rFonts w:ascii="Calibri" w:eastAsia="Calibri" w:hAnsi="Calibri" w:cs="Calibri"/>
              </w:rPr>
            </w:pPr>
            <w:r>
              <w:rPr>
                <w:rFonts w:ascii="Calibri" w:eastAsia="Calibri" w:hAnsi="Calibri" w:cs="Calibri"/>
              </w:rPr>
              <w:t xml:space="preserve">GCST003116 </w:t>
            </w:r>
          </w:p>
        </w:tc>
      </w:tr>
      <w:tr w:rsidR="0028037B" w14:paraId="514E7773" w14:textId="77777777">
        <w:trPr>
          <w:trHeight w:val="284"/>
        </w:trPr>
        <w:tc>
          <w:tcPr>
            <w:tcW w:w="2115" w:type="dxa"/>
            <w:vMerge/>
            <w:vAlign w:val="center"/>
          </w:tcPr>
          <w:p w14:paraId="6307272F"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24771C5A" w14:textId="77777777" w:rsidR="0028037B" w:rsidRDefault="00A73918">
            <w:pPr>
              <w:rPr>
                <w:rFonts w:ascii="Calibri" w:eastAsia="Calibri" w:hAnsi="Calibri" w:cs="Calibri"/>
              </w:rPr>
            </w:pPr>
            <w:r>
              <w:rPr>
                <w:rFonts w:ascii="Calibri" w:eastAsia="Calibri" w:hAnsi="Calibri" w:cs="Calibri"/>
              </w:rPr>
              <w:t>Chronic obstructive pulmonary disease</w:t>
            </w:r>
          </w:p>
        </w:tc>
        <w:tc>
          <w:tcPr>
            <w:tcW w:w="3696" w:type="dxa"/>
            <w:tcMar>
              <w:top w:w="20" w:type="dxa"/>
              <w:left w:w="20" w:type="dxa"/>
              <w:bottom w:w="100" w:type="dxa"/>
              <w:right w:w="20" w:type="dxa"/>
            </w:tcMar>
            <w:vAlign w:val="center"/>
          </w:tcPr>
          <w:p w14:paraId="08878037" w14:textId="77777777" w:rsidR="0028037B" w:rsidRDefault="00A73918">
            <w:pPr>
              <w:rPr>
                <w:rFonts w:ascii="Calibri" w:eastAsia="Calibri" w:hAnsi="Calibri" w:cs="Calibri"/>
              </w:rPr>
            </w:pPr>
            <w:r>
              <w:rPr>
                <w:rFonts w:ascii="Calibri" w:eastAsia="Calibri" w:hAnsi="Calibri" w:cs="Calibri"/>
              </w:rPr>
              <w:t>GCST004147</w:t>
            </w:r>
          </w:p>
        </w:tc>
      </w:tr>
      <w:tr w:rsidR="0028037B" w14:paraId="04684FBE" w14:textId="77777777">
        <w:trPr>
          <w:trHeight w:val="284"/>
        </w:trPr>
        <w:tc>
          <w:tcPr>
            <w:tcW w:w="2115" w:type="dxa"/>
            <w:vMerge/>
            <w:vAlign w:val="center"/>
          </w:tcPr>
          <w:p w14:paraId="4A495CD4"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7B7B19FD" w14:textId="77777777" w:rsidR="0028037B" w:rsidRDefault="00A73918">
            <w:pPr>
              <w:rPr>
                <w:rFonts w:ascii="Calibri" w:eastAsia="Calibri" w:hAnsi="Calibri" w:cs="Calibri"/>
              </w:rPr>
            </w:pPr>
            <w:r>
              <w:rPr>
                <w:rFonts w:ascii="Calibri" w:eastAsia="Calibri" w:hAnsi="Calibri" w:cs="Calibri"/>
              </w:rPr>
              <w:t>Diastolic blood pressure</w:t>
            </w:r>
          </w:p>
        </w:tc>
        <w:tc>
          <w:tcPr>
            <w:tcW w:w="3696" w:type="dxa"/>
            <w:tcMar>
              <w:top w:w="20" w:type="dxa"/>
              <w:left w:w="20" w:type="dxa"/>
              <w:bottom w:w="100" w:type="dxa"/>
              <w:right w:w="20" w:type="dxa"/>
            </w:tcMar>
            <w:vAlign w:val="center"/>
          </w:tcPr>
          <w:p w14:paraId="3CA0EB1B" w14:textId="77777777" w:rsidR="0028037B" w:rsidRDefault="00A73918">
            <w:pPr>
              <w:rPr>
                <w:rFonts w:ascii="Calibri" w:eastAsia="Calibri" w:hAnsi="Calibri" w:cs="Calibri"/>
              </w:rPr>
            </w:pPr>
            <w:r>
              <w:rPr>
                <w:rFonts w:ascii="Calibri" w:eastAsia="Calibri" w:hAnsi="Calibri" w:cs="Calibri"/>
              </w:rPr>
              <w:t>GCST006020, GCST006021, GCST006022, GCST006023</w:t>
            </w:r>
          </w:p>
        </w:tc>
      </w:tr>
      <w:tr w:rsidR="0028037B" w14:paraId="79CFA6D4" w14:textId="77777777">
        <w:trPr>
          <w:trHeight w:val="284"/>
        </w:trPr>
        <w:tc>
          <w:tcPr>
            <w:tcW w:w="2115" w:type="dxa"/>
            <w:vMerge/>
            <w:vAlign w:val="center"/>
          </w:tcPr>
          <w:p w14:paraId="30C7D2D6"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7CF03906" w14:textId="77777777" w:rsidR="0028037B" w:rsidRDefault="00A73918">
            <w:pPr>
              <w:rPr>
                <w:rFonts w:ascii="Calibri" w:eastAsia="Calibri" w:hAnsi="Calibri" w:cs="Calibri"/>
              </w:rPr>
            </w:pPr>
            <w:r>
              <w:rPr>
                <w:rFonts w:ascii="Calibri" w:eastAsia="Calibri" w:hAnsi="Calibri" w:cs="Calibri"/>
              </w:rPr>
              <w:t>Hypertension</w:t>
            </w:r>
          </w:p>
        </w:tc>
        <w:tc>
          <w:tcPr>
            <w:tcW w:w="3696" w:type="dxa"/>
            <w:tcMar>
              <w:top w:w="20" w:type="dxa"/>
              <w:left w:w="20" w:type="dxa"/>
              <w:bottom w:w="100" w:type="dxa"/>
              <w:right w:w="20" w:type="dxa"/>
            </w:tcMar>
            <w:vAlign w:val="center"/>
          </w:tcPr>
          <w:p w14:paraId="26C8A0DB" w14:textId="77777777" w:rsidR="0028037B" w:rsidRDefault="00A73918">
            <w:pPr>
              <w:rPr>
                <w:rFonts w:ascii="Calibri" w:eastAsia="Calibri" w:hAnsi="Calibri" w:cs="Calibri"/>
              </w:rPr>
            </w:pPr>
            <w:r>
              <w:rPr>
                <w:rFonts w:ascii="Calibri" w:eastAsia="Calibri" w:hAnsi="Calibri" w:cs="Calibri"/>
              </w:rPr>
              <w:t>GCST006020, GCST006021, GCST006022, GCST006023</w:t>
            </w:r>
          </w:p>
        </w:tc>
      </w:tr>
      <w:tr w:rsidR="0028037B" w14:paraId="1781AED6" w14:textId="77777777">
        <w:trPr>
          <w:trHeight w:val="284"/>
        </w:trPr>
        <w:tc>
          <w:tcPr>
            <w:tcW w:w="2115" w:type="dxa"/>
            <w:vMerge/>
            <w:vAlign w:val="center"/>
          </w:tcPr>
          <w:p w14:paraId="2E4018D7"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6C05B377" w14:textId="77777777" w:rsidR="0028037B" w:rsidRDefault="00A73918">
            <w:pPr>
              <w:rPr>
                <w:rFonts w:ascii="Calibri" w:eastAsia="Calibri" w:hAnsi="Calibri" w:cs="Calibri"/>
              </w:rPr>
            </w:pPr>
            <w:r>
              <w:rPr>
                <w:rFonts w:ascii="Calibri" w:eastAsia="Calibri" w:hAnsi="Calibri" w:cs="Calibri"/>
              </w:rPr>
              <w:t>Myocardial infarction</w:t>
            </w:r>
          </w:p>
        </w:tc>
        <w:tc>
          <w:tcPr>
            <w:tcW w:w="3696" w:type="dxa"/>
            <w:tcMar>
              <w:top w:w="20" w:type="dxa"/>
              <w:left w:w="20" w:type="dxa"/>
              <w:bottom w:w="100" w:type="dxa"/>
              <w:right w:w="20" w:type="dxa"/>
            </w:tcMar>
            <w:vAlign w:val="center"/>
          </w:tcPr>
          <w:p w14:paraId="31C2C163" w14:textId="77777777" w:rsidR="0028037B" w:rsidRDefault="00A73918">
            <w:pPr>
              <w:rPr>
                <w:rFonts w:ascii="Calibri" w:eastAsia="Calibri" w:hAnsi="Calibri" w:cs="Calibri"/>
              </w:rPr>
            </w:pPr>
            <w:r>
              <w:rPr>
                <w:rFonts w:ascii="Calibri" w:eastAsia="Calibri" w:hAnsi="Calibri" w:cs="Calibri"/>
              </w:rPr>
              <w:t xml:space="preserve">GCST003116 </w:t>
            </w:r>
          </w:p>
        </w:tc>
      </w:tr>
      <w:tr w:rsidR="0028037B" w14:paraId="0022E149" w14:textId="77777777">
        <w:trPr>
          <w:trHeight w:val="284"/>
        </w:trPr>
        <w:tc>
          <w:tcPr>
            <w:tcW w:w="2115" w:type="dxa"/>
            <w:vMerge/>
            <w:vAlign w:val="center"/>
          </w:tcPr>
          <w:p w14:paraId="651D003C"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249EFC5A" w14:textId="77777777" w:rsidR="0028037B" w:rsidRDefault="00A73918">
            <w:pPr>
              <w:rPr>
                <w:rFonts w:ascii="Calibri" w:eastAsia="Calibri" w:hAnsi="Calibri" w:cs="Calibri"/>
              </w:rPr>
            </w:pPr>
            <w:r>
              <w:rPr>
                <w:rFonts w:ascii="Calibri" w:eastAsia="Calibri" w:hAnsi="Calibri" w:cs="Calibri"/>
              </w:rPr>
              <w:t>Pulse pressure</w:t>
            </w:r>
          </w:p>
        </w:tc>
        <w:tc>
          <w:tcPr>
            <w:tcW w:w="3696" w:type="dxa"/>
            <w:tcMar>
              <w:top w:w="20" w:type="dxa"/>
              <w:left w:w="20" w:type="dxa"/>
              <w:bottom w:w="100" w:type="dxa"/>
              <w:right w:w="20" w:type="dxa"/>
            </w:tcMar>
            <w:vAlign w:val="center"/>
          </w:tcPr>
          <w:p w14:paraId="0243DA85" w14:textId="77777777" w:rsidR="0028037B" w:rsidRDefault="00A73918">
            <w:pPr>
              <w:rPr>
                <w:rFonts w:ascii="Calibri" w:eastAsia="Calibri" w:hAnsi="Calibri" w:cs="Calibri"/>
              </w:rPr>
            </w:pPr>
            <w:r>
              <w:rPr>
                <w:rFonts w:ascii="Calibri" w:eastAsia="Calibri" w:hAnsi="Calibri" w:cs="Calibri"/>
              </w:rPr>
              <w:t>GCST006020, GCST006021, GCST006022, GCST006023</w:t>
            </w:r>
          </w:p>
        </w:tc>
      </w:tr>
      <w:tr w:rsidR="0028037B" w14:paraId="0632CD90" w14:textId="77777777">
        <w:trPr>
          <w:trHeight w:val="284"/>
        </w:trPr>
        <w:tc>
          <w:tcPr>
            <w:tcW w:w="2115" w:type="dxa"/>
            <w:vMerge/>
            <w:vAlign w:val="center"/>
          </w:tcPr>
          <w:p w14:paraId="55294D24"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2C814194" w14:textId="77777777" w:rsidR="0028037B" w:rsidRDefault="00A73918">
            <w:pPr>
              <w:rPr>
                <w:rFonts w:ascii="Calibri" w:eastAsia="Calibri" w:hAnsi="Calibri" w:cs="Calibri"/>
              </w:rPr>
            </w:pPr>
            <w:r>
              <w:rPr>
                <w:rFonts w:ascii="Calibri" w:eastAsia="Calibri" w:hAnsi="Calibri" w:cs="Calibri"/>
              </w:rPr>
              <w:t>Systolic blood pressure</w:t>
            </w:r>
          </w:p>
        </w:tc>
        <w:tc>
          <w:tcPr>
            <w:tcW w:w="3696" w:type="dxa"/>
            <w:tcMar>
              <w:top w:w="20" w:type="dxa"/>
              <w:left w:w="20" w:type="dxa"/>
              <w:bottom w:w="100" w:type="dxa"/>
              <w:right w:w="20" w:type="dxa"/>
            </w:tcMar>
            <w:vAlign w:val="center"/>
          </w:tcPr>
          <w:p w14:paraId="75BD9CBC" w14:textId="77777777" w:rsidR="0028037B" w:rsidRDefault="00A73918">
            <w:pPr>
              <w:rPr>
                <w:rFonts w:ascii="Calibri" w:eastAsia="Calibri" w:hAnsi="Calibri" w:cs="Calibri"/>
              </w:rPr>
            </w:pPr>
            <w:r>
              <w:rPr>
                <w:rFonts w:ascii="Calibri" w:eastAsia="Calibri" w:hAnsi="Calibri" w:cs="Calibri"/>
              </w:rPr>
              <w:t>GCST006020, GCST006021, GCST006022, GCST006023</w:t>
            </w:r>
          </w:p>
        </w:tc>
      </w:tr>
      <w:tr w:rsidR="0028037B" w14:paraId="30840B87" w14:textId="77777777">
        <w:trPr>
          <w:trHeight w:val="284"/>
        </w:trPr>
        <w:tc>
          <w:tcPr>
            <w:tcW w:w="2115" w:type="dxa"/>
            <w:vMerge w:val="restart"/>
            <w:vAlign w:val="center"/>
          </w:tcPr>
          <w:p w14:paraId="6604CB20" w14:textId="77777777" w:rsidR="0028037B" w:rsidRDefault="00A73918">
            <w:pPr>
              <w:rPr>
                <w:rFonts w:ascii="Calibri" w:eastAsia="Calibri" w:hAnsi="Calibri" w:cs="Calibri"/>
              </w:rPr>
            </w:pPr>
            <w:r>
              <w:rPr>
                <w:rFonts w:ascii="Calibri" w:eastAsia="Calibri" w:hAnsi="Calibri" w:cs="Calibri"/>
              </w:rPr>
              <w:t>Endocrine</w:t>
            </w:r>
          </w:p>
        </w:tc>
        <w:tc>
          <w:tcPr>
            <w:tcW w:w="3660" w:type="dxa"/>
            <w:tcMar>
              <w:top w:w="20" w:type="dxa"/>
              <w:left w:w="20" w:type="dxa"/>
              <w:bottom w:w="100" w:type="dxa"/>
              <w:right w:w="20" w:type="dxa"/>
            </w:tcMar>
            <w:vAlign w:val="center"/>
          </w:tcPr>
          <w:p w14:paraId="60F18535" w14:textId="77777777" w:rsidR="0028037B" w:rsidRDefault="00A73918">
            <w:pPr>
              <w:rPr>
                <w:rFonts w:ascii="Calibri" w:eastAsia="Calibri" w:hAnsi="Calibri" w:cs="Calibri"/>
              </w:rPr>
            </w:pPr>
            <w:r>
              <w:rPr>
                <w:rFonts w:ascii="Calibri" w:eastAsia="Calibri" w:hAnsi="Calibri" w:cs="Calibri"/>
              </w:rPr>
              <w:t>Diabetes type1</w:t>
            </w:r>
          </w:p>
        </w:tc>
        <w:tc>
          <w:tcPr>
            <w:tcW w:w="3696" w:type="dxa"/>
            <w:tcMar>
              <w:top w:w="20" w:type="dxa"/>
              <w:left w:w="20" w:type="dxa"/>
              <w:bottom w:w="100" w:type="dxa"/>
              <w:right w:w="20" w:type="dxa"/>
            </w:tcMar>
            <w:vAlign w:val="center"/>
          </w:tcPr>
          <w:p w14:paraId="2C902263" w14:textId="77777777" w:rsidR="0028037B" w:rsidRDefault="00A73918">
            <w:pPr>
              <w:rPr>
                <w:rFonts w:ascii="Calibri" w:eastAsia="Calibri" w:hAnsi="Calibri" w:cs="Calibri"/>
              </w:rPr>
            </w:pPr>
            <w:r>
              <w:rPr>
                <w:rFonts w:ascii="Calibri" w:eastAsia="Calibri" w:hAnsi="Calibri" w:cs="Calibri"/>
              </w:rPr>
              <w:t>GCST005536</w:t>
            </w:r>
          </w:p>
        </w:tc>
      </w:tr>
      <w:tr w:rsidR="0028037B" w14:paraId="65458B5D" w14:textId="77777777">
        <w:trPr>
          <w:trHeight w:val="284"/>
        </w:trPr>
        <w:tc>
          <w:tcPr>
            <w:tcW w:w="2115" w:type="dxa"/>
            <w:vMerge/>
            <w:vAlign w:val="center"/>
          </w:tcPr>
          <w:p w14:paraId="54BB1288"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27C2D91A" w14:textId="77777777" w:rsidR="0028037B" w:rsidRDefault="00A73918">
            <w:pPr>
              <w:rPr>
                <w:rFonts w:ascii="Calibri" w:eastAsia="Calibri" w:hAnsi="Calibri" w:cs="Calibri"/>
              </w:rPr>
            </w:pPr>
            <w:r>
              <w:rPr>
                <w:rFonts w:ascii="Calibri" w:eastAsia="Calibri" w:hAnsi="Calibri" w:cs="Calibri"/>
              </w:rPr>
              <w:t>Diabetes type2</w:t>
            </w:r>
          </w:p>
        </w:tc>
        <w:tc>
          <w:tcPr>
            <w:tcW w:w="3696" w:type="dxa"/>
            <w:tcMar>
              <w:top w:w="20" w:type="dxa"/>
              <w:left w:w="20" w:type="dxa"/>
              <w:bottom w:w="100" w:type="dxa"/>
              <w:right w:w="20" w:type="dxa"/>
            </w:tcMar>
            <w:vAlign w:val="center"/>
          </w:tcPr>
          <w:p w14:paraId="790F9149" w14:textId="77777777" w:rsidR="0028037B" w:rsidRDefault="00A73918">
            <w:pPr>
              <w:rPr>
                <w:rFonts w:ascii="Calibri" w:eastAsia="Calibri" w:hAnsi="Calibri" w:cs="Calibri"/>
              </w:rPr>
            </w:pPr>
            <w:r>
              <w:rPr>
                <w:rFonts w:ascii="Calibri" w:eastAsia="Calibri" w:hAnsi="Calibri" w:cs="Calibri"/>
              </w:rPr>
              <w:t>GCST002352, GCST005047</w:t>
            </w:r>
          </w:p>
        </w:tc>
      </w:tr>
      <w:tr w:rsidR="0028037B" w14:paraId="6AEA04CF" w14:textId="77777777">
        <w:trPr>
          <w:trHeight w:val="284"/>
        </w:trPr>
        <w:tc>
          <w:tcPr>
            <w:tcW w:w="2115" w:type="dxa"/>
            <w:vMerge/>
            <w:vAlign w:val="center"/>
          </w:tcPr>
          <w:p w14:paraId="380053B7"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7F9860A7" w14:textId="2421DA2F" w:rsidR="0028037B" w:rsidRDefault="00A73918">
            <w:pPr>
              <w:rPr>
                <w:rFonts w:ascii="Calibri" w:eastAsia="Calibri" w:hAnsi="Calibri" w:cs="Calibri"/>
              </w:rPr>
            </w:pPr>
            <w:r>
              <w:rPr>
                <w:rFonts w:ascii="Calibri" w:eastAsia="Calibri" w:hAnsi="Calibri" w:cs="Calibri"/>
              </w:rPr>
              <w:t>Hyp</w:t>
            </w:r>
            <w:r w:rsidR="00C14991">
              <w:rPr>
                <w:rFonts w:ascii="Calibri" w:eastAsia="Calibri" w:hAnsi="Calibri" w:cs="Calibri"/>
              </w:rPr>
              <w:t>o</w:t>
            </w:r>
            <w:r>
              <w:rPr>
                <w:rFonts w:ascii="Calibri" w:eastAsia="Calibri" w:hAnsi="Calibri" w:cs="Calibri"/>
              </w:rPr>
              <w:t>thyroidism</w:t>
            </w:r>
          </w:p>
        </w:tc>
        <w:tc>
          <w:tcPr>
            <w:tcW w:w="3696" w:type="dxa"/>
            <w:tcMar>
              <w:top w:w="20" w:type="dxa"/>
              <w:left w:w="20" w:type="dxa"/>
              <w:bottom w:w="100" w:type="dxa"/>
              <w:right w:w="20" w:type="dxa"/>
            </w:tcMar>
            <w:vAlign w:val="center"/>
          </w:tcPr>
          <w:p w14:paraId="13C0EA52" w14:textId="77777777" w:rsidR="0028037B" w:rsidRDefault="00A73918">
            <w:pPr>
              <w:rPr>
                <w:rFonts w:ascii="Calibri" w:eastAsia="Calibri" w:hAnsi="Calibri" w:cs="Calibri"/>
              </w:rPr>
            </w:pPr>
            <w:r>
              <w:rPr>
                <w:rFonts w:ascii="Calibri" w:eastAsia="Calibri" w:hAnsi="Calibri" w:cs="Calibri"/>
              </w:rPr>
              <w:t>GCST001474</w:t>
            </w:r>
          </w:p>
        </w:tc>
      </w:tr>
      <w:tr w:rsidR="0028037B" w14:paraId="64105284" w14:textId="77777777">
        <w:trPr>
          <w:trHeight w:val="284"/>
        </w:trPr>
        <w:tc>
          <w:tcPr>
            <w:tcW w:w="2115" w:type="dxa"/>
            <w:vMerge w:val="restart"/>
            <w:vAlign w:val="center"/>
          </w:tcPr>
          <w:p w14:paraId="2EC75BCE" w14:textId="77777777" w:rsidR="0028037B" w:rsidRDefault="00A73918">
            <w:pPr>
              <w:rPr>
                <w:rFonts w:ascii="Calibri" w:eastAsia="Calibri" w:hAnsi="Calibri" w:cs="Calibri"/>
              </w:rPr>
            </w:pPr>
            <w:r>
              <w:rPr>
                <w:rFonts w:ascii="Calibri" w:eastAsia="Calibri" w:hAnsi="Calibri" w:cs="Calibri"/>
              </w:rPr>
              <w:t>Lipids</w:t>
            </w:r>
          </w:p>
        </w:tc>
        <w:tc>
          <w:tcPr>
            <w:tcW w:w="3660" w:type="dxa"/>
            <w:tcMar>
              <w:top w:w="20" w:type="dxa"/>
              <w:left w:w="20" w:type="dxa"/>
              <w:bottom w:w="100" w:type="dxa"/>
              <w:right w:w="20" w:type="dxa"/>
            </w:tcMar>
            <w:vAlign w:val="center"/>
          </w:tcPr>
          <w:p w14:paraId="3119C92D" w14:textId="77777777" w:rsidR="0028037B" w:rsidRDefault="00A73918">
            <w:pPr>
              <w:rPr>
                <w:rFonts w:ascii="Calibri" w:eastAsia="Calibri" w:hAnsi="Calibri" w:cs="Calibri"/>
              </w:rPr>
            </w:pPr>
            <w:r>
              <w:rPr>
                <w:rFonts w:ascii="Calibri" w:eastAsia="Calibri" w:hAnsi="Calibri" w:cs="Calibri"/>
              </w:rPr>
              <w:t>HDL cholesterol</w:t>
            </w:r>
          </w:p>
        </w:tc>
        <w:tc>
          <w:tcPr>
            <w:tcW w:w="3696" w:type="dxa"/>
            <w:tcMar>
              <w:top w:w="20" w:type="dxa"/>
              <w:left w:w="20" w:type="dxa"/>
              <w:bottom w:w="100" w:type="dxa"/>
              <w:right w:w="20" w:type="dxa"/>
            </w:tcMar>
            <w:vAlign w:val="center"/>
          </w:tcPr>
          <w:p w14:paraId="454786EF" w14:textId="77777777" w:rsidR="0028037B" w:rsidRDefault="00A73918">
            <w:pPr>
              <w:rPr>
                <w:rFonts w:ascii="Calibri" w:eastAsia="Calibri" w:hAnsi="Calibri" w:cs="Calibri"/>
              </w:rPr>
            </w:pPr>
            <w:r>
              <w:rPr>
                <w:rFonts w:ascii="Calibri" w:eastAsia="Calibri" w:hAnsi="Calibri" w:cs="Calibri"/>
              </w:rPr>
              <w:t>GCST005902</w:t>
            </w:r>
          </w:p>
        </w:tc>
      </w:tr>
      <w:tr w:rsidR="0028037B" w14:paraId="20141B3B" w14:textId="77777777">
        <w:trPr>
          <w:trHeight w:val="284"/>
        </w:trPr>
        <w:tc>
          <w:tcPr>
            <w:tcW w:w="2115" w:type="dxa"/>
            <w:vMerge/>
            <w:vAlign w:val="center"/>
          </w:tcPr>
          <w:p w14:paraId="613A8E08"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1E67C152" w14:textId="77777777" w:rsidR="0028037B" w:rsidRDefault="00A73918">
            <w:pPr>
              <w:rPr>
                <w:rFonts w:ascii="Calibri" w:eastAsia="Calibri" w:hAnsi="Calibri" w:cs="Calibri"/>
              </w:rPr>
            </w:pPr>
            <w:r>
              <w:rPr>
                <w:rFonts w:ascii="Calibri" w:eastAsia="Calibri" w:hAnsi="Calibri" w:cs="Calibri"/>
              </w:rPr>
              <w:t>LDL cholesterol</w:t>
            </w:r>
          </w:p>
        </w:tc>
        <w:tc>
          <w:tcPr>
            <w:tcW w:w="3696" w:type="dxa"/>
            <w:tcMar>
              <w:top w:w="20" w:type="dxa"/>
              <w:left w:w="20" w:type="dxa"/>
              <w:bottom w:w="100" w:type="dxa"/>
              <w:right w:w="20" w:type="dxa"/>
            </w:tcMar>
            <w:vAlign w:val="center"/>
          </w:tcPr>
          <w:p w14:paraId="0D70164C" w14:textId="77777777" w:rsidR="0028037B" w:rsidRDefault="00A73918">
            <w:pPr>
              <w:rPr>
                <w:rFonts w:ascii="Calibri" w:eastAsia="Calibri" w:hAnsi="Calibri" w:cs="Calibri"/>
              </w:rPr>
            </w:pPr>
            <w:r>
              <w:rPr>
                <w:rFonts w:ascii="Calibri" w:eastAsia="Calibri" w:hAnsi="Calibri" w:cs="Calibri"/>
              </w:rPr>
              <w:t>GCST005902</w:t>
            </w:r>
          </w:p>
        </w:tc>
      </w:tr>
      <w:tr w:rsidR="0028037B" w14:paraId="427A5BEB" w14:textId="77777777">
        <w:trPr>
          <w:trHeight w:val="284"/>
        </w:trPr>
        <w:tc>
          <w:tcPr>
            <w:tcW w:w="2115" w:type="dxa"/>
            <w:vMerge/>
            <w:vAlign w:val="center"/>
          </w:tcPr>
          <w:p w14:paraId="3E65740F"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5522442E" w14:textId="77777777" w:rsidR="0028037B" w:rsidRDefault="00A73918">
            <w:pPr>
              <w:rPr>
                <w:rFonts w:ascii="Calibri" w:eastAsia="Calibri" w:hAnsi="Calibri" w:cs="Calibri"/>
              </w:rPr>
            </w:pPr>
            <w:r>
              <w:rPr>
                <w:rFonts w:ascii="Calibri" w:eastAsia="Calibri" w:hAnsi="Calibri" w:cs="Calibri"/>
              </w:rPr>
              <w:t>Total cholesterol</w:t>
            </w:r>
          </w:p>
        </w:tc>
        <w:tc>
          <w:tcPr>
            <w:tcW w:w="3696" w:type="dxa"/>
            <w:tcMar>
              <w:top w:w="20" w:type="dxa"/>
              <w:left w:w="20" w:type="dxa"/>
              <w:bottom w:w="100" w:type="dxa"/>
              <w:right w:w="20" w:type="dxa"/>
            </w:tcMar>
            <w:vAlign w:val="center"/>
          </w:tcPr>
          <w:p w14:paraId="1E9E85A9" w14:textId="77777777" w:rsidR="0028037B" w:rsidRDefault="00A73918">
            <w:pPr>
              <w:rPr>
                <w:rFonts w:ascii="Calibri" w:eastAsia="Calibri" w:hAnsi="Calibri" w:cs="Calibri"/>
              </w:rPr>
            </w:pPr>
            <w:r>
              <w:rPr>
                <w:rFonts w:ascii="Calibri" w:eastAsia="Calibri" w:hAnsi="Calibri" w:cs="Calibri"/>
              </w:rPr>
              <w:t>GCST005902</w:t>
            </w:r>
          </w:p>
        </w:tc>
      </w:tr>
      <w:tr w:rsidR="0028037B" w14:paraId="58E1128D" w14:textId="77777777">
        <w:trPr>
          <w:trHeight w:val="284"/>
        </w:trPr>
        <w:tc>
          <w:tcPr>
            <w:tcW w:w="2115" w:type="dxa"/>
            <w:vMerge/>
            <w:vAlign w:val="center"/>
          </w:tcPr>
          <w:p w14:paraId="6B2510B3"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07FE8410" w14:textId="77777777" w:rsidR="0028037B" w:rsidRDefault="00A73918">
            <w:pPr>
              <w:rPr>
                <w:rFonts w:ascii="Calibri" w:eastAsia="Calibri" w:hAnsi="Calibri" w:cs="Calibri"/>
              </w:rPr>
            </w:pPr>
            <w:r>
              <w:rPr>
                <w:rFonts w:ascii="Calibri" w:eastAsia="Calibri" w:hAnsi="Calibri" w:cs="Calibri"/>
              </w:rPr>
              <w:t>Triglycerides</w:t>
            </w:r>
          </w:p>
        </w:tc>
        <w:tc>
          <w:tcPr>
            <w:tcW w:w="3696" w:type="dxa"/>
            <w:tcMar>
              <w:top w:w="20" w:type="dxa"/>
              <w:left w:w="20" w:type="dxa"/>
              <w:bottom w:w="100" w:type="dxa"/>
              <w:right w:w="20" w:type="dxa"/>
            </w:tcMar>
            <w:vAlign w:val="center"/>
          </w:tcPr>
          <w:p w14:paraId="4A1D15FB" w14:textId="77777777" w:rsidR="0028037B" w:rsidRDefault="00A73918">
            <w:pPr>
              <w:rPr>
                <w:rFonts w:ascii="Calibri" w:eastAsia="Calibri" w:hAnsi="Calibri" w:cs="Calibri"/>
              </w:rPr>
            </w:pPr>
            <w:r>
              <w:rPr>
                <w:rFonts w:ascii="Calibri" w:eastAsia="Calibri" w:hAnsi="Calibri" w:cs="Calibri"/>
              </w:rPr>
              <w:t>GCST005902</w:t>
            </w:r>
          </w:p>
        </w:tc>
      </w:tr>
      <w:tr w:rsidR="0028037B" w14:paraId="70A5EBA8" w14:textId="77777777">
        <w:trPr>
          <w:trHeight w:val="284"/>
        </w:trPr>
        <w:tc>
          <w:tcPr>
            <w:tcW w:w="2115" w:type="dxa"/>
            <w:vMerge w:val="restart"/>
            <w:vAlign w:val="center"/>
          </w:tcPr>
          <w:p w14:paraId="4D91994B" w14:textId="77777777" w:rsidR="0028037B" w:rsidRDefault="00A73918">
            <w:pPr>
              <w:rPr>
                <w:rFonts w:ascii="Calibri" w:eastAsia="Calibri" w:hAnsi="Calibri" w:cs="Calibri"/>
              </w:rPr>
            </w:pPr>
            <w:r>
              <w:rPr>
                <w:rFonts w:ascii="Calibri" w:eastAsia="Calibri" w:hAnsi="Calibri" w:cs="Calibri"/>
              </w:rPr>
              <w:t>Cancer</w:t>
            </w:r>
          </w:p>
        </w:tc>
        <w:tc>
          <w:tcPr>
            <w:tcW w:w="3660" w:type="dxa"/>
            <w:tcMar>
              <w:top w:w="20" w:type="dxa"/>
              <w:left w:w="20" w:type="dxa"/>
              <w:bottom w:w="100" w:type="dxa"/>
              <w:right w:w="20" w:type="dxa"/>
            </w:tcMar>
            <w:vAlign w:val="center"/>
          </w:tcPr>
          <w:p w14:paraId="65B2A590" w14:textId="77777777" w:rsidR="0028037B" w:rsidRDefault="00A73918">
            <w:pPr>
              <w:rPr>
                <w:rFonts w:ascii="Calibri" w:eastAsia="Calibri" w:hAnsi="Calibri" w:cs="Calibri"/>
              </w:rPr>
            </w:pPr>
            <w:r>
              <w:rPr>
                <w:rFonts w:ascii="Calibri" w:eastAsia="Calibri" w:hAnsi="Calibri" w:cs="Calibri"/>
              </w:rPr>
              <w:t>Bladder carcinoma</w:t>
            </w:r>
          </w:p>
        </w:tc>
        <w:tc>
          <w:tcPr>
            <w:tcW w:w="3696" w:type="dxa"/>
            <w:tcMar>
              <w:top w:w="20" w:type="dxa"/>
              <w:left w:w="20" w:type="dxa"/>
              <w:bottom w:w="100" w:type="dxa"/>
              <w:right w:w="20" w:type="dxa"/>
            </w:tcMar>
            <w:vAlign w:val="center"/>
          </w:tcPr>
          <w:p w14:paraId="118684EB" w14:textId="77777777" w:rsidR="0028037B" w:rsidRDefault="00A73918">
            <w:pPr>
              <w:rPr>
                <w:rFonts w:ascii="Calibri" w:eastAsia="Calibri" w:hAnsi="Calibri" w:cs="Calibri"/>
              </w:rPr>
            </w:pPr>
            <w:r>
              <w:rPr>
                <w:rFonts w:ascii="Calibri" w:eastAsia="Calibri" w:hAnsi="Calibri" w:cs="Calibri"/>
              </w:rPr>
              <w:t>GCST000231, GCST000454, GCST000639, GCST000842, GCST001153, GCST002240, GCST002243, GCST002460, GCST002645, GCST003384</w:t>
            </w:r>
          </w:p>
        </w:tc>
      </w:tr>
      <w:tr w:rsidR="0028037B" w14:paraId="4FBED2D9" w14:textId="77777777">
        <w:trPr>
          <w:trHeight w:val="284"/>
        </w:trPr>
        <w:tc>
          <w:tcPr>
            <w:tcW w:w="2115" w:type="dxa"/>
            <w:vMerge/>
            <w:vAlign w:val="center"/>
          </w:tcPr>
          <w:p w14:paraId="284E8664"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678675A1" w14:textId="77777777" w:rsidR="0028037B" w:rsidRDefault="00A73918">
            <w:pPr>
              <w:rPr>
                <w:rFonts w:ascii="Calibri" w:eastAsia="Calibri" w:hAnsi="Calibri" w:cs="Calibri"/>
              </w:rPr>
            </w:pPr>
            <w:r>
              <w:rPr>
                <w:rFonts w:ascii="Calibri" w:eastAsia="Calibri" w:hAnsi="Calibri" w:cs="Calibri"/>
              </w:rPr>
              <w:t>Breast cancer</w:t>
            </w:r>
          </w:p>
        </w:tc>
        <w:tc>
          <w:tcPr>
            <w:tcW w:w="3696" w:type="dxa"/>
            <w:tcMar>
              <w:top w:w="20" w:type="dxa"/>
              <w:left w:w="20" w:type="dxa"/>
              <w:bottom w:w="100" w:type="dxa"/>
              <w:right w:w="20" w:type="dxa"/>
            </w:tcMar>
            <w:vAlign w:val="center"/>
          </w:tcPr>
          <w:p w14:paraId="2C5B9062" w14:textId="77777777" w:rsidR="0028037B" w:rsidRDefault="00A73918">
            <w:pPr>
              <w:rPr>
                <w:rFonts w:ascii="Calibri" w:eastAsia="Calibri" w:hAnsi="Calibri" w:cs="Calibri"/>
              </w:rPr>
            </w:pPr>
            <w:r>
              <w:rPr>
                <w:rFonts w:ascii="Calibri" w:eastAsia="Calibri" w:hAnsi="Calibri" w:cs="Calibri"/>
              </w:rPr>
              <w:t>GCST004988</w:t>
            </w:r>
          </w:p>
        </w:tc>
      </w:tr>
      <w:tr w:rsidR="0028037B" w14:paraId="3BF6427B" w14:textId="77777777">
        <w:trPr>
          <w:trHeight w:val="284"/>
        </w:trPr>
        <w:tc>
          <w:tcPr>
            <w:tcW w:w="2115" w:type="dxa"/>
            <w:vMerge/>
            <w:vAlign w:val="center"/>
          </w:tcPr>
          <w:p w14:paraId="66ABA11A"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61504D37" w14:textId="77777777" w:rsidR="0028037B" w:rsidRDefault="00A73918">
            <w:pPr>
              <w:rPr>
                <w:rFonts w:ascii="Calibri" w:eastAsia="Calibri" w:hAnsi="Calibri" w:cs="Calibri"/>
              </w:rPr>
            </w:pPr>
            <w:r>
              <w:rPr>
                <w:rFonts w:ascii="Calibri" w:eastAsia="Calibri" w:hAnsi="Calibri" w:cs="Calibri"/>
              </w:rPr>
              <w:t xml:space="preserve">Chronic lymphocytic </w:t>
            </w:r>
            <w:proofErr w:type="spellStart"/>
            <w:r>
              <w:rPr>
                <w:rFonts w:ascii="Calibri" w:eastAsia="Calibri" w:hAnsi="Calibri" w:cs="Calibri"/>
              </w:rPr>
              <w:t>leukemia</w:t>
            </w:r>
            <w:proofErr w:type="spellEnd"/>
          </w:p>
        </w:tc>
        <w:tc>
          <w:tcPr>
            <w:tcW w:w="3696" w:type="dxa"/>
            <w:tcMar>
              <w:top w:w="20" w:type="dxa"/>
              <w:left w:w="20" w:type="dxa"/>
              <w:bottom w:w="100" w:type="dxa"/>
              <w:right w:w="20" w:type="dxa"/>
            </w:tcMar>
            <w:vAlign w:val="center"/>
          </w:tcPr>
          <w:p w14:paraId="60AF30F6" w14:textId="77777777" w:rsidR="0028037B" w:rsidRDefault="00A73918">
            <w:pPr>
              <w:rPr>
                <w:rFonts w:ascii="Calibri" w:eastAsia="Calibri" w:hAnsi="Calibri" w:cs="Calibri"/>
              </w:rPr>
            </w:pPr>
            <w:r>
              <w:rPr>
                <w:rFonts w:ascii="Calibri" w:eastAsia="Calibri" w:hAnsi="Calibri" w:cs="Calibri"/>
              </w:rPr>
              <w:t>GCST000224, GCST000906, GCST001570, GCST002299, GCST004146</w:t>
            </w:r>
          </w:p>
        </w:tc>
      </w:tr>
      <w:tr w:rsidR="0028037B" w14:paraId="03E5BE28" w14:textId="77777777">
        <w:trPr>
          <w:trHeight w:val="284"/>
        </w:trPr>
        <w:tc>
          <w:tcPr>
            <w:tcW w:w="2115" w:type="dxa"/>
            <w:vMerge/>
            <w:vAlign w:val="center"/>
          </w:tcPr>
          <w:p w14:paraId="71613ED9"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3AB506B0" w14:textId="77777777" w:rsidR="0028037B" w:rsidRDefault="00A73918">
            <w:pPr>
              <w:rPr>
                <w:rFonts w:ascii="Calibri" w:eastAsia="Calibri" w:hAnsi="Calibri" w:cs="Calibri"/>
              </w:rPr>
            </w:pPr>
            <w:r>
              <w:rPr>
                <w:rFonts w:ascii="Calibri" w:eastAsia="Calibri" w:hAnsi="Calibri" w:cs="Calibri"/>
              </w:rPr>
              <w:t>Lung carcinoma</w:t>
            </w:r>
          </w:p>
        </w:tc>
        <w:tc>
          <w:tcPr>
            <w:tcW w:w="3696" w:type="dxa"/>
            <w:tcMar>
              <w:top w:w="20" w:type="dxa"/>
              <w:left w:w="20" w:type="dxa"/>
              <w:bottom w:w="100" w:type="dxa"/>
              <w:right w:w="20" w:type="dxa"/>
            </w:tcMar>
            <w:vAlign w:val="center"/>
          </w:tcPr>
          <w:p w14:paraId="4DCE7184" w14:textId="77777777" w:rsidR="0028037B" w:rsidRDefault="00A73918">
            <w:pPr>
              <w:rPr>
                <w:rFonts w:ascii="Calibri" w:eastAsia="Calibri" w:hAnsi="Calibri" w:cs="Calibri"/>
              </w:rPr>
            </w:pPr>
            <w:r>
              <w:rPr>
                <w:rFonts w:ascii="Calibri" w:eastAsia="Calibri" w:hAnsi="Calibri" w:cs="Calibri"/>
              </w:rPr>
              <w:t>GCST004748</w:t>
            </w:r>
          </w:p>
        </w:tc>
      </w:tr>
      <w:tr w:rsidR="0028037B" w14:paraId="4DD82612" w14:textId="77777777">
        <w:trPr>
          <w:trHeight w:val="284"/>
        </w:trPr>
        <w:tc>
          <w:tcPr>
            <w:tcW w:w="2115" w:type="dxa"/>
            <w:vMerge/>
            <w:vAlign w:val="center"/>
          </w:tcPr>
          <w:p w14:paraId="1FBCB8E9"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260E74D9" w14:textId="77777777" w:rsidR="0028037B" w:rsidRDefault="00A73918">
            <w:pPr>
              <w:rPr>
                <w:rFonts w:ascii="Calibri" w:eastAsia="Calibri" w:hAnsi="Calibri" w:cs="Calibri"/>
              </w:rPr>
            </w:pPr>
            <w:r>
              <w:rPr>
                <w:rFonts w:ascii="Calibri" w:eastAsia="Calibri" w:hAnsi="Calibri" w:cs="Calibri"/>
              </w:rPr>
              <w:t>Melanoma</w:t>
            </w:r>
          </w:p>
        </w:tc>
        <w:tc>
          <w:tcPr>
            <w:tcW w:w="3696" w:type="dxa"/>
            <w:tcMar>
              <w:top w:w="20" w:type="dxa"/>
              <w:left w:w="20" w:type="dxa"/>
              <w:bottom w:w="100" w:type="dxa"/>
              <w:right w:w="20" w:type="dxa"/>
            </w:tcMar>
            <w:vAlign w:val="center"/>
          </w:tcPr>
          <w:p w14:paraId="13A57723" w14:textId="77777777" w:rsidR="0028037B" w:rsidRDefault="00A73918">
            <w:pPr>
              <w:rPr>
                <w:rFonts w:ascii="Calibri" w:eastAsia="Calibri" w:hAnsi="Calibri" w:cs="Calibri"/>
              </w:rPr>
            </w:pPr>
            <w:r>
              <w:rPr>
                <w:rFonts w:ascii="Calibri" w:eastAsia="Calibri" w:hAnsi="Calibri" w:cs="Calibri"/>
              </w:rPr>
              <w:t>GCST004142</w:t>
            </w:r>
          </w:p>
        </w:tc>
      </w:tr>
      <w:tr w:rsidR="0028037B" w14:paraId="08F5BE64" w14:textId="77777777">
        <w:trPr>
          <w:trHeight w:val="284"/>
        </w:trPr>
        <w:tc>
          <w:tcPr>
            <w:tcW w:w="2115" w:type="dxa"/>
            <w:vMerge/>
            <w:vAlign w:val="center"/>
          </w:tcPr>
          <w:p w14:paraId="78396EC1"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4E5AE9BC" w14:textId="77777777" w:rsidR="0028037B" w:rsidRDefault="00A73918">
            <w:pPr>
              <w:rPr>
                <w:rFonts w:ascii="Calibri" w:eastAsia="Calibri" w:hAnsi="Calibri" w:cs="Calibri"/>
              </w:rPr>
            </w:pPr>
            <w:r>
              <w:rPr>
                <w:rFonts w:ascii="Calibri" w:eastAsia="Calibri" w:hAnsi="Calibri" w:cs="Calibri"/>
              </w:rPr>
              <w:t>Pancreatic cancer</w:t>
            </w:r>
          </w:p>
        </w:tc>
        <w:tc>
          <w:tcPr>
            <w:tcW w:w="3696" w:type="dxa"/>
            <w:tcMar>
              <w:top w:w="20" w:type="dxa"/>
              <w:left w:w="20" w:type="dxa"/>
              <w:bottom w:w="100" w:type="dxa"/>
              <w:right w:w="20" w:type="dxa"/>
            </w:tcMar>
            <w:vAlign w:val="center"/>
          </w:tcPr>
          <w:p w14:paraId="10C5A273" w14:textId="77777777" w:rsidR="0028037B" w:rsidRDefault="00A73918">
            <w:pPr>
              <w:rPr>
                <w:rFonts w:ascii="Calibri" w:eastAsia="Calibri" w:hAnsi="Calibri" w:cs="Calibri"/>
              </w:rPr>
            </w:pPr>
            <w:r>
              <w:rPr>
                <w:rFonts w:ascii="Calibri" w:eastAsia="Calibri" w:hAnsi="Calibri" w:cs="Calibri"/>
              </w:rPr>
              <w:t>GCST002991, GCST003758, GCST005434, GCST002553</w:t>
            </w:r>
          </w:p>
        </w:tc>
      </w:tr>
      <w:tr w:rsidR="0028037B" w14:paraId="747CC742" w14:textId="77777777">
        <w:trPr>
          <w:trHeight w:val="284"/>
        </w:trPr>
        <w:tc>
          <w:tcPr>
            <w:tcW w:w="2115" w:type="dxa"/>
            <w:vMerge/>
            <w:vAlign w:val="center"/>
          </w:tcPr>
          <w:p w14:paraId="5695C709"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4B0193C3" w14:textId="77777777" w:rsidR="0028037B" w:rsidRDefault="00A73918">
            <w:pPr>
              <w:rPr>
                <w:rFonts w:ascii="Calibri" w:eastAsia="Calibri" w:hAnsi="Calibri" w:cs="Calibri"/>
              </w:rPr>
            </w:pPr>
            <w:r>
              <w:rPr>
                <w:rFonts w:ascii="Calibri" w:eastAsia="Calibri" w:hAnsi="Calibri" w:cs="Calibri"/>
              </w:rPr>
              <w:t>Prostate cancer</w:t>
            </w:r>
          </w:p>
        </w:tc>
        <w:tc>
          <w:tcPr>
            <w:tcW w:w="3696" w:type="dxa"/>
            <w:tcMar>
              <w:top w:w="20" w:type="dxa"/>
              <w:left w:w="20" w:type="dxa"/>
              <w:bottom w:w="100" w:type="dxa"/>
              <w:right w:w="20" w:type="dxa"/>
            </w:tcMar>
            <w:vAlign w:val="center"/>
          </w:tcPr>
          <w:p w14:paraId="168E8479" w14:textId="77777777" w:rsidR="0028037B" w:rsidRDefault="00A73918">
            <w:pPr>
              <w:rPr>
                <w:rFonts w:ascii="Calibri" w:eastAsia="Calibri" w:hAnsi="Calibri" w:cs="Calibri"/>
              </w:rPr>
            </w:pPr>
            <w:r>
              <w:rPr>
                <w:rFonts w:ascii="Calibri" w:eastAsia="Calibri" w:hAnsi="Calibri" w:cs="Calibri"/>
              </w:rPr>
              <w:t>GCST006085</w:t>
            </w:r>
          </w:p>
        </w:tc>
      </w:tr>
      <w:tr w:rsidR="0028037B" w14:paraId="6AB14F61" w14:textId="77777777">
        <w:trPr>
          <w:trHeight w:val="167"/>
        </w:trPr>
        <w:tc>
          <w:tcPr>
            <w:tcW w:w="2115" w:type="dxa"/>
            <w:vMerge w:val="restart"/>
            <w:vAlign w:val="center"/>
          </w:tcPr>
          <w:p w14:paraId="71F51CBE" w14:textId="77777777" w:rsidR="0028037B" w:rsidRDefault="00A73918">
            <w:pPr>
              <w:rPr>
                <w:rFonts w:ascii="Calibri" w:eastAsia="Calibri" w:hAnsi="Calibri" w:cs="Calibri"/>
              </w:rPr>
            </w:pPr>
            <w:r>
              <w:rPr>
                <w:rFonts w:ascii="Calibri" w:eastAsia="Calibri" w:hAnsi="Calibri" w:cs="Calibri"/>
              </w:rPr>
              <w:t>Neurological</w:t>
            </w:r>
          </w:p>
        </w:tc>
        <w:tc>
          <w:tcPr>
            <w:tcW w:w="3660" w:type="dxa"/>
            <w:tcMar>
              <w:top w:w="20" w:type="dxa"/>
              <w:left w:w="20" w:type="dxa"/>
              <w:bottom w:w="100" w:type="dxa"/>
              <w:right w:w="20" w:type="dxa"/>
            </w:tcMar>
            <w:vAlign w:val="center"/>
          </w:tcPr>
          <w:p w14:paraId="635CA945" w14:textId="77777777" w:rsidR="0028037B" w:rsidRDefault="00A73918">
            <w:pPr>
              <w:rPr>
                <w:rFonts w:ascii="Calibri" w:eastAsia="Calibri" w:hAnsi="Calibri" w:cs="Calibri"/>
              </w:rPr>
            </w:pPr>
            <w:r>
              <w:rPr>
                <w:rFonts w:ascii="Calibri" w:eastAsia="Calibri" w:hAnsi="Calibri" w:cs="Calibri"/>
              </w:rPr>
              <w:t>Alzheimer’s disease</w:t>
            </w:r>
          </w:p>
        </w:tc>
        <w:tc>
          <w:tcPr>
            <w:tcW w:w="3696" w:type="dxa"/>
            <w:tcMar>
              <w:top w:w="20" w:type="dxa"/>
              <w:left w:w="20" w:type="dxa"/>
              <w:bottom w:w="100" w:type="dxa"/>
              <w:right w:w="20" w:type="dxa"/>
            </w:tcMar>
            <w:vAlign w:val="center"/>
          </w:tcPr>
          <w:p w14:paraId="74D6ACD5" w14:textId="77777777" w:rsidR="0028037B" w:rsidRDefault="00A73918">
            <w:pPr>
              <w:rPr>
                <w:rFonts w:ascii="Calibri" w:eastAsia="Calibri" w:hAnsi="Calibri" w:cs="Calibri"/>
              </w:rPr>
            </w:pPr>
            <w:r>
              <w:rPr>
                <w:rFonts w:ascii="Calibri" w:eastAsia="Calibri" w:hAnsi="Calibri" w:cs="Calibri"/>
              </w:rPr>
              <w:t>GCST003427</w:t>
            </w:r>
          </w:p>
        </w:tc>
      </w:tr>
      <w:tr w:rsidR="0028037B" w14:paraId="74071627" w14:textId="77777777">
        <w:trPr>
          <w:trHeight w:val="284"/>
        </w:trPr>
        <w:tc>
          <w:tcPr>
            <w:tcW w:w="2115" w:type="dxa"/>
            <w:vMerge/>
            <w:vAlign w:val="center"/>
          </w:tcPr>
          <w:p w14:paraId="2F3F1A93"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22EB472E" w14:textId="77777777" w:rsidR="0028037B" w:rsidRDefault="00A73918">
            <w:pPr>
              <w:rPr>
                <w:rFonts w:ascii="Calibri" w:eastAsia="Calibri" w:hAnsi="Calibri" w:cs="Calibri"/>
              </w:rPr>
            </w:pPr>
            <w:r>
              <w:rPr>
                <w:rFonts w:ascii="Calibri" w:eastAsia="Calibri" w:hAnsi="Calibri" w:cs="Calibri"/>
              </w:rPr>
              <w:t>Migraine disorder</w:t>
            </w:r>
          </w:p>
        </w:tc>
        <w:tc>
          <w:tcPr>
            <w:tcW w:w="3696" w:type="dxa"/>
            <w:tcMar>
              <w:top w:w="20" w:type="dxa"/>
              <w:left w:w="20" w:type="dxa"/>
              <w:bottom w:w="100" w:type="dxa"/>
              <w:right w:w="20" w:type="dxa"/>
            </w:tcMar>
            <w:vAlign w:val="center"/>
          </w:tcPr>
          <w:p w14:paraId="37167805" w14:textId="77777777" w:rsidR="0028037B" w:rsidRDefault="00A73918">
            <w:pPr>
              <w:rPr>
                <w:rFonts w:ascii="Calibri" w:eastAsia="Calibri" w:hAnsi="Calibri" w:cs="Calibri"/>
              </w:rPr>
            </w:pPr>
            <w:r>
              <w:rPr>
                <w:rFonts w:ascii="Calibri" w:eastAsia="Calibri" w:hAnsi="Calibri" w:cs="Calibri"/>
              </w:rPr>
              <w:t xml:space="preserve">GCST002078, GCST002079, GCST002080, GCST002081 </w:t>
            </w:r>
          </w:p>
        </w:tc>
      </w:tr>
      <w:tr w:rsidR="0028037B" w14:paraId="75E01A78" w14:textId="77777777">
        <w:trPr>
          <w:trHeight w:val="284"/>
        </w:trPr>
        <w:tc>
          <w:tcPr>
            <w:tcW w:w="2115" w:type="dxa"/>
            <w:vMerge/>
            <w:vAlign w:val="center"/>
          </w:tcPr>
          <w:p w14:paraId="4EE9DB2A"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7C89C3FA" w14:textId="77777777" w:rsidR="0028037B" w:rsidRDefault="00A73918">
            <w:pPr>
              <w:rPr>
                <w:rFonts w:ascii="Calibri" w:eastAsia="Calibri" w:hAnsi="Calibri" w:cs="Calibri"/>
              </w:rPr>
            </w:pPr>
            <w:r>
              <w:rPr>
                <w:rFonts w:ascii="Calibri" w:eastAsia="Calibri" w:hAnsi="Calibri" w:cs="Calibri"/>
              </w:rPr>
              <w:t>Parkinson’s disease</w:t>
            </w:r>
          </w:p>
        </w:tc>
        <w:tc>
          <w:tcPr>
            <w:tcW w:w="3696" w:type="dxa"/>
            <w:tcMar>
              <w:top w:w="20" w:type="dxa"/>
              <w:left w:w="20" w:type="dxa"/>
              <w:bottom w:w="100" w:type="dxa"/>
              <w:right w:w="20" w:type="dxa"/>
            </w:tcMar>
            <w:vAlign w:val="center"/>
          </w:tcPr>
          <w:p w14:paraId="4C305956" w14:textId="77777777" w:rsidR="0028037B" w:rsidRDefault="00A73918">
            <w:pPr>
              <w:rPr>
                <w:rFonts w:ascii="Calibri" w:eastAsia="Calibri" w:hAnsi="Calibri" w:cs="Calibri"/>
              </w:rPr>
            </w:pPr>
            <w:r>
              <w:rPr>
                <w:rFonts w:ascii="Calibri" w:eastAsia="Calibri" w:hAnsi="Calibri" w:cs="Calibri"/>
              </w:rPr>
              <w:t>GCST004902</w:t>
            </w:r>
          </w:p>
        </w:tc>
      </w:tr>
      <w:tr w:rsidR="0028037B" w14:paraId="0B94921B" w14:textId="77777777">
        <w:trPr>
          <w:trHeight w:val="284"/>
        </w:trPr>
        <w:tc>
          <w:tcPr>
            <w:tcW w:w="2115" w:type="dxa"/>
            <w:vMerge/>
            <w:vAlign w:val="center"/>
          </w:tcPr>
          <w:p w14:paraId="316472D1"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75959443" w14:textId="77777777" w:rsidR="0028037B" w:rsidRDefault="00A73918">
            <w:pPr>
              <w:rPr>
                <w:rFonts w:ascii="Calibri" w:eastAsia="Calibri" w:hAnsi="Calibri" w:cs="Calibri"/>
              </w:rPr>
            </w:pPr>
            <w:r>
              <w:rPr>
                <w:rFonts w:ascii="Calibri" w:eastAsia="Calibri" w:hAnsi="Calibri" w:cs="Calibri"/>
              </w:rPr>
              <w:t>Stroke</w:t>
            </w:r>
          </w:p>
        </w:tc>
        <w:tc>
          <w:tcPr>
            <w:tcW w:w="3696" w:type="dxa"/>
            <w:tcMar>
              <w:top w:w="20" w:type="dxa"/>
              <w:left w:w="20" w:type="dxa"/>
              <w:bottom w:w="100" w:type="dxa"/>
              <w:right w:w="20" w:type="dxa"/>
            </w:tcMar>
            <w:vAlign w:val="center"/>
          </w:tcPr>
          <w:p w14:paraId="0665D477" w14:textId="77777777" w:rsidR="0028037B" w:rsidRDefault="00A73918">
            <w:pPr>
              <w:rPr>
                <w:rFonts w:ascii="Calibri" w:eastAsia="Calibri" w:hAnsi="Calibri" w:cs="Calibri"/>
              </w:rPr>
            </w:pPr>
            <w:r>
              <w:rPr>
                <w:rFonts w:ascii="Calibri" w:eastAsia="Calibri" w:hAnsi="Calibri" w:cs="Calibri"/>
              </w:rPr>
              <w:t>GCST005842</w:t>
            </w:r>
          </w:p>
        </w:tc>
      </w:tr>
      <w:tr w:rsidR="0028037B" w14:paraId="7386EC8A" w14:textId="77777777">
        <w:trPr>
          <w:trHeight w:val="284"/>
        </w:trPr>
        <w:tc>
          <w:tcPr>
            <w:tcW w:w="2115" w:type="dxa"/>
            <w:vMerge w:val="restart"/>
            <w:vAlign w:val="center"/>
          </w:tcPr>
          <w:p w14:paraId="5DB5C41D" w14:textId="77777777" w:rsidR="0028037B" w:rsidRDefault="0028037B">
            <w:pPr>
              <w:rPr>
                <w:rFonts w:ascii="Calibri" w:eastAsia="Calibri" w:hAnsi="Calibri" w:cs="Calibri"/>
              </w:rPr>
            </w:pPr>
          </w:p>
          <w:p w14:paraId="2131701E" w14:textId="77777777" w:rsidR="0028037B" w:rsidRDefault="00A73918">
            <w:pPr>
              <w:rPr>
                <w:rFonts w:ascii="Calibri" w:eastAsia="Calibri" w:hAnsi="Calibri" w:cs="Calibri"/>
              </w:rPr>
            </w:pPr>
            <w:r>
              <w:rPr>
                <w:rFonts w:ascii="Calibri" w:eastAsia="Calibri" w:hAnsi="Calibri" w:cs="Calibri"/>
              </w:rPr>
              <w:t>Mental Health</w:t>
            </w:r>
          </w:p>
          <w:p w14:paraId="00A6F1BD" w14:textId="77777777" w:rsidR="0028037B" w:rsidRDefault="0028037B">
            <w:pPr>
              <w:rPr>
                <w:rFonts w:ascii="Calibri" w:eastAsia="Calibri" w:hAnsi="Calibri" w:cs="Calibri"/>
              </w:rPr>
            </w:pPr>
          </w:p>
        </w:tc>
        <w:tc>
          <w:tcPr>
            <w:tcW w:w="3660" w:type="dxa"/>
            <w:tcMar>
              <w:top w:w="20" w:type="dxa"/>
              <w:left w:w="20" w:type="dxa"/>
              <w:bottom w:w="100" w:type="dxa"/>
              <w:right w:w="20" w:type="dxa"/>
            </w:tcMar>
            <w:vAlign w:val="center"/>
          </w:tcPr>
          <w:p w14:paraId="1F94940A" w14:textId="630A7B1C" w:rsidR="0028037B" w:rsidRDefault="00A73918">
            <w:pPr>
              <w:rPr>
                <w:rFonts w:ascii="Calibri" w:eastAsia="Calibri" w:hAnsi="Calibri" w:cs="Calibri"/>
              </w:rPr>
            </w:pPr>
            <w:r>
              <w:rPr>
                <w:rFonts w:ascii="Calibri" w:eastAsia="Calibri" w:hAnsi="Calibri" w:cs="Calibri"/>
              </w:rPr>
              <w:t xml:space="preserve">Autism </w:t>
            </w:r>
            <w:r w:rsidR="00C14991">
              <w:rPr>
                <w:rFonts w:ascii="Calibri" w:eastAsia="Calibri" w:hAnsi="Calibri" w:cs="Calibri"/>
              </w:rPr>
              <w:t>S</w:t>
            </w:r>
            <w:r>
              <w:rPr>
                <w:rFonts w:ascii="Calibri" w:eastAsia="Calibri" w:hAnsi="Calibri" w:cs="Calibri"/>
              </w:rPr>
              <w:t>pectrum Disorder</w:t>
            </w:r>
          </w:p>
        </w:tc>
        <w:tc>
          <w:tcPr>
            <w:tcW w:w="3696" w:type="dxa"/>
            <w:tcMar>
              <w:top w:w="20" w:type="dxa"/>
              <w:left w:w="20" w:type="dxa"/>
              <w:bottom w:w="100" w:type="dxa"/>
              <w:right w:w="20" w:type="dxa"/>
            </w:tcMar>
            <w:vAlign w:val="center"/>
          </w:tcPr>
          <w:p w14:paraId="21FFF5D7" w14:textId="77777777" w:rsidR="0028037B" w:rsidRDefault="00A73918">
            <w:pPr>
              <w:rPr>
                <w:rFonts w:ascii="Calibri" w:eastAsia="Calibri" w:hAnsi="Calibri" w:cs="Calibri"/>
              </w:rPr>
            </w:pPr>
            <w:r>
              <w:rPr>
                <w:rFonts w:ascii="Calibri" w:eastAsia="Calibri" w:hAnsi="Calibri" w:cs="Calibri"/>
              </w:rPr>
              <w:t>GCST004521</w:t>
            </w:r>
          </w:p>
        </w:tc>
      </w:tr>
      <w:tr w:rsidR="0028037B" w14:paraId="439E309A" w14:textId="77777777">
        <w:trPr>
          <w:trHeight w:val="284"/>
        </w:trPr>
        <w:tc>
          <w:tcPr>
            <w:tcW w:w="2115" w:type="dxa"/>
            <w:vMerge/>
            <w:vAlign w:val="center"/>
          </w:tcPr>
          <w:p w14:paraId="1A2D71DE" w14:textId="77777777" w:rsidR="0028037B" w:rsidRDefault="0028037B">
            <w:pPr>
              <w:spacing w:line="240" w:lineRule="auto"/>
              <w:rPr>
                <w:rFonts w:ascii="Calibri" w:eastAsia="Calibri" w:hAnsi="Calibri" w:cs="Calibri"/>
              </w:rPr>
            </w:pPr>
          </w:p>
        </w:tc>
        <w:tc>
          <w:tcPr>
            <w:tcW w:w="3660" w:type="dxa"/>
            <w:tcMar>
              <w:top w:w="20" w:type="dxa"/>
              <w:left w:w="20" w:type="dxa"/>
              <w:bottom w:w="100" w:type="dxa"/>
              <w:right w:w="20" w:type="dxa"/>
            </w:tcMar>
            <w:vAlign w:val="center"/>
          </w:tcPr>
          <w:p w14:paraId="5C7619F4" w14:textId="77777777" w:rsidR="0028037B" w:rsidRDefault="00A73918">
            <w:pPr>
              <w:rPr>
                <w:rFonts w:ascii="Calibri" w:eastAsia="Calibri" w:hAnsi="Calibri" w:cs="Calibri"/>
              </w:rPr>
            </w:pPr>
            <w:r>
              <w:rPr>
                <w:rFonts w:ascii="Calibri" w:eastAsia="Calibri" w:hAnsi="Calibri" w:cs="Calibri"/>
              </w:rPr>
              <w:t>Bipolar disorder</w:t>
            </w:r>
          </w:p>
        </w:tc>
        <w:tc>
          <w:tcPr>
            <w:tcW w:w="3696" w:type="dxa"/>
            <w:tcMar>
              <w:top w:w="20" w:type="dxa"/>
              <w:left w:w="20" w:type="dxa"/>
              <w:bottom w:w="100" w:type="dxa"/>
              <w:right w:w="20" w:type="dxa"/>
            </w:tcMar>
            <w:vAlign w:val="center"/>
          </w:tcPr>
          <w:p w14:paraId="39CE8A58" w14:textId="77777777" w:rsidR="0028037B" w:rsidRDefault="00A73918">
            <w:pPr>
              <w:rPr>
                <w:rFonts w:ascii="Calibri" w:eastAsia="Calibri" w:hAnsi="Calibri" w:cs="Calibri"/>
              </w:rPr>
            </w:pPr>
            <w:r>
              <w:rPr>
                <w:rFonts w:ascii="Calibri" w:eastAsia="Calibri" w:hAnsi="Calibri" w:cs="Calibri"/>
              </w:rPr>
              <w:t>GCST000220, GCST000417, GCST000985, GCST001241, GCST002385, GCST003724, GCST004139</w:t>
            </w:r>
          </w:p>
        </w:tc>
      </w:tr>
      <w:tr w:rsidR="0028037B" w14:paraId="69AC334F" w14:textId="77777777">
        <w:trPr>
          <w:trHeight w:val="284"/>
        </w:trPr>
        <w:tc>
          <w:tcPr>
            <w:tcW w:w="2115" w:type="dxa"/>
            <w:vMerge/>
            <w:vAlign w:val="center"/>
          </w:tcPr>
          <w:p w14:paraId="26BB6D99" w14:textId="77777777" w:rsidR="0028037B" w:rsidRDefault="0028037B">
            <w:pPr>
              <w:widowControl w:val="0"/>
              <w:pBdr>
                <w:top w:val="nil"/>
                <w:left w:val="nil"/>
                <w:bottom w:val="nil"/>
                <w:right w:val="nil"/>
                <w:between w:val="nil"/>
              </w:pBdr>
              <w:spacing w:line="240" w:lineRule="auto"/>
              <w:rPr>
                <w:rFonts w:ascii="Calibri" w:eastAsia="Calibri" w:hAnsi="Calibri" w:cs="Calibri"/>
              </w:rPr>
            </w:pPr>
          </w:p>
        </w:tc>
        <w:tc>
          <w:tcPr>
            <w:tcW w:w="3660" w:type="dxa"/>
            <w:tcMar>
              <w:top w:w="20" w:type="dxa"/>
              <w:left w:w="20" w:type="dxa"/>
              <w:bottom w:w="100" w:type="dxa"/>
              <w:right w:w="20" w:type="dxa"/>
            </w:tcMar>
            <w:vAlign w:val="center"/>
          </w:tcPr>
          <w:p w14:paraId="7F683E66" w14:textId="77777777" w:rsidR="0028037B" w:rsidRDefault="00A73918">
            <w:pPr>
              <w:rPr>
                <w:rFonts w:ascii="Calibri" w:eastAsia="Calibri" w:hAnsi="Calibri" w:cs="Calibri"/>
              </w:rPr>
            </w:pPr>
            <w:r>
              <w:rPr>
                <w:rFonts w:ascii="Calibri" w:eastAsia="Calibri" w:hAnsi="Calibri" w:cs="Calibri"/>
              </w:rPr>
              <w:t>Depression broad</w:t>
            </w:r>
          </w:p>
        </w:tc>
        <w:tc>
          <w:tcPr>
            <w:tcW w:w="3696" w:type="dxa"/>
            <w:tcMar>
              <w:top w:w="20" w:type="dxa"/>
              <w:left w:w="20" w:type="dxa"/>
              <w:bottom w:w="100" w:type="dxa"/>
              <w:right w:w="20" w:type="dxa"/>
            </w:tcMar>
            <w:vAlign w:val="center"/>
          </w:tcPr>
          <w:p w14:paraId="5D2EDB9E" w14:textId="77777777" w:rsidR="0028037B" w:rsidRDefault="00A73918">
            <w:pPr>
              <w:rPr>
                <w:rFonts w:ascii="Calibri" w:eastAsia="Calibri" w:hAnsi="Calibri" w:cs="Calibri"/>
              </w:rPr>
            </w:pPr>
            <w:r>
              <w:rPr>
                <w:rFonts w:ascii="Calibri" w:eastAsia="Calibri" w:hAnsi="Calibri" w:cs="Calibri"/>
              </w:rPr>
              <w:t>GCST005902</w:t>
            </w:r>
          </w:p>
        </w:tc>
      </w:tr>
      <w:tr w:rsidR="0028037B" w14:paraId="4CAB6CAB" w14:textId="77777777">
        <w:trPr>
          <w:trHeight w:val="284"/>
        </w:trPr>
        <w:tc>
          <w:tcPr>
            <w:tcW w:w="2115" w:type="dxa"/>
            <w:vMerge/>
            <w:vAlign w:val="center"/>
          </w:tcPr>
          <w:p w14:paraId="0E3941A8" w14:textId="77777777" w:rsidR="0028037B" w:rsidRDefault="0028037B">
            <w:pPr>
              <w:widowControl w:val="0"/>
              <w:pBdr>
                <w:top w:val="nil"/>
                <w:left w:val="nil"/>
                <w:bottom w:val="nil"/>
                <w:right w:val="nil"/>
                <w:between w:val="nil"/>
              </w:pBdr>
              <w:spacing w:line="240" w:lineRule="auto"/>
              <w:rPr>
                <w:rFonts w:ascii="Calibri" w:eastAsia="Calibri" w:hAnsi="Calibri" w:cs="Calibri"/>
              </w:rPr>
            </w:pPr>
          </w:p>
        </w:tc>
        <w:tc>
          <w:tcPr>
            <w:tcW w:w="3660" w:type="dxa"/>
            <w:tcMar>
              <w:top w:w="20" w:type="dxa"/>
              <w:left w:w="20" w:type="dxa"/>
              <w:bottom w:w="100" w:type="dxa"/>
              <w:right w:w="20" w:type="dxa"/>
            </w:tcMar>
            <w:vAlign w:val="center"/>
          </w:tcPr>
          <w:p w14:paraId="45988958" w14:textId="77777777" w:rsidR="0028037B" w:rsidRDefault="00A73918">
            <w:pPr>
              <w:rPr>
                <w:rFonts w:ascii="Calibri" w:eastAsia="Calibri" w:hAnsi="Calibri" w:cs="Calibri"/>
              </w:rPr>
            </w:pPr>
            <w:r>
              <w:rPr>
                <w:rFonts w:ascii="Calibri" w:eastAsia="Calibri" w:hAnsi="Calibri" w:cs="Calibri"/>
              </w:rPr>
              <w:t>Major depressive disorder</w:t>
            </w:r>
          </w:p>
        </w:tc>
        <w:tc>
          <w:tcPr>
            <w:tcW w:w="3696" w:type="dxa"/>
            <w:tcMar>
              <w:top w:w="20" w:type="dxa"/>
              <w:left w:w="20" w:type="dxa"/>
              <w:bottom w:w="100" w:type="dxa"/>
              <w:right w:w="20" w:type="dxa"/>
            </w:tcMar>
            <w:vAlign w:val="center"/>
          </w:tcPr>
          <w:p w14:paraId="07D9E178" w14:textId="77777777" w:rsidR="0028037B" w:rsidRDefault="00A73918">
            <w:pPr>
              <w:rPr>
                <w:rFonts w:ascii="Calibri" w:eastAsia="Calibri" w:hAnsi="Calibri" w:cs="Calibri"/>
              </w:rPr>
            </w:pPr>
            <w:r>
              <w:rPr>
                <w:rFonts w:ascii="Calibri" w:eastAsia="Calibri" w:hAnsi="Calibri" w:cs="Calibri"/>
              </w:rPr>
              <w:t>GCST005231</w:t>
            </w:r>
          </w:p>
        </w:tc>
      </w:tr>
      <w:tr w:rsidR="0028037B" w14:paraId="21098259" w14:textId="77777777">
        <w:trPr>
          <w:trHeight w:val="284"/>
        </w:trPr>
        <w:tc>
          <w:tcPr>
            <w:tcW w:w="2115" w:type="dxa"/>
            <w:vMerge/>
            <w:vAlign w:val="center"/>
          </w:tcPr>
          <w:p w14:paraId="6774BF2D" w14:textId="77777777" w:rsidR="0028037B" w:rsidRDefault="0028037B">
            <w:pPr>
              <w:widowControl w:val="0"/>
              <w:pBdr>
                <w:top w:val="nil"/>
                <w:left w:val="nil"/>
                <w:bottom w:val="nil"/>
                <w:right w:val="nil"/>
                <w:between w:val="nil"/>
              </w:pBdr>
              <w:spacing w:line="240" w:lineRule="auto"/>
              <w:rPr>
                <w:rFonts w:ascii="Calibri" w:eastAsia="Calibri" w:hAnsi="Calibri" w:cs="Calibri"/>
              </w:rPr>
            </w:pPr>
          </w:p>
        </w:tc>
        <w:tc>
          <w:tcPr>
            <w:tcW w:w="3660" w:type="dxa"/>
            <w:tcMar>
              <w:top w:w="20" w:type="dxa"/>
              <w:left w:w="20" w:type="dxa"/>
              <w:bottom w:w="100" w:type="dxa"/>
              <w:right w:w="20" w:type="dxa"/>
            </w:tcMar>
            <w:vAlign w:val="center"/>
          </w:tcPr>
          <w:p w14:paraId="04D70023" w14:textId="77777777" w:rsidR="0028037B" w:rsidRDefault="00A73918">
            <w:pPr>
              <w:rPr>
                <w:rFonts w:ascii="Calibri" w:eastAsia="Calibri" w:hAnsi="Calibri" w:cs="Calibri"/>
              </w:rPr>
            </w:pPr>
            <w:r>
              <w:rPr>
                <w:rFonts w:ascii="Calibri" w:eastAsia="Calibri" w:hAnsi="Calibri" w:cs="Calibri"/>
              </w:rPr>
              <w:t>Posttraumatic stress disorder</w:t>
            </w:r>
          </w:p>
        </w:tc>
        <w:tc>
          <w:tcPr>
            <w:tcW w:w="3696" w:type="dxa"/>
            <w:tcMar>
              <w:top w:w="20" w:type="dxa"/>
              <w:left w:w="20" w:type="dxa"/>
              <w:bottom w:w="100" w:type="dxa"/>
              <w:right w:w="20" w:type="dxa"/>
            </w:tcMar>
            <w:vAlign w:val="center"/>
          </w:tcPr>
          <w:p w14:paraId="472CE993" w14:textId="77777777" w:rsidR="0028037B" w:rsidRDefault="00A73918">
            <w:pPr>
              <w:rPr>
                <w:rFonts w:ascii="Calibri" w:eastAsia="Calibri" w:hAnsi="Calibri" w:cs="Calibri"/>
              </w:rPr>
            </w:pPr>
            <w:r>
              <w:rPr>
                <w:rFonts w:ascii="Calibri" w:eastAsia="Calibri" w:hAnsi="Calibri" w:cs="Calibri"/>
              </w:rPr>
              <w:t>GCST002681, GCST003495</w:t>
            </w:r>
          </w:p>
        </w:tc>
      </w:tr>
      <w:tr w:rsidR="0028037B" w14:paraId="4C321A20" w14:textId="77777777">
        <w:trPr>
          <w:trHeight w:val="284"/>
        </w:trPr>
        <w:tc>
          <w:tcPr>
            <w:tcW w:w="2115" w:type="dxa"/>
            <w:vMerge/>
            <w:vAlign w:val="center"/>
          </w:tcPr>
          <w:p w14:paraId="04DA50ED" w14:textId="77777777" w:rsidR="0028037B" w:rsidRDefault="0028037B">
            <w:pPr>
              <w:widowControl w:val="0"/>
              <w:pBdr>
                <w:top w:val="nil"/>
                <w:left w:val="nil"/>
                <w:bottom w:val="nil"/>
                <w:right w:val="nil"/>
                <w:between w:val="nil"/>
              </w:pBdr>
              <w:spacing w:line="240" w:lineRule="auto"/>
              <w:rPr>
                <w:rFonts w:ascii="Calibri" w:eastAsia="Calibri" w:hAnsi="Calibri" w:cs="Calibri"/>
              </w:rPr>
            </w:pPr>
          </w:p>
        </w:tc>
        <w:tc>
          <w:tcPr>
            <w:tcW w:w="3660" w:type="dxa"/>
            <w:tcMar>
              <w:top w:w="20" w:type="dxa"/>
              <w:left w:w="20" w:type="dxa"/>
              <w:bottom w:w="100" w:type="dxa"/>
              <w:right w:w="20" w:type="dxa"/>
            </w:tcMar>
            <w:vAlign w:val="center"/>
          </w:tcPr>
          <w:p w14:paraId="465F373D" w14:textId="77777777" w:rsidR="0028037B" w:rsidRDefault="00A73918">
            <w:pPr>
              <w:rPr>
                <w:rFonts w:ascii="Calibri" w:eastAsia="Calibri" w:hAnsi="Calibri" w:cs="Calibri"/>
              </w:rPr>
            </w:pPr>
            <w:r>
              <w:rPr>
                <w:rFonts w:ascii="Calibri" w:eastAsia="Calibri" w:hAnsi="Calibri" w:cs="Calibri"/>
              </w:rPr>
              <w:t>Schizophrenia</w:t>
            </w:r>
          </w:p>
        </w:tc>
        <w:tc>
          <w:tcPr>
            <w:tcW w:w="3696" w:type="dxa"/>
            <w:tcMar>
              <w:top w:w="20" w:type="dxa"/>
              <w:left w:w="20" w:type="dxa"/>
              <w:bottom w:w="100" w:type="dxa"/>
              <w:right w:w="20" w:type="dxa"/>
            </w:tcMar>
            <w:vAlign w:val="center"/>
          </w:tcPr>
          <w:p w14:paraId="4DD70044" w14:textId="77777777" w:rsidR="0028037B" w:rsidRDefault="00A73918">
            <w:pPr>
              <w:rPr>
                <w:rFonts w:ascii="Calibri" w:eastAsia="Calibri" w:hAnsi="Calibri" w:cs="Calibri"/>
              </w:rPr>
            </w:pPr>
            <w:r>
              <w:rPr>
                <w:rFonts w:ascii="Calibri" w:eastAsia="Calibri" w:hAnsi="Calibri" w:cs="Calibri"/>
              </w:rPr>
              <w:t>GCST002539</w:t>
            </w:r>
          </w:p>
        </w:tc>
      </w:tr>
      <w:tr w:rsidR="0028037B" w14:paraId="78FBD3ED" w14:textId="77777777">
        <w:trPr>
          <w:trHeight w:val="284"/>
        </w:trPr>
        <w:tc>
          <w:tcPr>
            <w:tcW w:w="2115" w:type="dxa"/>
            <w:vMerge w:val="restart"/>
            <w:vAlign w:val="center"/>
          </w:tcPr>
          <w:p w14:paraId="39212D45" w14:textId="77777777" w:rsidR="0028037B" w:rsidRDefault="00A73918">
            <w:pPr>
              <w:rPr>
                <w:rFonts w:ascii="Calibri" w:eastAsia="Calibri" w:hAnsi="Calibri" w:cs="Calibri"/>
              </w:rPr>
            </w:pPr>
            <w:r>
              <w:rPr>
                <w:rFonts w:ascii="Calibri" w:eastAsia="Calibri" w:hAnsi="Calibri" w:cs="Calibri"/>
              </w:rPr>
              <w:t>Dependence and withdrawal</w:t>
            </w:r>
          </w:p>
        </w:tc>
        <w:tc>
          <w:tcPr>
            <w:tcW w:w="3660" w:type="dxa"/>
            <w:tcMar>
              <w:top w:w="20" w:type="dxa"/>
              <w:left w:w="20" w:type="dxa"/>
              <w:bottom w:w="100" w:type="dxa"/>
              <w:right w:w="20" w:type="dxa"/>
            </w:tcMar>
            <w:vAlign w:val="center"/>
          </w:tcPr>
          <w:p w14:paraId="48D27C45" w14:textId="77777777" w:rsidR="0028037B" w:rsidRDefault="00A73918">
            <w:pPr>
              <w:rPr>
                <w:rFonts w:ascii="Calibri" w:eastAsia="Calibri" w:hAnsi="Calibri" w:cs="Calibri"/>
              </w:rPr>
            </w:pPr>
            <w:r>
              <w:rPr>
                <w:rFonts w:ascii="Calibri" w:eastAsia="Calibri" w:hAnsi="Calibri" w:cs="Calibri"/>
              </w:rPr>
              <w:t>Alcohol dependence</w:t>
            </w:r>
          </w:p>
        </w:tc>
        <w:tc>
          <w:tcPr>
            <w:tcW w:w="3696" w:type="dxa"/>
            <w:tcMar>
              <w:top w:w="20" w:type="dxa"/>
              <w:left w:w="20" w:type="dxa"/>
              <w:bottom w:w="100" w:type="dxa"/>
              <w:right w:w="20" w:type="dxa"/>
            </w:tcMar>
            <w:vAlign w:val="center"/>
          </w:tcPr>
          <w:p w14:paraId="4DF6327D" w14:textId="77777777" w:rsidR="0028037B" w:rsidRDefault="00A73918">
            <w:pPr>
              <w:rPr>
                <w:rFonts w:ascii="Calibri" w:eastAsia="Calibri" w:hAnsi="Calibri" w:cs="Calibri"/>
              </w:rPr>
            </w:pPr>
            <w:r>
              <w:rPr>
                <w:rFonts w:ascii="Calibri" w:eastAsia="Calibri" w:hAnsi="Calibri" w:cs="Calibri"/>
              </w:rPr>
              <w:t>GCST003121, GCST004712</w:t>
            </w:r>
          </w:p>
        </w:tc>
      </w:tr>
      <w:tr w:rsidR="0028037B" w14:paraId="39C61771" w14:textId="77777777">
        <w:trPr>
          <w:trHeight w:val="284"/>
        </w:trPr>
        <w:tc>
          <w:tcPr>
            <w:tcW w:w="2115" w:type="dxa"/>
            <w:vMerge/>
            <w:vAlign w:val="center"/>
          </w:tcPr>
          <w:p w14:paraId="6FFE283A"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045A201A" w14:textId="77777777" w:rsidR="0028037B" w:rsidRDefault="00A73918">
            <w:pPr>
              <w:rPr>
                <w:rFonts w:ascii="Calibri" w:eastAsia="Calibri" w:hAnsi="Calibri" w:cs="Calibri"/>
              </w:rPr>
            </w:pPr>
            <w:r>
              <w:rPr>
                <w:rFonts w:ascii="Calibri" w:eastAsia="Calibri" w:hAnsi="Calibri" w:cs="Calibri"/>
              </w:rPr>
              <w:t>Nicotine dependence</w:t>
            </w:r>
          </w:p>
        </w:tc>
        <w:tc>
          <w:tcPr>
            <w:tcW w:w="3696" w:type="dxa"/>
            <w:tcMar>
              <w:top w:w="20" w:type="dxa"/>
              <w:left w:w="20" w:type="dxa"/>
              <w:bottom w:w="100" w:type="dxa"/>
              <w:right w:w="20" w:type="dxa"/>
            </w:tcMar>
            <w:vAlign w:val="center"/>
          </w:tcPr>
          <w:p w14:paraId="108E2FA2" w14:textId="77777777" w:rsidR="0028037B" w:rsidRDefault="00A73918">
            <w:pPr>
              <w:rPr>
                <w:rFonts w:ascii="Calibri" w:eastAsia="Calibri" w:hAnsi="Calibri" w:cs="Calibri"/>
              </w:rPr>
            </w:pPr>
            <w:r>
              <w:rPr>
                <w:rFonts w:ascii="Calibri" w:eastAsia="Calibri" w:hAnsi="Calibri" w:cs="Calibri"/>
              </w:rPr>
              <w:t>GCST006300, GCST006301, GCST006302, GCST006303, GCST006869</w:t>
            </w:r>
          </w:p>
        </w:tc>
      </w:tr>
      <w:tr w:rsidR="0028037B" w14:paraId="2DB38F18" w14:textId="77777777">
        <w:trPr>
          <w:trHeight w:val="284"/>
        </w:trPr>
        <w:tc>
          <w:tcPr>
            <w:tcW w:w="2115" w:type="dxa"/>
            <w:vMerge/>
            <w:vAlign w:val="center"/>
          </w:tcPr>
          <w:p w14:paraId="7F7E2FBA"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26F9DF11" w14:textId="77777777" w:rsidR="0028037B" w:rsidRDefault="00A73918">
            <w:pPr>
              <w:rPr>
                <w:rFonts w:ascii="Calibri" w:eastAsia="Calibri" w:hAnsi="Calibri" w:cs="Calibri"/>
              </w:rPr>
            </w:pPr>
            <w:r>
              <w:rPr>
                <w:rFonts w:ascii="Calibri" w:eastAsia="Calibri" w:hAnsi="Calibri" w:cs="Calibri"/>
              </w:rPr>
              <w:t>Nicotine withdrawal</w:t>
            </w:r>
          </w:p>
        </w:tc>
        <w:tc>
          <w:tcPr>
            <w:tcW w:w="3696" w:type="dxa"/>
            <w:tcMar>
              <w:top w:w="20" w:type="dxa"/>
              <w:left w:w="20" w:type="dxa"/>
              <w:bottom w:w="100" w:type="dxa"/>
              <w:right w:w="20" w:type="dxa"/>
            </w:tcMar>
            <w:vAlign w:val="center"/>
          </w:tcPr>
          <w:p w14:paraId="5AEF699D" w14:textId="77777777" w:rsidR="0028037B" w:rsidRDefault="00A73918">
            <w:pPr>
              <w:rPr>
                <w:rFonts w:ascii="Calibri" w:eastAsia="Calibri" w:hAnsi="Calibri" w:cs="Calibri"/>
              </w:rPr>
            </w:pPr>
            <w:r>
              <w:rPr>
                <w:rFonts w:ascii="Calibri" w:eastAsia="Calibri" w:hAnsi="Calibri" w:cs="Calibri"/>
              </w:rPr>
              <w:t>GCST006300, GCST006301, GCST006302, GCST006303, GCST006869</w:t>
            </w:r>
          </w:p>
        </w:tc>
      </w:tr>
      <w:tr w:rsidR="0028037B" w14:paraId="0609350A" w14:textId="77777777">
        <w:trPr>
          <w:trHeight w:val="284"/>
        </w:trPr>
        <w:tc>
          <w:tcPr>
            <w:tcW w:w="2115" w:type="dxa"/>
            <w:vMerge w:val="restart"/>
            <w:vAlign w:val="center"/>
          </w:tcPr>
          <w:p w14:paraId="5C854423" w14:textId="77777777" w:rsidR="0028037B" w:rsidRDefault="00A73918">
            <w:pPr>
              <w:rPr>
                <w:rFonts w:ascii="Calibri" w:eastAsia="Calibri" w:hAnsi="Calibri" w:cs="Calibri"/>
              </w:rPr>
            </w:pPr>
            <w:r>
              <w:rPr>
                <w:rFonts w:ascii="Calibri" w:eastAsia="Calibri" w:hAnsi="Calibri" w:cs="Calibri"/>
              </w:rPr>
              <w:t>Fitness</w:t>
            </w:r>
          </w:p>
        </w:tc>
        <w:tc>
          <w:tcPr>
            <w:tcW w:w="3660" w:type="dxa"/>
            <w:tcMar>
              <w:top w:w="20" w:type="dxa"/>
              <w:left w:w="20" w:type="dxa"/>
              <w:bottom w:w="100" w:type="dxa"/>
              <w:right w:w="20" w:type="dxa"/>
            </w:tcMar>
            <w:vAlign w:val="center"/>
          </w:tcPr>
          <w:p w14:paraId="7F93EA4C" w14:textId="77777777" w:rsidR="0028037B" w:rsidRDefault="00A73918">
            <w:pPr>
              <w:rPr>
                <w:rFonts w:ascii="Calibri" w:eastAsia="Calibri" w:hAnsi="Calibri" w:cs="Calibri"/>
              </w:rPr>
            </w:pPr>
            <w:r>
              <w:rPr>
                <w:rFonts w:ascii="Calibri" w:eastAsia="Calibri" w:hAnsi="Calibri" w:cs="Calibri"/>
              </w:rPr>
              <w:t>Heart rate recovery</w:t>
            </w:r>
          </w:p>
        </w:tc>
        <w:tc>
          <w:tcPr>
            <w:tcW w:w="3696" w:type="dxa"/>
            <w:tcMar>
              <w:top w:w="20" w:type="dxa"/>
              <w:left w:w="20" w:type="dxa"/>
              <w:bottom w:w="100" w:type="dxa"/>
              <w:right w:w="20" w:type="dxa"/>
            </w:tcMar>
            <w:vAlign w:val="center"/>
          </w:tcPr>
          <w:p w14:paraId="689061EA" w14:textId="77777777" w:rsidR="0028037B" w:rsidRDefault="00A73918">
            <w:pPr>
              <w:rPr>
                <w:rFonts w:ascii="Calibri" w:eastAsia="Calibri" w:hAnsi="Calibri" w:cs="Calibri"/>
              </w:rPr>
            </w:pPr>
            <w:r>
              <w:rPr>
                <w:rFonts w:ascii="Calibri" w:eastAsia="Calibri" w:hAnsi="Calibri" w:cs="Calibri"/>
              </w:rPr>
              <w:t>GCST005788</w:t>
            </w:r>
          </w:p>
        </w:tc>
      </w:tr>
      <w:tr w:rsidR="0028037B" w14:paraId="0B0A36CE" w14:textId="77777777">
        <w:trPr>
          <w:trHeight w:val="284"/>
        </w:trPr>
        <w:tc>
          <w:tcPr>
            <w:tcW w:w="2115" w:type="dxa"/>
            <w:vMerge/>
            <w:vAlign w:val="center"/>
          </w:tcPr>
          <w:p w14:paraId="2A446ABF"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1DBFD803" w14:textId="77777777" w:rsidR="0028037B" w:rsidRDefault="00A73918">
            <w:pPr>
              <w:rPr>
                <w:rFonts w:ascii="Calibri" w:eastAsia="Calibri" w:hAnsi="Calibri" w:cs="Calibri"/>
              </w:rPr>
            </w:pPr>
            <w:r>
              <w:rPr>
                <w:rFonts w:ascii="Calibri" w:eastAsia="Calibri" w:hAnsi="Calibri" w:cs="Calibri"/>
              </w:rPr>
              <w:t>Heart rate response</w:t>
            </w:r>
          </w:p>
        </w:tc>
        <w:tc>
          <w:tcPr>
            <w:tcW w:w="3696" w:type="dxa"/>
            <w:tcMar>
              <w:top w:w="20" w:type="dxa"/>
              <w:left w:w="20" w:type="dxa"/>
              <w:bottom w:w="100" w:type="dxa"/>
              <w:right w:w="20" w:type="dxa"/>
            </w:tcMar>
            <w:vAlign w:val="center"/>
          </w:tcPr>
          <w:p w14:paraId="63CEAE86" w14:textId="77777777" w:rsidR="0028037B" w:rsidRDefault="00A73918">
            <w:pPr>
              <w:rPr>
                <w:rFonts w:ascii="Calibri" w:eastAsia="Calibri" w:hAnsi="Calibri" w:cs="Calibri"/>
              </w:rPr>
            </w:pPr>
            <w:r>
              <w:rPr>
                <w:rFonts w:ascii="Calibri" w:eastAsia="Calibri" w:hAnsi="Calibri" w:cs="Calibri"/>
              </w:rPr>
              <w:t>GCST005787</w:t>
            </w:r>
          </w:p>
        </w:tc>
      </w:tr>
      <w:tr w:rsidR="0028037B" w14:paraId="54BAE850" w14:textId="77777777">
        <w:trPr>
          <w:trHeight w:val="284"/>
        </w:trPr>
        <w:tc>
          <w:tcPr>
            <w:tcW w:w="2115" w:type="dxa"/>
            <w:vMerge w:val="restart"/>
            <w:vAlign w:val="center"/>
          </w:tcPr>
          <w:p w14:paraId="21E5346F" w14:textId="77777777" w:rsidR="0028037B" w:rsidRDefault="00A73918">
            <w:pPr>
              <w:rPr>
                <w:rFonts w:ascii="Calibri" w:eastAsia="Calibri" w:hAnsi="Calibri" w:cs="Calibri"/>
              </w:rPr>
            </w:pPr>
            <w:r>
              <w:rPr>
                <w:rFonts w:ascii="Calibri" w:eastAsia="Calibri" w:hAnsi="Calibri" w:cs="Calibri"/>
              </w:rPr>
              <w:t>Nutrition and metabolism</w:t>
            </w:r>
          </w:p>
        </w:tc>
        <w:tc>
          <w:tcPr>
            <w:tcW w:w="3660" w:type="dxa"/>
            <w:tcMar>
              <w:top w:w="20" w:type="dxa"/>
              <w:left w:w="20" w:type="dxa"/>
              <w:bottom w:w="100" w:type="dxa"/>
              <w:right w:w="20" w:type="dxa"/>
            </w:tcMar>
            <w:vAlign w:val="center"/>
          </w:tcPr>
          <w:p w14:paraId="7119579E" w14:textId="77777777" w:rsidR="0028037B" w:rsidRDefault="00A73918">
            <w:pPr>
              <w:rPr>
                <w:rFonts w:ascii="Calibri" w:eastAsia="Calibri" w:hAnsi="Calibri" w:cs="Calibri"/>
              </w:rPr>
            </w:pPr>
            <w:r>
              <w:rPr>
                <w:rFonts w:ascii="Calibri" w:eastAsia="Calibri" w:hAnsi="Calibri" w:cs="Calibri"/>
              </w:rPr>
              <w:t>Caffeine metabolism</w:t>
            </w:r>
          </w:p>
        </w:tc>
        <w:tc>
          <w:tcPr>
            <w:tcW w:w="3696" w:type="dxa"/>
            <w:tcMar>
              <w:top w:w="20" w:type="dxa"/>
              <w:left w:w="20" w:type="dxa"/>
              <w:bottom w:w="100" w:type="dxa"/>
              <w:right w:w="20" w:type="dxa"/>
            </w:tcMar>
            <w:vAlign w:val="center"/>
          </w:tcPr>
          <w:p w14:paraId="74434BAC" w14:textId="77777777" w:rsidR="0028037B" w:rsidRDefault="00A73918">
            <w:pPr>
              <w:rPr>
                <w:rFonts w:ascii="Calibri" w:eastAsia="Calibri" w:hAnsi="Calibri" w:cs="Calibri"/>
              </w:rPr>
            </w:pPr>
            <w:r>
              <w:rPr>
                <w:rFonts w:ascii="Calibri" w:eastAsia="Calibri" w:hAnsi="Calibri" w:cs="Calibri"/>
              </w:rPr>
              <w:t>GCST003851</w:t>
            </w:r>
          </w:p>
        </w:tc>
      </w:tr>
      <w:tr w:rsidR="0028037B" w14:paraId="77504AF0" w14:textId="77777777">
        <w:trPr>
          <w:trHeight w:val="284"/>
        </w:trPr>
        <w:tc>
          <w:tcPr>
            <w:tcW w:w="2115" w:type="dxa"/>
            <w:vMerge/>
            <w:vAlign w:val="center"/>
          </w:tcPr>
          <w:p w14:paraId="216F3562"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425FAECB" w14:textId="77777777" w:rsidR="0028037B" w:rsidRDefault="00A73918">
            <w:pPr>
              <w:rPr>
                <w:rFonts w:ascii="Calibri" w:eastAsia="Calibri" w:hAnsi="Calibri" w:cs="Calibri"/>
              </w:rPr>
            </w:pPr>
            <w:r>
              <w:rPr>
                <w:rFonts w:ascii="Calibri" w:eastAsia="Calibri" w:hAnsi="Calibri" w:cs="Calibri"/>
              </w:rPr>
              <w:t>Celiac disease</w:t>
            </w:r>
          </w:p>
        </w:tc>
        <w:tc>
          <w:tcPr>
            <w:tcW w:w="3696" w:type="dxa"/>
            <w:tcMar>
              <w:top w:w="20" w:type="dxa"/>
              <w:left w:w="20" w:type="dxa"/>
              <w:bottom w:w="100" w:type="dxa"/>
              <w:right w:w="20" w:type="dxa"/>
            </w:tcMar>
            <w:vAlign w:val="center"/>
          </w:tcPr>
          <w:p w14:paraId="6BC17271" w14:textId="77777777" w:rsidR="0028037B" w:rsidRDefault="00A73918">
            <w:pPr>
              <w:rPr>
                <w:rFonts w:ascii="Calibri" w:eastAsia="Calibri" w:hAnsi="Calibri" w:cs="Calibri"/>
              </w:rPr>
            </w:pPr>
            <w:r>
              <w:rPr>
                <w:rFonts w:ascii="Calibri" w:eastAsia="Calibri" w:hAnsi="Calibri" w:cs="Calibri"/>
              </w:rPr>
              <w:t>GCST000157, GCST000612, GCST005523</w:t>
            </w:r>
          </w:p>
        </w:tc>
      </w:tr>
      <w:tr w:rsidR="0028037B" w14:paraId="39BC0E54" w14:textId="77777777">
        <w:trPr>
          <w:trHeight w:val="284"/>
        </w:trPr>
        <w:tc>
          <w:tcPr>
            <w:tcW w:w="2115" w:type="dxa"/>
            <w:vMerge/>
            <w:vAlign w:val="center"/>
          </w:tcPr>
          <w:p w14:paraId="5E57DCFC" w14:textId="77777777" w:rsidR="0028037B" w:rsidRDefault="0028037B">
            <w:pPr>
              <w:widowControl w:val="0"/>
              <w:pBdr>
                <w:top w:val="nil"/>
                <w:left w:val="nil"/>
                <w:bottom w:val="nil"/>
                <w:right w:val="nil"/>
                <w:between w:val="nil"/>
              </w:pBdr>
              <w:rPr>
                <w:rFonts w:ascii="Calibri" w:eastAsia="Calibri" w:hAnsi="Calibri" w:cs="Calibri"/>
              </w:rPr>
            </w:pPr>
          </w:p>
        </w:tc>
        <w:tc>
          <w:tcPr>
            <w:tcW w:w="3660" w:type="dxa"/>
            <w:tcMar>
              <w:top w:w="20" w:type="dxa"/>
              <w:left w:w="20" w:type="dxa"/>
              <w:bottom w:w="100" w:type="dxa"/>
              <w:right w:w="20" w:type="dxa"/>
            </w:tcMar>
            <w:vAlign w:val="center"/>
          </w:tcPr>
          <w:p w14:paraId="6BC59CDD" w14:textId="77777777" w:rsidR="0028037B" w:rsidRDefault="00A73918">
            <w:pPr>
              <w:rPr>
                <w:rFonts w:ascii="Calibri" w:eastAsia="Calibri" w:hAnsi="Calibri" w:cs="Calibri"/>
              </w:rPr>
            </w:pPr>
            <w:r>
              <w:rPr>
                <w:rFonts w:ascii="Calibri" w:eastAsia="Calibri" w:hAnsi="Calibri" w:cs="Calibri"/>
              </w:rPr>
              <w:t>Vitamin D levels</w:t>
            </w:r>
          </w:p>
        </w:tc>
        <w:tc>
          <w:tcPr>
            <w:tcW w:w="3696" w:type="dxa"/>
            <w:tcMar>
              <w:top w:w="20" w:type="dxa"/>
              <w:left w:w="20" w:type="dxa"/>
              <w:bottom w:w="100" w:type="dxa"/>
              <w:right w:w="20" w:type="dxa"/>
            </w:tcMar>
            <w:vAlign w:val="center"/>
          </w:tcPr>
          <w:p w14:paraId="171FCB04" w14:textId="77777777" w:rsidR="0028037B" w:rsidRDefault="00A73918">
            <w:pPr>
              <w:rPr>
                <w:rFonts w:ascii="Calibri" w:eastAsia="Calibri" w:hAnsi="Calibri" w:cs="Calibri"/>
              </w:rPr>
            </w:pPr>
            <w:r>
              <w:rPr>
                <w:rFonts w:ascii="Calibri" w:eastAsia="Calibri" w:hAnsi="Calibri" w:cs="Calibri"/>
              </w:rPr>
              <w:t>GCST004726</w:t>
            </w:r>
          </w:p>
        </w:tc>
      </w:tr>
      <w:tr w:rsidR="0028037B" w14:paraId="048499AF" w14:textId="77777777">
        <w:trPr>
          <w:trHeight w:val="284"/>
        </w:trPr>
        <w:tc>
          <w:tcPr>
            <w:tcW w:w="2115" w:type="dxa"/>
            <w:vAlign w:val="center"/>
          </w:tcPr>
          <w:p w14:paraId="7E7E76FE" w14:textId="77777777" w:rsidR="0028037B" w:rsidRDefault="00A73918">
            <w:pPr>
              <w:rPr>
                <w:rFonts w:ascii="Calibri" w:eastAsia="Calibri" w:hAnsi="Calibri" w:cs="Calibri"/>
              </w:rPr>
            </w:pPr>
            <w:r>
              <w:rPr>
                <w:rFonts w:ascii="Calibri" w:eastAsia="Calibri" w:hAnsi="Calibri" w:cs="Calibri"/>
              </w:rPr>
              <w:t>Appearance</w:t>
            </w:r>
          </w:p>
        </w:tc>
        <w:tc>
          <w:tcPr>
            <w:tcW w:w="3660" w:type="dxa"/>
            <w:tcMar>
              <w:top w:w="20" w:type="dxa"/>
              <w:left w:w="20" w:type="dxa"/>
              <w:bottom w:w="100" w:type="dxa"/>
              <w:right w:w="20" w:type="dxa"/>
            </w:tcMar>
            <w:vAlign w:val="center"/>
          </w:tcPr>
          <w:p w14:paraId="54A7DD3E" w14:textId="77777777" w:rsidR="0028037B" w:rsidRDefault="00A73918">
            <w:pPr>
              <w:rPr>
                <w:rFonts w:ascii="Calibri" w:eastAsia="Calibri" w:hAnsi="Calibri" w:cs="Calibri"/>
              </w:rPr>
            </w:pPr>
            <w:r>
              <w:rPr>
                <w:rFonts w:ascii="Calibri" w:eastAsia="Calibri" w:hAnsi="Calibri" w:cs="Calibri"/>
              </w:rPr>
              <w:t>Male pattern baldness</w:t>
            </w:r>
          </w:p>
        </w:tc>
        <w:tc>
          <w:tcPr>
            <w:tcW w:w="3696" w:type="dxa"/>
            <w:tcMar>
              <w:top w:w="20" w:type="dxa"/>
              <w:left w:w="20" w:type="dxa"/>
              <w:bottom w:w="100" w:type="dxa"/>
              <w:right w:w="20" w:type="dxa"/>
            </w:tcMar>
            <w:vAlign w:val="center"/>
          </w:tcPr>
          <w:p w14:paraId="46DF6DD0" w14:textId="77777777" w:rsidR="0028037B" w:rsidRDefault="00A73918">
            <w:pPr>
              <w:rPr>
                <w:rFonts w:ascii="Calibri" w:eastAsia="Calibri" w:hAnsi="Calibri" w:cs="Calibri"/>
              </w:rPr>
            </w:pPr>
            <w:r>
              <w:rPr>
                <w:rFonts w:ascii="Calibri" w:eastAsia="Calibri" w:hAnsi="Calibri" w:cs="Calibri"/>
              </w:rPr>
              <w:t>GCST005116</w:t>
            </w:r>
          </w:p>
        </w:tc>
      </w:tr>
    </w:tbl>
    <w:p w14:paraId="6E088F3C" w14:textId="77777777" w:rsidR="0028037B" w:rsidRDefault="0028037B">
      <w:pPr>
        <w:widowControl w:val="0"/>
        <w:pBdr>
          <w:top w:val="nil"/>
          <w:left w:val="nil"/>
          <w:bottom w:val="nil"/>
          <w:right w:val="nil"/>
          <w:between w:val="nil"/>
        </w:pBdr>
        <w:spacing w:after="220" w:line="240" w:lineRule="auto"/>
        <w:ind w:left="440" w:hanging="440"/>
      </w:pPr>
    </w:p>
    <w:p w14:paraId="596BE7A2" w14:textId="77777777" w:rsidR="0028037B" w:rsidRDefault="00A73918">
      <w:pPr>
        <w:spacing w:line="240" w:lineRule="auto"/>
      </w:pPr>
      <w:r>
        <w:br w:type="page"/>
      </w:r>
    </w:p>
    <w:p w14:paraId="1BA20EFD" w14:textId="77777777" w:rsidR="0028037B" w:rsidRDefault="00A73918">
      <w:pPr>
        <w:jc w:val="both"/>
        <w:rPr>
          <w:color w:val="000000"/>
        </w:rPr>
      </w:pPr>
      <w:r>
        <w:rPr>
          <w:b/>
        </w:rPr>
        <w:lastRenderedPageBreak/>
        <w:t>Supplementary Figure 1A, 1B, 1C, 1D</w:t>
      </w:r>
      <w:r>
        <w:t>: Genetic risk scores for ulcerative colitis for Father (1A), Mother (1B), Daughter (1C) and Son (1D). We show two histograms for each individual, reflecting a difference in the background population. The graphs marked ‘all ethnicities’ are created including a background population of all ethnicities in the 1000 genomes project, comprising 2504 individuals from, Africa (AFR), Ad Mixed America (AMR), East Asia (EAS), Europe (EUR) and South Asian (SAS). In order to control for the possibility that ethnic difference might influence the results, we also ran the scores for each family member with a background population of only the 669 Europeans (EUR) in the 1000 genomes project, the family being of European ancestry. The Y axis of each graph shows the number of individuals who fall within each bin on the X axis. We find that Son and Mother have a &gt;2 standard deviation from the mean score of the background population and that Daughter has a greater than 1 standard deviation from the mean. We find that including only Europeans in the background population does not significantly affect the results. Note that we do not show an absolute score on the graphs, as we are solving for the position of the individual within the background population for the combined effect of each of the 23 SNPs that were curated for this phenotype.</w:t>
      </w:r>
    </w:p>
    <w:p w14:paraId="3325D149" w14:textId="77777777" w:rsidR="0028037B" w:rsidRDefault="00A73918">
      <w:pPr>
        <w:widowControl w:val="0"/>
        <w:pBdr>
          <w:top w:val="nil"/>
          <w:left w:val="nil"/>
          <w:bottom w:val="nil"/>
          <w:right w:val="nil"/>
          <w:between w:val="nil"/>
        </w:pBdr>
        <w:spacing w:after="220" w:line="240" w:lineRule="auto"/>
        <w:ind w:left="440" w:hanging="440"/>
      </w:pPr>
      <w:r>
        <w:rPr>
          <w:noProof/>
        </w:rPr>
        <w:drawing>
          <wp:inline distT="0" distB="0" distL="0" distR="0" wp14:anchorId="0625A6C8" wp14:editId="6D7C06DE">
            <wp:extent cx="5943600" cy="2633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2633980"/>
                    </a:xfrm>
                    <a:prstGeom prst="rect">
                      <a:avLst/>
                    </a:prstGeom>
                    <a:ln/>
                  </pic:spPr>
                </pic:pic>
              </a:graphicData>
            </a:graphic>
          </wp:inline>
        </w:drawing>
      </w:r>
    </w:p>
    <w:p w14:paraId="4CDA9B09" w14:textId="77777777" w:rsidR="0028037B" w:rsidRDefault="00A73918">
      <w:pPr>
        <w:widowControl w:val="0"/>
        <w:pBdr>
          <w:top w:val="nil"/>
          <w:left w:val="nil"/>
          <w:bottom w:val="nil"/>
          <w:right w:val="nil"/>
          <w:between w:val="nil"/>
        </w:pBdr>
        <w:spacing w:after="220" w:line="240" w:lineRule="auto"/>
        <w:ind w:left="440" w:hanging="440"/>
      </w:pPr>
      <w:r>
        <w:rPr>
          <w:noProof/>
        </w:rPr>
        <w:drawing>
          <wp:inline distT="0" distB="0" distL="0" distR="0" wp14:anchorId="4A20660A" wp14:editId="57F75CFB">
            <wp:extent cx="5943600" cy="265049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650490"/>
                    </a:xfrm>
                    <a:prstGeom prst="rect">
                      <a:avLst/>
                    </a:prstGeom>
                    <a:ln/>
                  </pic:spPr>
                </pic:pic>
              </a:graphicData>
            </a:graphic>
          </wp:inline>
        </w:drawing>
      </w:r>
    </w:p>
    <w:p w14:paraId="797A86FA" w14:textId="77777777" w:rsidR="0028037B" w:rsidRDefault="00A73918">
      <w:pPr>
        <w:widowControl w:val="0"/>
        <w:pBdr>
          <w:top w:val="nil"/>
          <w:left w:val="nil"/>
          <w:bottom w:val="nil"/>
          <w:right w:val="nil"/>
          <w:between w:val="nil"/>
        </w:pBdr>
        <w:spacing w:after="220" w:line="240" w:lineRule="auto"/>
        <w:ind w:left="440" w:hanging="440"/>
      </w:pPr>
      <w:r>
        <w:rPr>
          <w:noProof/>
        </w:rPr>
        <w:lastRenderedPageBreak/>
        <w:drawing>
          <wp:inline distT="0" distB="0" distL="0" distR="0" wp14:anchorId="47B6F0BC" wp14:editId="503E372F">
            <wp:extent cx="5943600" cy="2660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2660650"/>
                    </a:xfrm>
                    <a:prstGeom prst="rect">
                      <a:avLst/>
                    </a:prstGeom>
                    <a:ln/>
                  </pic:spPr>
                </pic:pic>
              </a:graphicData>
            </a:graphic>
          </wp:inline>
        </w:drawing>
      </w:r>
    </w:p>
    <w:p w14:paraId="6C99156F" w14:textId="77777777" w:rsidR="0028037B" w:rsidRDefault="00A73918">
      <w:pPr>
        <w:widowControl w:val="0"/>
        <w:pBdr>
          <w:top w:val="nil"/>
          <w:left w:val="nil"/>
          <w:bottom w:val="nil"/>
          <w:right w:val="nil"/>
          <w:between w:val="nil"/>
        </w:pBdr>
        <w:spacing w:after="220" w:line="240" w:lineRule="auto"/>
        <w:ind w:left="440" w:hanging="440"/>
      </w:pPr>
      <w:r>
        <w:rPr>
          <w:noProof/>
        </w:rPr>
        <w:drawing>
          <wp:inline distT="0" distB="0" distL="0" distR="0" wp14:anchorId="7DD7EC93" wp14:editId="5F9BAFD2">
            <wp:extent cx="5943600" cy="266319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943600" cy="2663190"/>
                    </a:xfrm>
                    <a:prstGeom prst="rect">
                      <a:avLst/>
                    </a:prstGeom>
                    <a:ln/>
                  </pic:spPr>
                </pic:pic>
              </a:graphicData>
            </a:graphic>
          </wp:inline>
        </w:drawing>
      </w:r>
    </w:p>
    <w:p w14:paraId="47D843D3" w14:textId="197FCADC" w:rsidR="00F40074" w:rsidRDefault="00F40074">
      <w:r>
        <w:br w:type="page"/>
      </w:r>
    </w:p>
    <w:p w14:paraId="4EAEE346" w14:textId="77777777" w:rsidR="0028037B" w:rsidRDefault="00A73918">
      <w:pPr>
        <w:pStyle w:val="Heading2"/>
      </w:pPr>
      <w:bookmarkStart w:id="2" w:name="_twjdxgj5xiks" w:colFirst="0" w:colLast="0"/>
      <w:bookmarkEnd w:id="2"/>
      <w:r>
        <w:lastRenderedPageBreak/>
        <w:t>Hereditary Cancer Gene Panel</w:t>
      </w:r>
    </w:p>
    <w:p w14:paraId="2651C44E" w14:textId="77777777" w:rsidR="0028037B" w:rsidRDefault="0028037B">
      <w:pPr>
        <w:jc w:val="both"/>
      </w:pPr>
    </w:p>
    <w:p w14:paraId="29E4AFF1" w14:textId="77777777" w:rsidR="0028037B" w:rsidRDefault="00A73918">
      <w:pPr>
        <w:jc w:val="both"/>
      </w:pPr>
      <w:r>
        <w:t xml:space="preserve">This set of genes were chosen because the associated disease condition had been curated by Fabric Genomics </w:t>
      </w:r>
      <w:r>
        <w:rPr>
          <w:color w:val="000000"/>
        </w:rPr>
        <w:t>(Fabric Hereditary Panels with ACE)</w:t>
      </w:r>
      <w:r>
        <w:t>. These genes require to be specifically curated against the related condition; e.g., for BRCA1, the curated condition is hereditary breast and ovarian cancer. Below is the list of genes we used, separated by commas and no spaces.</w:t>
      </w:r>
    </w:p>
    <w:p w14:paraId="453E6E97" w14:textId="77777777" w:rsidR="0028037B" w:rsidRDefault="0028037B">
      <w:pPr>
        <w:jc w:val="both"/>
      </w:pPr>
    </w:p>
    <w:p w14:paraId="07257FFC" w14:textId="77777777" w:rsidR="0028037B" w:rsidRDefault="00A73918">
      <w:pPr>
        <w:jc w:val="both"/>
      </w:pPr>
      <w:r>
        <w:t>ADI</w:t>
      </w:r>
      <w:proofErr w:type="gramStart"/>
      <w:r>
        <w:t>1,ALK</w:t>
      </w:r>
      <w:proofErr w:type="gramEnd"/>
      <w:r>
        <w:t>,APC,ATM,BAP1,BARD1,BLM,BMPR1A,BRCA1,BRCA2,BRIP1,CDH1,CDK4,CDKN2A,CHEK2,DICER1,EPCAM,FANCC,FH,FLCN,HOXB13,MEN1,MET,MLH1,MRE11A,MSH2,MSH6,MUTYH,NBN,NF1,PALB2,PHOX2B,PMS2,POLD1,POLE,POT1,PRSS1,PTCH1,PTEN,RAD50,RAD51C,RAD51D,SDHA,SLX4,SMAD4,SMARCA4,SMARCB1,STK11,SUFU,TP53,XRCC2,XRCC3</w:t>
      </w:r>
    </w:p>
    <w:p w14:paraId="110575AB" w14:textId="77777777" w:rsidR="00F40074" w:rsidRPr="00F40074" w:rsidRDefault="00F40074" w:rsidP="00F40074">
      <w:pPr>
        <w:keepNext/>
        <w:keepLines/>
        <w:spacing w:before="400" w:after="120"/>
        <w:outlineLvl w:val="0"/>
        <w:rPr>
          <w:color w:val="000000"/>
          <w:sz w:val="40"/>
          <w:szCs w:val="40"/>
        </w:rPr>
      </w:pPr>
      <w:r w:rsidRPr="00F40074">
        <w:rPr>
          <w:sz w:val="40"/>
          <w:szCs w:val="40"/>
        </w:rPr>
        <w:t>References</w:t>
      </w:r>
    </w:p>
    <w:p w14:paraId="44AB93F4" w14:textId="77777777" w:rsidR="0028037B" w:rsidRDefault="00A73918">
      <w:pPr>
        <w:widowControl w:val="0"/>
        <w:pBdr>
          <w:top w:val="nil"/>
          <w:left w:val="nil"/>
          <w:bottom w:val="nil"/>
          <w:right w:val="nil"/>
          <w:between w:val="nil"/>
        </w:pBdr>
        <w:spacing w:before="220" w:after="220" w:line="240" w:lineRule="auto"/>
        <w:ind w:left="440" w:hanging="440"/>
        <w:rPr>
          <w:color w:val="000000"/>
        </w:rPr>
      </w:pPr>
      <w:r>
        <w:rPr>
          <w:color w:val="000000"/>
        </w:rPr>
        <w:t xml:space="preserve">Fabric Hereditary Panels with ACE Available at: </w:t>
      </w:r>
      <w:hyperlink r:id="rId11">
        <w:r>
          <w:rPr>
            <w:color w:val="000000"/>
          </w:rPr>
          <w:t>https://info.fabricgenomics.com/ace</w:t>
        </w:r>
      </w:hyperlink>
      <w:r>
        <w:rPr>
          <w:color w:val="000000"/>
        </w:rPr>
        <w:t xml:space="preserve"> [Accessed January 31, 2021].</w:t>
      </w:r>
    </w:p>
    <w:p w14:paraId="0557D455" w14:textId="77777777" w:rsidR="0028037B" w:rsidRDefault="00A73918">
      <w:pPr>
        <w:widowControl w:val="0"/>
        <w:pBdr>
          <w:top w:val="nil"/>
          <w:left w:val="nil"/>
          <w:bottom w:val="nil"/>
          <w:right w:val="nil"/>
          <w:between w:val="nil"/>
        </w:pBdr>
        <w:spacing w:after="220" w:line="240" w:lineRule="auto"/>
        <w:ind w:left="440" w:hanging="440"/>
        <w:rPr>
          <w:color w:val="000000"/>
        </w:rPr>
      </w:pPr>
      <w:proofErr w:type="spellStart"/>
      <w:r>
        <w:rPr>
          <w:color w:val="000000"/>
        </w:rPr>
        <w:t>Kendig</w:t>
      </w:r>
      <w:proofErr w:type="spellEnd"/>
      <w:r>
        <w:rPr>
          <w:color w:val="000000"/>
        </w:rPr>
        <w:t xml:space="preserve">, K. I., </w:t>
      </w:r>
      <w:proofErr w:type="spellStart"/>
      <w:r>
        <w:rPr>
          <w:color w:val="000000"/>
        </w:rPr>
        <w:t>Baheti</w:t>
      </w:r>
      <w:proofErr w:type="spellEnd"/>
      <w:r>
        <w:rPr>
          <w:color w:val="000000"/>
        </w:rPr>
        <w:t xml:space="preserve">, S., </w:t>
      </w:r>
      <w:proofErr w:type="spellStart"/>
      <w:r>
        <w:rPr>
          <w:color w:val="000000"/>
        </w:rPr>
        <w:t>Bockol</w:t>
      </w:r>
      <w:proofErr w:type="spellEnd"/>
      <w:r>
        <w:rPr>
          <w:color w:val="000000"/>
        </w:rPr>
        <w:t xml:space="preserve">, M. A., Drucker, T. M., Hart, S. N., </w:t>
      </w:r>
      <w:proofErr w:type="spellStart"/>
      <w:r>
        <w:rPr>
          <w:color w:val="000000"/>
        </w:rPr>
        <w:t>Heldenbrand</w:t>
      </w:r>
      <w:proofErr w:type="spellEnd"/>
      <w:r>
        <w:rPr>
          <w:color w:val="000000"/>
        </w:rPr>
        <w:t xml:space="preserve">, J. R., et al. (2019). </w:t>
      </w:r>
      <w:proofErr w:type="spellStart"/>
      <w:r>
        <w:rPr>
          <w:color w:val="000000"/>
        </w:rPr>
        <w:t>Sentieon</w:t>
      </w:r>
      <w:proofErr w:type="spellEnd"/>
      <w:r>
        <w:rPr>
          <w:color w:val="000000"/>
        </w:rPr>
        <w:t xml:space="preserve"> </w:t>
      </w:r>
      <w:proofErr w:type="spellStart"/>
      <w:r>
        <w:rPr>
          <w:color w:val="000000"/>
        </w:rPr>
        <w:t>DNASeq</w:t>
      </w:r>
      <w:proofErr w:type="spellEnd"/>
      <w:r>
        <w:rPr>
          <w:color w:val="000000"/>
        </w:rPr>
        <w:t xml:space="preserve"> Variant Calling Workflow Demonstrates Strong Computational Performance and Accuracy. </w:t>
      </w:r>
      <w:r>
        <w:rPr>
          <w:i/>
          <w:color w:val="000000"/>
        </w:rPr>
        <w:t>Front. Genet.</w:t>
      </w:r>
      <w:r>
        <w:rPr>
          <w:color w:val="000000"/>
        </w:rPr>
        <w:t xml:space="preserve"> 10, 736.</w:t>
      </w:r>
    </w:p>
    <w:p w14:paraId="15796872" w14:textId="77777777" w:rsidR="0028037B" w:rsidRDefault="00A73918">
      <w:pPr>
        <w:widowControl w:val="0"/>
        <w:pBdr>
          <w:top w:val="nil"/>
          <w:left w:val="nil"/>
          <w:bottom w:val="nil"/>
          <w:right w:val="nil"/>
          <w:between w:val="nil"/>
        </w:pBdr>
        <w:spacing w:after="220" w:line="240" w:lineRule="auto"/>
        <w:ind w:left="440" w:hanging="440"/>
        <w:rPr>
          <w:color w:val="000000"/>
        </w:rPr>
      </w:pPr>
      <w:r>
        <w:rPr>
          <w:color w:val="000000"/>
        </w:rPr>
        <w:t xml:space="preserve">Li, H., and Durbin, R. (2009). Fast and accurate short read alignment with Burrows-Wheeler transform. </w:t>
      </w:r>
      <w:r>
        <w:rPr>
          <w:i/>
          <w:color w:val="000000"/>
        </w:rPr>
        <w:t>Bioinformatics</w:t>
      </w:r>
      <w:r>
        <w:rPr>
          <w:color w:val="000000"/>
        </w:rPr>
        <w:t xml:space="preserve"> 25, 1754–1760.</w:t>
      </w:r>
    </w:p>
    <w:p w14:paraId="6DA88D4A" w14:textId="77777777" w:rsidR="0028037B" w:rsidRDefault="00A73918">
      <w:pPr>
        <w:widowControl w:val="0"/>
        <w:pBdr>
          <w:top w:val="nil"/>
          <w:left w:val="nil"/>
          <w:bottom w:val="nil"/>
          <w:right w:val="nil"/>
          <w:between w:val="nil"/>
        </w:pBdr>
        <w:spacing w:after="220" w:line="240" w:lineRule="auto"/>
        <w:ind w:left="440" w:hanging="440"/>
        <w:rPr>
          <w:color w:val="000000"/>
        </w:rPr>
      </w:pPr>
      <w:r>
        <w:rPr>
          <w:color w:val="000000"/>
        </w:rPr>
        <w:t xml:space="preserve">McKenna, A., Hanna, M., Banks, E., </w:t>
      </w:r>
      <w:proofErr w:type="spellStart"/>
      <w:r>
        <w:rPr>
          <w:color w:val="000000"/>
        </w:rPr>
        <w:t>Sivachenko</w:t>
      </w:r>
      <w:proofErr w:type="spellEnd"/>
      <w:r>
        <w:rPr>
          <w:color w:val="000000"/>
        </w:rPr>
        <w:t xml:space="preserve">, A., </w:t>
      </w:r>
      <w:proofErr w:type="spellStart"/>
      <w:r>
        <w:rPr>
          <w:color w:val="000000"/>
        </w:rPr>
        <w:t>Cibulskis</w:t>
      </w:r>
      <w:proofErr w:type="spellEnd"/>
      <w:r>
        <w:rPr>
          <w:color w:val="000000"/>
        </w:rPr>
        <w:t xml:space="preserve">, K., </w:t>
      </w:r>
      <w:proofErr w:type="spellStart"/>
      <w:r>
        <w:rPr>
          <w:color w:val="000000"/>
        </w:rPr>
        <w:t>Kernytsky</w:t>
      </w:r>
      <w:proofErr w:type="spellEnd"/>
      <w:r>
        <w:rPr>
          <w:color w:val="000000"/>
        </w:rPr>
        <w:t xml:space="preserve">, A., et al. (2010). The Genome Analysis Toolkit: a MapReduce framework for </w:t>
      </w:r>
      <w:proofErr w:type="spellStart"/>
      <w:r>
        <w:rPr>
          <w:color w:val="000000"/>
        </w:rPr>
        <w:t>analyzing</w:t>
      </w:r>
      <w:proofErr w:type="spellEnd"/>
      <w:r>
        <w:rPr>
          <w:color w:val="000000"/>
        </w:rPr>
        <w:t xml:space="preserve"> next-generation DNA sequencing data. </w:t>
      </w:r>
      <w:r>
        <w:rPr>
          <w:i/>
          <w:color w:val="000000"/>
        </w:rPr>
        <w:t>Genome Res.</w:t>
      </w:r>
      <w:r>
        <w:rPr>
          <w:color w:val="000000"/>
        </w:rPr>
        <w:t xml:space="preserve"> 20, 1297–1303.</w:t>
      </w:r>
    </w:p>
    <w:p w14:paraId="764152B4" w14:textId="77777777" w:rsidR="0028037B" w:rsidRDefault="00A73918">
      <w:pPr>
        <w:widowControl w:val="0"/>
        <w:pBdr>
          <w:top w:val="nil"/>
          <w:left w:val="nil"/>
          <w:bottom w:val="nil"/>
          <w:right w:val="nil"/>
          <w:between w:val="nil"/>
        </w:pBdr>
        <w:spacing w:after="220" w:line="240" w:lineRule="auto"/>
        <w:ind w:left="440" w:hanging="440"/>
        <w:rPr>
          <w:color w:val="000000"/>
        </w:rPr>
      </w:pPr>
      <w:r>
        <w:rPr>
          <w:color w:val="000000"/>
        </w:rPr>
        <w:t xml:space="preserve">Picard Available at: </w:t>
      </w:r>
      <w:hyperlink r:id="rId12">
        <w:r>
          <w:rPr>
            <w:color w:val="000000"/>
          </w:rPr>
          <w:t>http://broadinstitute.github.io/picard/</w:t>
        </w:r>
      </w:hyperlink>
      <w:r>
        <w:rPr>
          <w:color w:val="000000"/>
        </w:rPr>
        <w:t xml:space="preserve"> [Accessed January 31, 2021].</w:t>
      </w:r>
    </w:p>
    <w:p w14:paraId="430EC94A" w14:textId="423F4375" w:rsidR="0028037B" w:rsidRDefault="00A73918">
      <w:pPr>
        <w:widowControl w:val="0"/>
        <w:pBdr>
          <w:top w:val="nil"/>
          <w:left w:val="nil"/>
          <w:bottom w:val="nil"/>
          <w:right w:val="nil"/>
          <w:between w:val="nil"/>
        </w:pBdr>
        <w:spacing w:after="220" w:line="240" w:lineRule="auto"/>
        <w:ind w:left="440" w:hanging="440"/>
        <w:rPr>
          <w:color w:val="000000"/>
        </w:rPr>
      </w:pPr>
      <w:r>
        <w:rPr>
          <w:color w:val="000000"/>
        </w:rPr>
        <w:t xml:space="preserve">Website Available at: </w:t>
      </w:r>
      <w:hyperlink r:id="rId13">
        <w:r>
          <w:rPr>
            <w:color w:val="000000"/>
          </w:rPr>
          <w:t>https://www.broadinstitute.org/gatk/guide/best-practices</w:t>
        </w:r>
      </w:hyperlink>
      <w:r>
        <w:rPr>
          <w:color w:val="000000"/>
        </w:rPr>
        <w:t xml:space="preserve"> [Accessed January 31, 2021].</w:t>
      </w:r>
    </w:p>
    <w:p w14:paraId="5885DBE6" w14:textId="77777777" w:rsidR="009F76F0" w:rsidRPr="00412DB5" w:rsidRDefault="009F76F0" w:rsidP="009F76F0">
      <w:pPr>
        <w:widowControl w:val="0"/>
        <w:pBdr>
          <w:top w:val="nil"/>
          <w:left w:val="nil"/>
          <w:bottom w:val="nil"/>
          <w:right w:val="nil"/>
          <w:between w:val="nil"/>
        </w:pBdr>
        <w:spacing w:after="220" w:line="240" w:lineRule="auto"/>
        <w:ind w:left="440" w:hanging="440"/>
        <w:rPr>
          <w:color w:val="000000"/>
        </w:rPr>
      </w:pPr>
      <w:r w:rsidRPr="00412DB5">
        <w:rPr>
          <w:color w:val="000000"/>
        </w:rPr>
        <w:t xml:space="preserve">Zarate, S., Carroll, A., Mahmoud, M., </w:t>
      </w:r>
      <w:proofErr w:type="spellStart"/>
      <w:r w:rsidRPr="00412DB5">
        <w:rPr>
          <w:color w:val="000000"/>
        </w:rPr>
        <w:t>Krasheninina</w:t>
      </w:r>
      <w:proofErr w:type="spellEnd"/>
      <w:r w:rsidRPr="00412DB5">
        <w:rPr>
          <w:color w:val="000000"/>
        </w:rPr>
        <w:t xml:space="preserve">, O., Jun, G., Salerno, W. J., et al. (2020). Parliament2: Accurate structural variant calling at scale. </w:t>
      </w:r>
      <w:proofErr w:type="spellStart"/>
      <w:r w:rsidRPr="00412DB5">
        <w:rPr>
          <w:i/>
          <w:iCs/>
          <w:color w:val="000000"/>
        </w:rPr>
        <w:t>Gigascience</w:t>
      </w:r>
      <w:proofErr w:type="spellEnd"/>
      <w:r w:rsidRPr="00412DB5">
        <w:rPr>
          <w:color w:val="000000"/>
        </w:rPr>
        <w:t xml:space="preserve"> 9. </w:t>
      </w:r>
      <w:proofErr w:type="spellStart"/>
      <w:r w:rsidRPr="00412DB5">
        <w:rPr>
          <w:color w:val="000000"/>
        </w:rPr>
        <w:t>doi</w:t>
      </w:r>
      <w:proofErr w:type="spellEnd"/>
      <w:r w:rsidRPr="00412DB5">
        <w:rPr>
          <w:color w:val="000000"/>
        </w:rPr>
        <w:t>:</w:t>
      </w:r>
      <w:r w:rsidRPr="00412DB5">
        <w:t xml:space="preserve"> </w:t>
      </w:r>
      <w:r w:rsidRPr="00412DB5">
        <w:rPr>
          <w:color w:val="000000"/>
        </w:rPr>
        <w:t>10.1093/</w:t>
      </w:r>
      <w:proofErr w:type="spellStart"/>
      <w:r w:rsidRPr="00412DB5">
        <w:rPr>
          <w:color w:val="000000"/>
        </w:rPr>
        <w:t>gigascience</w:t>
      </w:r>
      <w:proofErr w:type="spellEnd"/>
      <w:r w:rsidRPr="00412DB5">
        <w:rPr>
          <w:color w:val="000000"/>
        </w:rPr>
        <w:t xml:space="preserve">/giaa145 </w:t>
      </w:r>
    </w:p>
    <w:p w14:paraId="100BC243" w14:textId="77777777" w:rsidR="00412DB5" w:rsidRDefault="00412DB5">
      <w:pPr>
        <w:widowControl w:val="0"/>
        <w:pBdr>
          <w:top w:val="nil"/>
          <w:left w:val="nil"/>
          <w:bottom w:val="nil"/>
          <w:right w:val="nil"/>
          <w:between w:val="nil"/>
        </w:pBdr>
        <w:spacing w:after="220" w:line="240" w:lineRule="auto"/>
        <w:ind w:left="440" w:hanging="440"/>
        <w:rPr>
          <w:color w:val="000000"/>
        </w:rPr>
      </w:pPr>
    </w:p>
    <w:p w14:paraId="294CE623" w14:textId="77777777" w:rsidR="0028037B" w:rsidRDefault="0028037B">
      <w:pPr>
        <w:widowControl w:val="0"/>
        <w:pBdr>
          <w:top w:val="nil"/>
          <w:left w:val="nil"/>
          <w:bottom w:val="nil"/>
          <w:right w:val="nil"/>
          <w:between w:val="nil"/>
        </w:pBdr>
      </w:pPr>
    </w:p>
    <w:sectPr w:rsidR="0028037B" w:rsidSect="00AC2FF4">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049E5" w14:textId="77777777" w:rsidR="00C36D7E" w:rsidRDefault="00C36D7E">
      <w:pPr>
        <w:spacing w:line="240" w:lineRule="auto"/>
      </w:pPr>
      <w:r>
        <w:separator/>
      </w:r>
    </w:p>
  </w:endnote>
  <w:endnote w:type="continuationSeparator" w:id="0">
    <w:p w14:paraId="7DAC8AC3" w14:textId="77777777" w:rsidR="00C36D7E" w:rsidRDefault="00C36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3859643"/>
      <w:docPartObj>
        <w:docPartGallery w:val="Page Numbers (Bottom of Page)"/>
        <w:docPartUnique/>
      </w:docPartObj>
    </w:sdtPr>
    <w:sdtEndPr>
      <w:rPr>
        <w:rStyle w:val="PageNumber"/>
      </w:rPr>
    </w:sdtEndPr>
    <w:sdtContent>
      <w:p w14:paraId="2442CB63" w14:textId="487440D5" w:rsidR="00AC2FF4" w:rsidRDefault="00AC2FF4" w:rsidP="00C16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1567F6" w14:textId="182A27BA" w:rsidR="0028037B" w:rsidRDefault="0028037B" w:rsidP="00AC2FF4">
    <w:pPr>
      <w:pBdr>
        <w:top w:val="nil"/>
        <w:left w:val="nil"/>
        <w:bottom w:val="nil"/>
        <w:right w:val="nil"/>
        <w:between w:val="nil"/>
      </w:pBdr>
      <w:tabs>
        <w:tab w:val="center" w:pos="4680"/>
        <w:tab w:val="right" w:pos="9360"/>
      </w:tabs>
      <w:spacing w:line="240" w:lineRule="auto"/>
      <w:ind w:right="360"/>
      <w:jc w:val="right"/>
      <w:rPr>
        <w:color w:val="000000"/>
      </w:rPr>
    </w:pPr>
  </w:p>
  <w:p w14:paraId="2C420330" w14:textId="77777777" w:rsidR="0028037B" w:rsidRDefault="0028037B">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1501990"/>
      <w:docPartObj>
        <w:docPartGallery w:val="Page Numbers (Bottom of Page)"/>
        <w:docPartUnique/>
      </w:docPartObj>
    </w:sdtPr>
    <w:sdtEndPr>
      <w:rPr>
        <w:rStyle w:val="PageNumber"/>
      </w:rPr>
    </w:sdtEndPr>
    <w:sdtContent>
      <w:p w14:paraId="516AF2E9" w14:textId="26B5FD9E" w:rsidR="00AC2FF4" w:rsidRDefault="00AC2FF4" w:rsidP="00C16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AE4AC1" w14:textId="01F93B77" w:rsidR="0028037B" w:rsidRDefault="0028037B" w:rsidP="00AC2FF4">
    <w:pPr>
      <w:pBdr>
        <w:top w:val="nil"/>
        <w:left w:val="nil"/>
        <w:bottom w:val="nil"/>
        <w:right w:val="nil"/>
        <w:between w:val="nil"/>
      </w:pBdr>
      <w:tabs>
        <w:tab w:val="center" w:pos="4680"/>
        <w:tab w:val="right" w:pos="9360"/>
      </w:tabs>
      <w:spacing w:line="240" w:lineRule="auto"/>
      <w:ind w:right="360"/>
      <w:jc w:val="right"/>
      <w:rPr>
        <w:color w:val="000000"/>
      </w:rPr>
    </w:pPr>
  </w:p>
  <w:p w14:paraId="36769AC4" w14:textId="77777777" w:rsidR="0028037B" w:rsidRDefault="0028037B">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3F2F5" w14:textId="77777777" w:rsidR="00C36D7E" w:rsidRDefault="00C36D7E">
      <w:pPr>
        <w:spacing w:line="240" w:lineRule="auto"/>
      </w:pPr>
      <w:r>
        <w:separator/>
      </w:r>
    </w:p>
  </w:footnote>
  <w:footnote w:type="continuationSeparator" w:id="0">
    <w:p w14:paraId="5F2922D8" w14:textId="77777777" w:rsidR="00C36D7E" w:rsidRDefault="00C36D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B5E37"/>
    <w:multiLevelType w:val="hybridMultilevel"/>
    <w:tmpl w:val="0C5A56BC"/>
    <w:lvl w:ilvl="0" w:tplc="D3FAB13E">
      <w:start w:val="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7B"/>
    <w:rsid w:val="00190D28"/>
    <w:rsid w:val="00246DA8"/>
    <w:rsid w:val="0028037B"/>
    <w:rsid w:val="00412DB5"/>
    <w:rsid w:val="0049333E"/>
    <w:rsid w:val="00685E84"/>
    <w:rsid w:val="0069719E"/>
    <w:rsid w:val="00716FFA"/>
    <w:rsid w:val="00763F8E"/>
    <w:rsid w:val="009D3389"/>
    <w:rsid w:val="009F76F0"/>
    <w:rsid w:val="00A07D30"/>
    <w:rsid w:val="00A73918"/>
    <w:rsid w:val="00AC2FF4"/>
    <w:rsid w:val="00AD605E"/>
    <w:rsid w:val="00B453C7"/>
    <w:rsid w:val="00C14991"/>
    <w:rsid w:val="00C36D7E"/>
    <w:rsid w:val="00C66FC4"/>
    <w:rsid w:val="00CC6B4D"/>
    <w:rsid w:val="00DA3AC9"/>
    <w:rsid w:val="00F40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F24DFB"/>
  <w15:docId w15:val="{945E0648-1430-3B4D-9CB9-E93F19F6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40" w:lineRule="auto"/>
      <w:ind w:left="720" w:hanging="36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semiHidden/>
    <w:unhideWhenUsed/>
    <w:rsid w:val="00AC2FF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2FF4"/>
  </w:style>
  <w:style w:type="character" w:styleId="PageNumber">
    <w:name w:val="page number"/>
    <w:basedOn w:val="DefaultParagraphFont"/>
    <w:uiPriority w:val="99"/>
    <w:semiHidden/>
    <w:unhideWhenUsed/>
    <w:rsid w:val="00AC2FF4"/>
  </w:style>
  <w:style w:type="paragraph" w:styleId="Header">
    <w:name w:val="header"/>
    <w:basedOn w:val="Normal"/>
    <w:link w:val="HeaderChar"/>
    <w:uiPriority w:val="99"/>
    <w:unhideWhenUsed/>
    <w:rsid w:val="00AC2FF4"/>
    <w:pPr>
      <w:tabs>
        <w:tab w:val="center" w:pos="4680"/>
        <w:tab w:val="right" w:pos="9360"/>
      </w:tabs>
      <w:spacing w:line="240" w:lineRule="auto"/>
    </w:pPr>
  </w:style>
  <w:style w:type="character" w:customStyle="1" w:styleId="HeaderChar">
    <w:name w:val="Header Char"/>
    <w:basedOn w:val="DefaultParagraphFont"/>
    <w:link w:val="Header"/>
    <w:uiPriority w:val="99"/>
    <w:rsid w:val="00AC2FF4"/>
  </w:style>
  <w:style w:type="paragraph" w:styleId="BalloonText">
    <w:name w:val="Balloon Text"/>
    <w:basedOn w:val="Normal"/>
    <w:link w:val="BalloonTextChar"/>
    <w:uiPriority w:val="99"/>
    <w:semiHidden/>
    <w:unhideWhenUsed/>
    <w:rsid w:val="00C1499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4991"/>
    <w:rPr>
      <w:rFonts w:ascii="Times New Roman" w:hAnsi="Times New Roman" w:cs="Times New Roman"/>
      <w:sz w:val="18"/>
      <w:szCs w:val="18"/>
    </w:rPr>
  </w:style>
  <w:style w:type="paragraph" w:styleId="ListParagraph">
    <w:name w:val="List Paragraph"/>
    <w:basedOn w:val="Normal"/>
    <w:uiPriority w:val="34"/>
    <w:qFormat/>
    <w:rsid w:val="00B453C7"/>
    <w:pPr>
      <w:ind w:left="720"/>
      <w:contextualSpacing/>
    </w:pPr>
  </w:style>
  <w:style w:type="character" w:styleId="Hyperlink">
    <w:name w:val="Hyperlink"/>
    <w:basedOn w:val="DefaultParagraphFont"/>
    <w:uiPriority w:val="99"/>
    <w:unhideWhenUsed/>
    <w:rsid w:val="00412DB5"/>
    <w:rPr>
      <w:color w:val="0000FF" w:themeColor="hyperlink"/>
      <w:u w:val="single"/>
    </w:rPr>
  </w:style>
  <w:style w:type="character" w:styleId="UnresolvedMention">
    <w:name w:val="Unresolved Mention"/>
    <w:basedOn w:val="DefaultParagraphFont"/>
    <w:uiPriority w:val="99"/>
    <w:semiHidden/>
    <w:unhideWhenUsed/>
    <w:rsid w:val="00412DB5"/>
    <w:rPr>
      <w:color w:val="605E5C"/>
      <w:shd w:val="clear" w:color="auto" w:fill="E1DFDD"/>
    </w:rPr>
  </w:style>
  <w:style w:type="character" w:styleId="FollowedHyperlink">
    <w:name w:val="FollowedHyperlink"/>
    <w:basedOn w:val="DefaultParagraphFont"/>
    <w:uiPriority w:val="99"/>
    <w:semiHidden/>
    <w:unhideWhenUsed/>
    <w:rsid w:val="00412D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7163">
      <w:bodyDiv w:val="1"/>
      <w:marLeft w:val="0"/>
      <w:marRight w:val="0"/>
      <w:marTop w:val="0"/>
      <w:marBottom w:val="0"/>
      <w:divBdr>
        <w:top w:val="none" w:sz="0" w:space="0" w:color="auto"/>
        <w:left w:val="none" w:sz="0" w:space="0" w:color="auto"/>
        <w:bottom w:val="none" w:sz="0" w:space="0" w:color="auto"/>
        <w:right w:val="none" w:sz="0" w:space="0" w:color="auto"/>
      </w:divBdr>
    </w:div>
    <w:div w:id="993336637">
      <w:bodyDiv w:val="1"/>
      <w:marLeft w:val="0"/>
      <w:marRight w:val="0"/>
      <w:marTop w:val="0"/>
      <w:marBottom w:val="0"/>
      <w:divBdr>
        <w:top w:val="none" w:sz="0" w:space="0" w:color="auto"/>
        <w:left w:val="none" w:sz="0" w:space="0" w:color="auto"/>
        <w:bottom w:val="none" w:sz="0" w:space="0" w:color="auto"/>
        <w:right w:val="none" w:sz="0" w:space="0" w:color="auto"/>
      </w:divBdr>
    </w:div>
    <w:div w:id="1090586122">
      <w:bodyDiv w:val="1"/>
      <w:marLeft w:val="0"/>
      <w:marRight w:val="0"/>
      <w:marTop w:val="0"/>
      <w:marBottom w:val="0"/>
      <w:divBdr>
        <w:top w:val="none" w:sz="0" w:space="0" w:color="auto"/>
        <w:left w:val="none" w:sz="0" w:space="0" w:color="auto"/>
        <w:bottom w:val="none" w:sz="0" w:space="0" w:color="auto"/>
        <w:right w:val="none" w:sz="0" w:space="0" w:color="auto"/>
      </w:divBdr>
      <w:divsChild>
        <w:div w:id="356468632">
          <w:marLeft w:val="0"/>
          <w:marRight w:val="0"/>
          <w:marTop w:val="0"/>
          <w:marBottom w:val="0"/>
          <w:divBdr>
            <w:top w:val="none" w:sz="0" w:space="0" w:color="auto"/>
            <w:left w:val="none" w:sz="0" w:space="0" w:color="auto"/>
            <w:bottom w:val="none" w:sz="0" w:space="0" w:color="auto"/>
            <w:right w:val="none" w:sz="0" w:space="0" w:color="auto"/>
          </w:divBdr>
          <w:divsChild>
            <w:div w:id="104279013">
              <w:marLeft w:val="0"/>
              <w:marRight w:val="0"/>
              <w:marTop w:val="0"/>
              <w:marBottom w:val="0"/>
              <w:divBdr>
                <w:top w:val="none" w:sz="0" w:space="0" w:color="auto"/>
                <w:left w:val="none" w:sz="0" w:space="0" w:color="auto"/>
                <w:bottom w:val="none" w:sz="0" w:space="0" w:color="auto"/>
                <w:right w:val="none" w:sz="0" w:space="0" w:color="auto"/>
              </w:divBdr>
              <w:divsChild>
                <w:div w:id="10435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5978">
      <w:bodyDiv w:val="1"/>
      <w:marLeft w:val="0"/>
      <w:marRight w:val="0"/>
      <w:marTop w:val="0"/>
      <w:marBottom w:val="0"/>
      <w:divBdr>
        <w:top w:val="none" w:sz="0" w:space="0" w:color="auto"/>
        <w:left w:val="none" w:sz="0" w:space="0" w:color="auto"/>
        <w:bottom w:val="none" w:sz="0" w:space="0" w:color="auto"/>
        <w:right w:val="none" w:sz="0" w:space="0" w:color="auto"/>
      </w:divBdr>
    </w:div>
    <w:div w:id="1445030220">
      <w:bodyDiv w:val="1"/>
      <w:marLeft w:val="0"/>
      <w:marRight w:val="0"/>
      <w:marTop w:val="0"/>
      <w:marBottom w:val="0"/>
      <w:divBdr>
        <w:top w:val="none" w:sz="0" w:space="0" w:color="auto"/>
        <w:left w:val="none" w:sz="0" w:space="0" w:color="auto"/>
        <w:bottom w:val="none" w:sz="0" w:space="0" w:color="auto"/>
        <w:right w:val="none" w:sz="0" w:space="0" w:color="auto"/>
      </w:divBdr>
    </w:div>
    <w:div w:id="1494250916">
      <w:bodyDiv w:val="1"/>
      <w:marLeft w:val="0"/>
      <w:marRight w:val="0"/>
      <w:marTop w:val="0"/>
      <w:marBottom w:val="0"/>
      <w:divBdr>
        <w:top w:val="none" w:sz="0" w:space="0" w:color="auto"/>
        <w:left w:val="none" w:sz="0" w:space="0" w:color="auto"/>
        <w:bottom w:val="none" w:sz="0" w:space="0" w:color="auto"/>
        <w:right w:val="none" w:sz="0" w:space="0" w:color="auto"/>
      </w:divBdr>
      <w:divsChild>
        <w:div w:id="7172396">
          <w:marLeft w:val="0"/>
          <w:marRight w:val="0"/>
          <w:marTop w:val="0"/>
          <w:marBottom w:val="0"/>
          <w:divBdr>
            <w:top w:val="none" w:sz="0" w:space="0" w:color="auto"/>
            <w:left w:val="none" w:sz="0" w:space="0" w:color="auto"/>
            <w:bottom w:val="none" w:sz="0" w:space="0" w:color="auto"/>
            <w:right w:val="none" w:sz="0" w:space="0" w:color="auto"/>
          </w:divBdr>
          <w:divsChild>
            <w:div w:id="1748184087">
              <w:marLeft w:val="0"/>
              <w:marRight w:val="0"/>
              <w:marTop w:val="0"/>
              <w:marBottom w:val="0"/>
              <w:divBdr>
                <w:top w:val="none" w:sz="0" w:space="0" w:color="auto"/>
                <w:left w:val="none" w:sz="0" w:space="0" w:color="auto"/>
                <w:bottom w:val="none" w:sz="0" w:space="0" w:color="auto"/>
                <w:right w:val="none" w:sz="0" w:space="0" w:color="auto"/>
              </w:divBdr>
              <w:divsChild>
                <w:div w:id="20152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0748">
      <w:bodyDiv w:val="1"/>
      <w:marLeft w:val="0"/>
      <w:marRight w:val="0"/>
      <w:marTop w:val="0"/>
      <w:marBottom w:val="0"/>
      <w:divBdr>
        <w:top w:val="none" w:sz="0" w:space="0" w:color="auto"/>
        <w:left w:val="none" w:sz="0" w:space="0" w:color="auto"/>
        <w:bottom w:val="none" w:sz="0" w:space="0" w:color="auto"/>
        <w:right w:val="none" w:sz="0" w:space="0" w:color="auto"/>
      </w:divBdr>
    </w:div>
    <w:div w:id="1712726490">
      <w:bodyDiv w:val="1"/>
      <w:marLeft w:val="0"/>
      <w:marRight w:val="0"/>
      <w:marTop w:val="0"/>
      <w:marBottom w:val="0"/>
      <w:divBdr>
        <w:top w:val="none" w:sz="0" w:space="0" w:color="auto"/>
        <w:left w:val="none" w:sz="0" w:space="0" w:color="auto"/>
        <w:bottom w:val="none" w:sz="0" w:space="0" w:color="auto"/>
        <w:right w:val="none" w:sz="0" w:space="0" w:color="auto"/>
      </w:divBdr>
    </w:div>
    <w:div w:id="1935478676">
      <w:bodyDiv w:val="1"/>
      <w:marLeft w:val="0"/>
      <w:marRight w:val="0"/>
      <w:marTop w:val="0"/>
      <w:marBottom w:val="0"/>
      <w:divBdr>
        <w:top w:val="none" w:sz="0" w:space="0" w:color="auto"/>
        <w:left w:val="none" w:sz="0" w:space="0" w:color="auto"/>
        <w:bottom w:val="none" w:sz="0" w:space="0" w:color="auto"/>
        <w:right w:val="none" w:sz="0" w:space="0" w:color="auto"/>
      </w:divBdr>
    </w:div>
    <w:div w:id="211258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roadinstitute.org/gatk/guide/best-practi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roadinstitute.github.io/pica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fabricgenomics.com/ac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2296</Words>
  <Characters>8889</Characters>
  <Application>Microsoft Office Word</Application>
  <DocSecurity>0</DocSecurity>
  <Lines>317</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Corpas</cp:lastModifiedBy>
  <cp:revision>4</cp:revision>
  <dcterms:created xsi:type="dcterms:W3CDTF">2021-02-23T10:35:00Z</dcterms:created>
  <dcterms:modified xsi:type="dcterms:W3CDTF">2021-02-23T10:46:00Z</dcterms:modified>
</cp:coreProperties>
</file>