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776" w:tblpY="603"/>
        <w:tblW w:w="7685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738"/>
        <w:gridCol w:w="2268"/>
        <w:gridCol w:w="2260"/>
      </w:tblGrid>
      <w:tr w:rsidR="00240EDD" w:rsidRPr="00426B50" w:rsidTr="00240EDD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40EDD" w:rsidRPr="00902D85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bCs/>
                <w:sz w:val="18"/>
                <w:szCs w:val="22"/>
              </w:rPr>
            </w:pPr>
            <w:r w:rsidRPr="00902D85">
              <w:rPr>
                <w:b/>
                <w:bCs/>
                <w:sz w:val="18"/>
                <w:szCs w:val="22"/>
              </w:rPr>
              <w:t>Mutant name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40EDD" w:rsidRPr="00902D85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bCs/>
                <w:sz w:val="18"/>
                <w:szCs w:val="22"/>
              </w:rPr>
            </w:pPr>
            <w:r w:rsidRPr="00902D85">
              <w:rPr>
                <w:b/>
                <w:bCs/>
                <w:sz w:val="18"/>
                <w:szCs w:val="22"/>
              </w:rPr>
              <w:t xml:space="preserve">Mutation in V2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40EDD" w:rsidRPr="00902D85" w:rsidRDefault="00240EDD" w:rsidP="00240EDD">
            <w:pPr>
              <w:tabs>
                <w:tab w:val="left" w:pos="3402"/>
              </w:tabs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902D85">
              <w:rPr>
                <w:b/>
                <w:bCs/>
                <w:sz w:val="18"/>
                <w:szCs w:val="22"/>
              </w:rPr>
              <w:t>Primers for upstream fragment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40EDD" w:rsidRPr="00902D85" w:rsidRDefault="00240EDD" w:rsidP="00240EDD">
            <w:pPr>
              <w:tabs>
                <w:tab w:val="left" w:pos="3402"/>
              </w:tabs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902D85">
              <w:rPr>
                <w:b/>
                <w:bCs/>
                <w:sz w:val="18"/>
                <w:szCs w:val="22"/>
              </w:rPr>
              <w:t xml:space="preserve">Primers for downstream fragment </w:t>
            </w:r>
          </w:p>
        </w:tc>
      </w:tr>
      <w:tr w:rsidR="00240EDD" w:rsidRPr="00426B50" w:rsidTr="00240EDD"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V2P1A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T43A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upPBSK-lowV2P1</w:t>
            </w:r>
            <w:r>
              <w:rPr>
                <w:rFonts w:cs="Arial"/>
                <w:sz w:val="18"/>
                <w:szCs w:val="22"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upV2P1</w:t>
            </w:r>
            <w:r>
              <w:rPr>
                <w:rFonts w:cs="Arial"/>
                <w:sz w:val="18"/>
                <w:szCs w:val="22"/>
              </w:rPr>
              <w:t>A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V2P2</w:t>
            </w:r>
            <w:r>
              <w:rPr>
                <w:b/>
                <w:sz w:val="18"/>
                <w:szCs w:val="22"/>
              </w:rPr>
              <w:t>A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S72A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upPBSK-lowV2P2</w:t>
            </w:r>
            <w:r>
              <w:rPr>
                <w:rFonts w:cs="Arial"/>
                <w:sz w:val="18"/>
                <w:szCs w:val="22"/>
              </w:rPr>
              <w:t>A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upV2P2</w:t>
            </w:r>
            <w:r>
              <w:rPr>
                <w:rFonts w:cs="Arial"/>
                <w:sz w:val="18"/>
                <w:szCs w:val="22"/>
              </w:rPr>
              <w:t>A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V2P3</w:t>
            </w:r>
            <w:r>
              <w:rPr>
                <w:b/>
                <w:sz w:val="18"/>
                <w:szCs w:val="22"/>
              </w:rPr>
              <w:t>AA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S92A/S93A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upPBSK-lowV2P3</w:t>
            </w:r>
            <w:r>
              <w:rPr>
                <w:rFonts w:cs="Arial"/>
                <w:sz w:val="18"/>
                <w:szCs w:val="22"/>
              </w:rPr>
              <w:t>AA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upV2P3</w:t>
            </w:r>
            <w:r>
              <w:rPr>
                <w:rFonts w:cs="Arial"/>
                <w:sz w:val="18"/>
                <w:szCs w:val="22"/>
              </w:rPr>
              <w:t>AA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V2H1</w:t>
            </w:r>
            <w:r>
              <w:rPr>
                <w:b/>
                <w:sz w:val="18"/>
                <w:szCs w:val="22"/>
              </w:rPr>
              <w:t>GG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L17G/V19G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upPBSK-lowV2H1</w:t>
            </w:r>
            <w:r>
              <w:rPr>
                <w:rFonts w:cs="Arial"/>
                <w:sz w:val="18"/>
                <w:szCs w:val="22"/>
              </w:rPr>
              <w:t>GG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upV2H</w:t>
            </w:r>
            <w:r>
              <w:rPr>
                <w:rFonts w:cs="Arial"/>
                <w:sz w:val="18"/>
                <w:szCs w:val="22"/>
              </w:rPr>
              <w:t>1GG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V2H1</w:t>
            </w:r>
            <w:r>
              <w:rPr>
                <w:b/>
                <w:sz w:val="18"/>
                <w:szCs w:val="22"/>
              </w:rPr>
              <w:t>EE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L17E/V19E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upPBSK-lowV2H1</w:t>
            </w:r>
            <w:r>
              <w:rPr>
                <w:rFonts w:cs="Arial"/>
                <w:sz w:val="18"/>
                <w:szCs w:val="22"/>
              </w:rPr>
              <w:t>EE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upV2H1</w:t>
            </w:r>
            <w:r>
              <w:rPr>
                <w:rFonts w:cs="Arial"/>
                <w:sz w:val="18"/>
                <w:szCs w:val="22"/>
              </w:rPr>
              <w:t>EE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V2H2</w:t>
            </w:r>
            <w:r>
              <w:rPr>
                <w:b/>
                <w:sz w:val="18"/>
                <w:szCs w:val="22"/>
              </w:rPr>
              <w:t>GG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I32G/I35G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upPBSK-lowV2H2</w:t>
            </w:r>
            <w:r>
              <w:rPr>
                <w:rFonts w:cs="Arial"/>
                <w:sz w:val="18"/>
                <w:szCs w:val="22"/>
              </w:rPr>
              <w:t>GG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upV2H2</w:t>
            </w:r>
            <w:r>
              <w:rPr>
                <w:rFonts w:cs="Arial"/>
                <w:sz w:val="18"/>
                <w:szCs w:val="22"/>
              </w:rPr>
              <w:t>GG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V2H2</w:t>
            </w:r>
            <w:r>
              <w:rPr>
                <w:b/>
                <w:sz w:val="18"/>
                <w:szCs w:val="22"/>
              </w:rPr>
              <w:t>EE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I32E/I35E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upPBSK-lowV2H2</w:t>
            </w:r>
            <w:r>
              <w:rPr>
                <w:rFonts w:cs="Arial"/>
                <w:sz w:val="18"/>
                <w:szCs w:val="22"/>
              </w:rPr>
              <w:t>EE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upV2H2</w:t>
            </w:r>
            <w:r>
              <w:rPr>
                <w:rFonts w:cs="Arial"/>
                <w:sz w:val="18"/>
                <w:szCs w:val="22"/>
              </w:rPr>
              <w:t>EE</w:t>
            </w:r>
            <w:r w:rsidRPr="00426B50">
              <w:rPr>
                <w:rFonts w:cs="Arial"/>
                <w:sz w:val="18"/>
                <w:szCs w:val="22"/>
              </w:rPr>
              <w:t>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  <w:r w:rsidRPr="00426B50">
              <w:rPr>
                <w:b/>
                <w:sz w:val="18"/>
                <w:szCs w:val="22"/>
              </w:rPr>
              <w:t>V2stop</w:t>
            </w: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Stop signal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426B50">
              <w:rPr>
                <w:rFonts w:cs="Arial"/>
                <w:sz w:val="18"/>
                <w:szCs w:val="22"/>
              </w:rPr>
              <w:t xml:space="preserve">(*) </w:t>
            </w: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upPBSK-lowV2stop</w:t>
            </w: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sz w:val="18"/>
                <w:szCs w:val="22"/>
              </w:rPr>
            </w:pPr>
            <w:r w:rsidRPr="00426B50">
              <w:rPr>
                <w:rFonts w:cs="Arial"/>
                <w:sz w:val="18"/>
                <w:szCs w:val="22"/>
              </w:rPr>
              <w:t>upV2stop-lowPBSK</w:t>
            </w:r>
          </w:p>
        </w:tc>
      </w:tr>
      <w:tr w:rsidR="00240EDD" w:rsidRPr="00426B50" w:rsidTr="00240EDD">
        <w:tc>
          <w:tcPr>
            <w:tcW w:w="1419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b/>
                <w:sz w:val="18"/>
                <w:szCs w:val="22"/>
              </w:rPr>
            </w:pPr>
          </w:p>
        </w:tc>
        <w:tc>
          <w:tcPr>
            <w:tcW w:w="173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240EDD" w:rsidRPr="00426B50" w:rsidRDefault="00240EDD" w:rsidP="00240EDD">
            <w:pPr>
              <w:tabs>
                <w:tab w:val="left" w:pos="3402"/>
              </w:tabs>
              <w:spacing w:line="240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</w:tbl>
    <w:p w:rsidR="0088077D" w:rsidRDefault="0088077D"/>
    <w:p w:rsidR="00240EDD" w:rsidRDefault="00240EDD"/>
    <w:p w:rsidR="00240EDD" w:rsidRPr="00240EDD" w:rsidRDefault="00240EDD" w:rsidP="00240EDD"/>
    <w:p w:rsidR="00240EDD" w:rsidRPr="00240EDD" w:rsidRDefault="00240EDD" w:rsidP="00240EDD"/>
    <w:p w:rsidR="00240EDD" w:rsidRPr="00240EDD" w:rsidRDefault="00240EDD" w:rsidP="00240EDD"/>
    <w:p w:rsidR="00240EDD" w:rsidRPr="00240EDD" w:rsidRDefault="00240EDD" w:rsidP="00240EDD"/>
    <w:p w:rsidR="00240EDD" w:rsidRDefault="00240EDD" w:rsidP="00240EDD"/>
    <w:p w:rsidR="00240EDD" w:rsidRDefault="00240EDD" w:rsidP="00240EDD"/>
    <w:p w:rsidR="00240EDD" w:rsidRDefault="00240EDD" w:rsidP="00240EDD"/>
    <w:p w:rsidR="00240EDD" w:rsidRPr="00902D85" w:rsidRDefault="00240EDD" w:rsidP="00240EDD">
      <w:pPr>
        <w:spacing w:line="240" w:lineRule="auto"/>
        <w:rPr>
          <w:sz w:val="20"/>
          <w:szCs w:val="20"/>
        </w:rPr>
      </w:pPr>
      <w:r w:rsidRPr="00A00D2D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S3</w:t>
      </w:r>
      <w:r w:rsidRPr="00A00D2D">
        <w:rPr>
          <w:b/>
          <w:sz w:val="20"/>
          <w:szCs w:val="22"/>
        </w:rPr>
        <w:t xml:space="preserve">. </w:t>
      </w:r>
      <w:r>
        <w:rPr>
          <w:b/>
          <w:sz w:val="20"/>
          <w:szCs w:val="22"/>
        </w:rPr>
        <w:t xml:space="preserve">Generation of mutated BCTV V2 ORFs: </w:t>
      </w:r>
      <w:r>
        <w:rPr>
          <w:sz w:val="20"/>
          <w:szCs w:val="22"/>
        </w:rPr>
        <w:t xml:space="preserve">primers used for the generation of BCTV V2 mutants by </w:t>
      </w:r>
      <w:r w:rsidRPr="003268F2">
        <w:rPr>
          <w:sz w:val="20"/>
          <w:szCs w:val="22"/>
        </w:rPr>
        <w:t>two-sided splicing by over-lap extension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 ADDIN EN.CITE &lt;EndNote&gt;&lt;Cite&gt;&lt;Author&gt;Ho&lt;/Author&gt;&lt;Year&gt;1989&lt;/Year&gt;&lt;RecNum&gt;3185&lt;/RecNum&gt;&lt;record&gt;&lt;rec-number&gt;3185&lt;/rec-number&gt;&lt;foreign-keys&gt;&lt;key app="EN" db-id="przwdxer3p5tsyerev3xt2dhssdvtvexpvz2"&gt;3185&lt;/key&gt;&lt;/foreign-keys&gt;&lt;ref-type name="Journal Article"&gt;17&lt;/ref-type&gt;&lt;contributors&gt;&lt;authors&gt;&lt;author&gt;Ho, Steffan N.&lt;/author&gt;&lt;author&gt;Hunt, Henry D.&lt;/author&gt;&lt;author&gt;Horton, Robert M.&lt;/author&gt;&lt;author&gt;Pullen, Jeffrey K.&lt;/author&gt;&lt;author&gt;Pease, Larry R.&lt;/author&gt;&lt;/authors&gt;&lt;/contributors&gt;&lt;titles&gt;&lt;title&gt;Site-directed mutagenesis by overlap extension using the polymerase chain reaction&lt;/title&gt;&lt;secondary-title&gt;Gene&lt;/secondary-title&gt;&lt;/titles&gt;&lt;periodical&gt;&lt;full-title&gt;Gene&lt;/full-title&gt;&lt;/periodical&gt;&lt;pages&gt;51-59&lt;/pages&gt;&lt;volume&gt;77&lt;/volume&gt;&lt;number&gt;1&lt;/number&gt;&lt;keywords&gt;&lt;keyword&gt;Genetic engineering&lt;/keyword&gt;&lt;keyword&gt;sequencing&lt;/keyword&gt;&lt;keyword&gt;recombinant DNA&lt;/keyword&gt;&lt;keyword&gt;Taq polymerase&lt;/keyword&gt;&lt;keyword&gt;oligodeoxyribonucleotide primers&lt;/keyword&gt;&lt;keyword&gt;major histocompatibility complex mutants&lt;/keyword&gt;&lt;/keywords&gt;&lt;dates&gt;&lt;year&gt;1989&lt;/year&gt;&lt;/dates&gt;&lt;isbn&gt;0378-1119&lt;/isbn&gt;&lt;urls&gt;&lt;related-urls&gt;&lt;url&gt;http://www.sciencedirect.com/science/article/pii/0378111989903582&lt;/url&gt;&lt;/related-urls&gt;&lt;/urls&gt;&lt;/record&gt;&lt;/Cite&gt;&lt;/EndNote&gt;</w:instrText>
      </w:r>
      <w:r>
        <w:rPr>
          <w:sz w:val="20"/>
          <w:szCs w:val="22"/>
        </w:rPr>
        <w:fldChar w:fldCharType="separate"/>
      </w:r>
      <w:r>
        <w:rPr>
          <w:noProof/>
          <w:sz w:val="20"/>
          <w:szCs w:val="22"/>
        </w:rPr>
        <w:t xml:space="preserve">(Ho </w:t>
      </w:r>
      <w:r w:rsidRPr="00AF6E74">
        <w:rPr>
          <w:iCs/>
          <w:noProof/>
          <w:sz w:val="20"/>
          <w:szCs w:val="22"/>
        </w:rPr>
        <w:t>et al</w:t>
      </w:r>
      <w:r w:rsidR="00AF6E74">
        <w:rPr>
          <w:iCs/>
          <w:noProof/>
          <w:sz w:val="20"/>
          <w:szCs w:val="22"/>
        </w:rPr>
        <w:t>.</w:t>
      </w:r>
      <w:r w:rsidRPr="00AF6E74">
        <w:rPr>
          <w:iCs/>
          <w:noProof/>
          <w:sz w:val="20"/>
          <w:szCs w:val="22"/>
        </w:rPr>
        <w:t>,</w:t>
      </w:r>
      <w:r>
        <w:rPr>
          <w:noProof/>
          <w:sz w:val="20"/>
          <w:szCs w:val="22"/>
        </w:rPr>
        <w:t xml:space="preserve"> 1989</w:t>
      </w:r>
      <w:r w:rsidR="00AF6E74">
        <w:rPr>
          <w:noProof/>
          <w:sz w:val="20"/>
          <w:szCs w:val="22"/>
        </w:rPr>
        <w:t xml:space="preserve"> doi: </w:t>
      </w:r>
      <w:r w:rsidR="00AF6E74" w:rsidRPr="00AF6E74">
        <w:rPr>
          <w:noProof/>
          <w:sz w:val="20"/>
          <w:szCs w:val="22"/>
        </w:rPr>
        <w:t>10.1016/0378-1119(89)90358-2</w:t>
      </w:r>
      <w:r>
        <w:rPr>
          <w:noProof/>
          <w:sz w:val="20"/>
          <w:szCs w:val="22"/>
        </w:rPr>
        <w:t>)</w:t>
      </w:r>
      <w:r>
        <w:rPr>
          <w:sz w:val="20"/>
          <w:szCs w:val="22"/>
        </w:rPr>
        <w:fldChar w:fldCharType="end"/>
      </w:r>
      <w:r>
        <w:rPr>
          <w:sz w:val="20"/>
          <w:szCs w:val="22"/>
        </w:rPr>
        <w:t>. F</w:t>
      </w:r>
      <w:r w:rsidRPr="003268F2">
        <w:rPr>
          <w:sz w:val="20"/>
          <w:szCs w:val="22"/>
        </w:rPr>
        <w:t xml:space="preserve">or each mutant, two PCR amplifications were performed using pV2BC as a template to generate fragments flanking the codons to be substituted (upstream and downstream) </w:t>
      </w:r>
      <w:r>
        <w:rPr>
          <w:sz w:val="20"/>
          <w:szCs w:val="22"/>
        </w:rPr>
        <w:t>with</w:t>
      </w:r>
      <w:r w:rsidRPr="003268F2">
        <w:rPr>
          <w:sz w:val="20"/>
          <w:szCs w:val="22"/>
        </w:rPr>
        <w:t xml:space="preserve"> the primers d</w:t>
      </w:r>
      <w:r>
        <w:rPr>
          <w:sz w:val="20"/>
          <w:szCs w:val="22"/>
        </w:rPr>
        <w:t xml:space="preserve">escribed here. </w:t>
      </w:r>
      <w:r w:rsidRPr="003268F2">
        <w:rPr>
          <w:sz w:val="20"/>
          <w:szCs w:val="22"/>
        </w:rPr>
        <w:t xml:space="preserve">Once the two fragments for each mutant were </w:t>
      </w:r>
      <w:r w:rsidRPr="00BF25E6">
        <w:rPr>
          <w:sz w:val="20"/>
          <w:szCs w:val="20"/>
        </w:rPr>
        <w:t>obtained, these were used as template DNA for a new PCR amplification without primers and a final amplification with external primers. (*): An AT dinucleotide was inserted, after nucleotide 395 in BCTV genome (</w:t>
      </w:r>
      <w:r w:rsidRPr="00902D85">
        <w:rPr>
          <w:sz w:val="20"/>
          <w:szCs w:val="20"/>
        </w:rPr>
        <w:t xml:space="preserve">Accession number: </w:t>
      </w:r>
      <w:r w:rsidRPr="00902D85">
        <w:rPr>
          <w:rFonts w:cs="Arial"/>
          <w:sz w:val="20"/>
          <w:szCs w:val="20"/>
          <w:lang w:val="en-US"/>
        </w:rPr>
        <w:t>M24597)</w:t>
      </w:r>
      <w:r w:rsidRPr="00BF25E6">
        <w:rPr>
          <w:sz w:val="20"/>
          <w:szCs w:val="20"/>
        </w:rPr>
        <w:t>, producing a premature stop signal and a truncated V2 protein of 17</w:t>
      </w:r>
      <w:r w:rsidRPr="00902D85">
        <w:rPr>
          <w:sz w:val="20"/>
          <w:szCs w:val="20"/>
        </w:rPr>
        <w:t xml:space="preserve"> aa.</w:t>
      </w:r>
    </w:p>
    <w:p w:rsidR="00240EDD" w:rsidRPr="00240EDD" w:rsidRDefault="00240EDD" w:rsidP="00240EDD">
      <w:bookmarkStart w:id="0" w:name="_GoBack"/>
      <w:bookmarkEnd w:id="0"/>
    </w:p>
    <w:sectPr w:rsidR="00240EDD" w:rsidRPr="00240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DD"/>
    <w:rsid w:val="00240EDD"/>
    <w:rsid w:val="0088077D"/>
    <w:rsid w:val="00A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38BD"/>
  <w15:chartTrackingRefBased/>
  <w15:docId w15:val="{DF9CE80F-C58A-4896-9C4D-929A6B0E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D"/>
    <w:pPr>
      <w:widowControl w:val="0"/>
      <w:suppressAutoHyphens/>
      <w:spacing w:before="120" w:after="0" w:line="360" w:lineRule="auto"/>
      <w:jc w:val="both"/>
    </w:pPr>
    <w:rPr>
      <w:rFonts w:ascii="Arial" w:eastAsia="Times" w:hAnsi="Arial" w:cs="Cambria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Ana_Luna</dc:creator>
  <cp:keywords/>
  <dc:description/>
  <cp:lastModifiedBy>beatriz romero rodriguez</cp:lastModifiedBy>
  <cp:revision>2</cp:revision>
  <dcterms:created xsi:type="dcterms:W3CDTF">2020-06-08T14:38:00Z</dcterms:created>
  <dcterms:modified xsi:type="dcterms:W3CDTF">2020-06-08T14:38:00Z</dcterms:modified>
</cp:coreProperties>
</file>