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77777777" w:rsidR="00994A3D" w:rsidRPr="00994A3D" w:rsidRDefault="00654E8F" w:rsidP="0001436A">
      <w:pPr>
        <w:pStyle w:val="Cmsor1"/>
      </w:pPr>
      <w:r w:rsidRPr="00994A3D">
        <w:t>Supplementary Figures and Tables</w:t>
      </w:r>
    </w:p>
    <w:p w14:paraId="63D7C2B0" w14:textId="77777777" w:rsidR="00994A3D" w:rsidRPr="001549D3" w:rsidRDefault="00994A3D" w:rsidP="0001436A">
      <w:pPr>
        <w:pStyle w:val="Cmsor2"/>
      </w:pPr>
      <w:r w:rsidRPr="0001436A">
        <w:t>Supplementary</w:t>
      </w:r>
      <w:r w:rsidRPr="001549D3">
        <w:t xml:space="preserve"> Figures</w:t>
      </w:r>
    </w:p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C419443" w14:textId="62E323CE" w:rsidR="00994A3D" w:rsidRPr="001549D3" w:rsidRDefault="00E509E3" w:rsidP="00994A3D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val="hu-HU" w:eastAsia="hu-HU"/>
        </w:rPr>
        <w:drawing>
          <wp:inline distT="0" distB="0" distL="0" distR="0" wp14:anchorId="3EE1821C" wp14:editId="0D00EA95">
            <wp:extent cx="6208395" cy="4719955"/>
            <wp:effectExtent l="0" t="0" r="1905" b="444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ementaryFigure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471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BC28D" w14:textId="77777777" w:rsidR="00E509E3" w:rsidRPr="00E509E3" w:rsidRDefault="00994A3D" w:rsidP="00E509E3">
      <w:pPr>
        <w:jc w:val="both"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E509E3" w:rsidRPr="00E509E3">
        <w:rPr>
          <w:rFonts w:cs="Times New Roman"/>
          <w:b/>
          <w:szCs w:val="24"/>
        </w:rPr>
        <w:t>Illumina read depth along the African swine fever virus genome</w:t>
      </w:r>
      <w:r w:rsidR="00E509E3" w:rsidRPr="00E509E3">
        <w:rPr>
          <w:rFonts w:cs="Times New Roman"/>
          <w:szCs w:val="24"/>
        </w:rPr>
        <w:t xml:space="preserve"> (MN715134.1). The G+C content of the virus is also shown at the bottom of the figure. </w:t>
      </w:r>
    </w:p>
    <w:p w14:paraId="3AE196DF" w14:textId="195C7CC8" w:rsidR="00994A3D" w:rsidRDefault="00994A3D" w:rsidP="002B4A57">
      <w:pPr>
        <w:keepNext/>
        <w:rPr>
          <w:rFonts w:cs="Times New Roman"/>
          <w:b/>
          <w:szCs w:val="24"/>
        </w:rPr>
      </w:pPr>
    </w:p>
    <w:p w14:paraId="699C5B4D" w14:textId="46F8CFF8" w:rsidR="00E509E3" w:rsidRPr="002B4A57" w:rsidRDefault="00E509E3" w:rsidP="002B4A57"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val="hu-HU" w:eastAsia="hu-HU"/>
        </w:rPr>
        <w:drawing>
          <wp:inline distT="0" distB="0" distL="0" distR="0" wp14:anchorId="524F3DC0" wp14:editId="4AA6DF66">
            <wp:extent cx="6208395" cy="5544185"/>
            <wp:effectExtent l="0" t="0" r="190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pplementaryFigure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554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5BC41" w14:textId="618E4100" w:rsidR="00DE23E8" w:rsidRDefault="00E509E3" w:rsidP="00E509E3">
      <w:pPr>
        <w:spacing w:before="240"/>
        <w:jc w:val="both"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E509E3">
        <w:rPr>
          <w:rFonts w:cs="Times New Roman"/>
          <w:b/>
          <w:szCs w:val="24"/>
        </w:rPr>
        <w:t>Total RNA analysis was conducted using the TapeStation 4150 system.</w:t>
      </w:r>
      <w:r w:rsidRPr="00E509E3">
        <w:rPr>
          <w:rFonts w:cs="Times New Roman"/>
          <w:szCs w:val="24"/>
        </w:rPr>
        <w:t xml:space="preserve"> High quality [RNA integrity number (RIN) = 9.4–9.7]. RNA samples were used for sequencing. (a) ScreenTape gel image shows the separation profile of two total RNA samples (Animal #1 8 h and Animal #2 12 h) along with the RINs. Panels (b) and (c) show representative electropherograms of total RNA from Animal #1 8 h and Animal #2 12 h, respectively. The electropherograms show ribosomal 28S and 18S RNA peaks and the lower marker.</w:t>
      </w:r>
    </w:p>
    <w:p w14:paraId="29608A2C" w14:textId="77777777" w:rsidR="00E509E3" w:rsidRDefault="00E509E3" w:rsidP="00E509E3">
      <w:pPr>
        <w:spacing w:before="240"/>
        <w:jc w:val="both"/>
        <w:rPr>
          <w:rFonts w:cs="Times New Roman"/>
          <w:szCs w:val="24"/>
        </w:rPr>
      </w:pPr>
    </w:p>
    <w:p w14:paraId="36B64B4C" w14:textId="77777777" w:rsidR="00E509E3" w:rsidRDefault="00E509E3" w:rsidP="00E509E3">
      <w:pPr>
        <w:spacing w:before="240"/>
        <w:jc w:val="both"/>
        <w:rPr>
          <w:rFonts w:cs="Times New Roman"/>
          <w:szCs w:val="24"/>
        </w:rPr>
      </w:pPr>
    </w:p>
    <w:p w14:paraId="0A736393" w14:textId="77777777" w:rsidR="00E509E3" w:rsidRDefault="00E509E3" w:rsidP="00E509E3">
      <w:pPr>
        <w:spacing w:before="240"/>
        <w:jc w:val="both"/>
        <w:rPr>
          <w:rFonts w:cs="Times New Roman"/>
          <w:szCs w:val="24"/>
        </w:rPr>
      </w:pPr>
    </w:p>
    <w:p w14:paraId="5C055A30" w14:textId="4567B5CD" w:rsidR="00E509E3" w:rsidRPr="0030023B" w:rsidRDefault="00E509E3" w:rsidP="00E509E3">
      <w:pPr>
        <w:pStyle w:val="Cmsor2"/>
      </w:pPr>
      <w:r w:rsidRPr="0030023B">
        <w:lastRenderedPageBreak/>
        <w:t>Supplementary Tables</w:t>
      </w:r>
    </w:p>
    <w:p w14:paraId="2A0D9B34" w14:textId="241513D5" w:rsidR="00A01DFC" w:rsidRPr="002B1848" w:rsidRDefault="00E509E3" w:rsidP="00E509E3">
      <w:pPr>
        <w:jc w:val="both"/>
        <w:rPr>
          <w:color w:val="000000" w:themeColor="text1"/>
          <w:szCs w:val="24"/>
          <w:shd w:val="clear" w:color="auto" w:fill="FFFFFF"/>
        </w:rPr>
      </w:pPr>
      <w:r w:rsidRPr="0030023B">
        <w:rPr>
          <w:b/>
          <w:szCs w:val="24"/>
        </w:rPr>
        <w:t>Supplementary Table 1. Detailed statistics of the Nanopore sequencing reads mapped to the African swine fever virus genome for each run</w:t>
      </w:r>
      <w:r w:rsidR="00D67B0D" w:rsidRPr="0030023B">
        <w:rPr>
          <w:b/>
          <w:szCs w:val="24"/>
        </w:rPr>
        <w:t>.</w:t>
      </w:r>
      <w:r w:rsidR="00D67B0D" w:rsidRPr="00CD71EF">
        <w:rPr>
          <w:b/>
          <w:color w:val="0070C0"/>
          <w:szCs w:val="24"/>
        </w:rPr>
        <w:t xml:space="preserve"> </w:t>
      </w:r>
      <w:r w:rsidR="00A63E99" w:rsidRPr="002B1848">
        <w:rPr>
          <w:color w:val="000000" w:themeColor="text1"/>
          <w:szCs w:val="24"/>
          <w:shd w:val="clear" w:color="auto" w:fill="FFFFFF"/>
        </w:rPr>
        <w:t xml:space="preserve">In this study, we generated full-length transcripts of </w:t>
      </w:r>
      <w:r w:rsidR="00A74627" w:rsidRPr="002B1848">
        <w:rPr>
          <w:color w:val="000000" w:themeColor="text1"/>
          <w:szCs w:val="24"/>
          <w:shd w:val="clear" w:color="auto" w:fill="FFFFFF"/>
        </w:rPr>
        <w:t>ASFV</w:t>
      </w:r>
      <w:r w:rsidR="00D67B0D" w:rsidRPr="002B1848">
        <w:rPr>
          <w:color w:val="000000" w:themeColor="text1"/>
          <w:szCs w:val="24"/>
          <w:shd w:val="clear" w:color="auto" w:fill="FFFFFF"/>
        </w:rPr>
        <w:t xml:space="preserve">. The utilized nanopore-based cDNA </w:t>
      </w:r>
      <w:r w:rsidR="00D82BB2">
        <w:rPr>
          <w:color w:val="000000" w:themeColor="text1"/>
          <w:szCs w:val="24"/>
          <w:shd w:val="clear" w:color="auto" w:fill="FFFFFF"/>
        </w:rPr>
        <w:t xml:space="preserve">sequencing approaches yielded </w:t>
      </w:r>
      <w:r w:rsidR="00D82BB2" w:rsidRPr="00D82BB2">
        <w:rPr>
          <w:color w:val="0070C0"/>
          <w:szCs w:val="24"/>
          <w:shd w:val="clear" w:color="auto" w:fill="FFFFFF"/>
        </w:rPr>
        <w:t>20</w:t>
      </w:r>
      <w:r w:rsidR="00D67B0D" w:rsidRPr="00D82BB2">
        <w:rPr>
          <w:color w:val="0070C0"/>
          <w:szCs w:val="24"/>
          <w:shd w:val="clear" w:color="auto" w:fill="FFFFFF"/>
        </w:rPr>
        <w:t>,</w:t>
      </w:r>
      <w:r w:rsidR="00D82BB2" w:rsidRPr="00D82BB2">
        <w:rPr>
          <w:color w:val="0070C0"/>
          <w:szCs w:val="24"/>
          <w:shd w:val="clear" w:color="auto" w:fill="FFFFFF"/>
        </w:rPr>
        <w:t>021</w:t>
      </w:r>
      <w:r w:rsidR="00D67B0D" w:rsidRPr="00D82BB2">
        <w:rPr>
          <w:color w:val="0070C0"/>
          <w:szCs w:val="24"/>
          <w:shd w:val="clear" w:color="auto" w:fill="FFFFFF"/>
        </w:rPr>
        <w:t>,</w:t>
      </w:r>
      <w:r w:rsidR="00D82BB2" w:rsidRPr="00D82BB2">
        <w:rPr>
          <w:color w:val="0070C0"/>
          <w:szCs w:val="24"/>
          <w:shd w:val="clear" w:color="auto" w:fill="FFFFFF"/>
        </w:rPr>
        <w:t>413</w:t>
      </w:r>
      <w:r w:rsidR="00D67B0D" w:rsidRPr="00D82BB2">
        <w:rPr>
          <w:color w:val="0070C0"/>
          <w:szCs w:val="24"/>
          <w:shd w:val="clear" w:color="auto" w:fill="FFFFFF"/>
        </w:rPr>
        <w:t xml:space="preserve"> </w:t>
      </w:r>
      <w:r w:rsidR="00D67B0D" w:rsidRPr="002B1848">
        <w:rPr>
          <w:color w:val="000000" w:themeColor="text1"/>
          <w:szCs w:val="24"/>
          <w:shd w:val="clear" w:color="auto" w:fill="FFFFFF"/>
        </w:rPr>
        <w:t xml:space="preserve">reads, </w:t>
      </w:r>
      <w:bookmarkStart w:id="0" w:name="_GoBack"/>
      <w:r w:rsidR="00BF3F87" w:rsidRPr="00BF3F87">
        <w:rPr>
          <w:color w:val="0070C0"/>
          <w:szCs w:val="24"/>
          <w:shd w:val="clear" w:color="auto" w:fill="FFFFFF"/>
        </w:rPr>
        <w:t>14,538,950</w:t>
      </w:r>
      <w:r w:rsidR="00C24D77" w:rsidRPr="00BF3F87">
        <w:rPr>
          <w:color w:val="0070C0"/>
          <w:szCs w:val="24"/>
          <w:shd w:val="clear" w:color="auto" w:fill="FFFFFF"/>
        </w:rPr>
        <w:t xml:space="preserve"> </w:t>
      </w:r>
      <w:bookmarkEnd w:id="0"/>
      <w:r w:rsidR="00134E69" w:rsidRPr="002B1848">
        <w:rPr>
          <w:color w:val="000000" w:themeColor="text1"/>
          <w:szCs w:val="24"/>
          <w:shd w:val="clear" w:color="auto" w:fill="FFFFFF"/>
        </w:rPr>
        <w:t>of</w:t>
      </w:r>
      <w:r w:rsidR="00D67B0D" w:rsidRPr="002B1848">
        <w:rPr>
          <w:color w:val="000000" w:themeColor="text1"/>
          <w:szCs w:val="24"/>
          <w:shd w:val="clear" w:color="auto" w:fill="FFFFFF"/>
        </w:rPr>
        <w:t xml:space="preserve"> which </w:t>
      </w:r>
      <w:r w:rsidR="00134E69" w:rsidRPr="002B1848">
        <w:rPr>
          <w:color w:val="000000" w:themeColor="text1"/>
          <w:szCs w:val="24"/>
          <w:shd w:val="clear" w:color="auto" w:fill="FFFFFF"/>
        </w:rPr>
        <w:t>were</w:t>
      </w:r>
      <w:r w:rsidR="00D67B0D" w:rsidRPr="002B1848">
        <w:rPr>
          <w:color w:val="000000" w:themeColor="text1"/>
          <w:szCs w:val="24"/>
          <w:shd w:val="clear" w:color="auto" w:fill="FFFFFF"/>
        </w:rPr>
        <w:t xml:space="preserve"> </w:t>
      </w:r>
      <w:r w:rsidR="00C24D77" w:rsidRPr="002B1848">
        <w:rPr>
          <w:color w:val="000000" w:themeColor="text1"/>
          <w:szCs w:val="24"/>
          <w:shd w:val="clear" w:color="auto" w:fill="FFFFFF"/>
        </w:rPr>
        <w:t>generated</w:t>
      </w:r>
      <w:r w:rsidR="00D67B0D" w:rsidRPr="002B1848">
        <w:rPr>
          <w:color w:val="000000" w:themeColor="text1"/>
          <w:szCs w:val="24"/>
          <w:shd w:val="clear" w:color="auto" w:fill="FFFFFF"/>
        </w:rPr>
        <w:t xml:space="preserve"> </w:t>
      </w:r>
      <w:r w:rsidR="00134E69" w:rsidRPr="002B1848">
        <w:rPr>
          <w:color w:val="000000" w:themeColor="text1"/>
          <w:szCs w:val="24"/>
          <w:shd w:val="clear" w:color="auto" w:fill="FFFFFF"/>
        </w:rPr>
        <w:t>by</w:t>
      </w:r>
      <w:r w:rsidR="00D67B0D" w:rsidRPr="002B1848">
        <w:rPr>
          <w:color w:val="000000" w:themeColor="text1"/>
          <w:szCs w:val="24"/>
          <w:shd w:val="clear" w:color="auto" w:fill="FFFFFF"/>
        </w:rPr>
        <w:t xml:space="preserve"> </w:t>
      </w:r>
      <w:r w:rsidR="00134E69" w:rsidRPr="002B1848">
        <w:rPr>
          <w:color w:val="000000" w:themeColor="text1"/>
          <w:szCs w:val="24"/>
          <w:shd w:val="clear" w:color="auto" w:fill="FFFFFF"/>
        </w:rPr>
        <w:t xml:space="preserve">the </w:t>
      </w:r>
      <w:r w:rsidR="00D67B0D" w:rsidRPr="002B1848">
        <w:rPr>
          <w:color w:val="000000" w:themeColor="text1"/>
          <w:szCs w:val="24"/>
          <w:shd w:val="clear" w:color="auto" w:fill="FFFFFF"/>
        </w:rPr>
        <w:t>amplified library preparation</w:t>
      </w:r>
      <w:r w:rsidR="00EC3EC6" w:rsidRPr="002B1848">
        <w:rPr>
          <w:color w:val="000000" w:themeColor="text1"/>
          <w:szCs w:val="24"/>
          <w:shd w:val="clear" w:color="auto" w:fill="FFFFFF"/>
        </w:rPr>
        <w:t xml:space="preserve"> protocol</w:t>
      </w:r>
      <w:r w:rsidR="00D67B0D" w:rsidRPr="002B1848">
        <w:rPr>
          <w:color w:val="000000" w:themeColor="text1"/>
          <w:szCs w:val="24"/>
          <w:shd w:val="clear" w:color="auto" w:fill="FFFFFF"/>
        </w:rPr>
        <w:t xml:space="preserve">. The ratio of viral transcripts (mapped reads) </w:t>
      </w:r>
      <w:r w:rsidR="003F22EC" w:rsidRPr="002B1848">
        <w:rPr>
          <w:color w:val="000000" w:themeColor="text1"/>
          <w:szCs w:val="24"/>
          <w:shd w:val="clear" w:color="auto" w:fill="FFFFFF"/>
        </w:rPr>
        <w:t>fell</w:t>
      </w:r>
      <w:r w:rsidR="00D67B0D" w:rsidRPr="002B1848">
        <w:rPr>
          <w:color w:val="000000" w:themeColor="text1"/>
          <w:szCs w:val="24"/>
          <w:shd w:val="clear" w:color="auto" w:fill="FFFFFF"/>
        </w:rPr>
        <w:t xml:space="preserve"> between 0.23-0.68%</w:t>
      </w:r>
      <w:r w:rsidR="003F22EC" w:rsidRPr="002B1848">
        <w:rPr>
          <w:color w:val="000000" w:themeColor="text1"/>
          <w:szCs w:val="24"/>
          <w:shd w:val="clear" w:color="auto" w:fill="FFFFFF"/>
        </w:rPr>
        <w:t>,</w:t>
      </w:r>
      <w:r w:rsidR="00D67B0D" w:rsidRPr="002B1848">
        <w:rPr>
          <w:color w:val="000000" w:themeColor="text1"/>
          <w:szCs w:val="24"/>
          <w:shd w:val="clear" w:color="auto" w:fill="FFFFFF"/>
        </w:rPr>
        <w:t xml:space="preserve"> which </w:t>
      </w:r>
      <w:r w:rsidR="00A95C43" w:rsidRPr="002B1848">
        <w:rPr>
          <w:color w:val="000000" w:themeColor="text1"/>
          <w:szCs w:val="24"/>
          <w:shd w:val="clear" w:color="auto" w:fill="FFFFFF"/>
        </w:rPr>
        <w:t>was</w:t>
      </w:r>
      <w:r w:rsidR="003F22EC" w:rsidRPr="002B1848">
        <w:rPr>
          <w:color w:val="000000" w:themeColor="text1"/>
          <w:szCs w:val="24"/>
          <w:shd w:val="clear" w:color="auto" w:fill="FFFFFF"/>
        </w:rPr>
        <w:t xml:space="preserve"> </w:t>
      </w:r>
      <w:r w:rsidR="0028556D" w:rsidRPr="002B1848">
        <w:rPr>
          <w:color w:val="000000" w:themeColor="text1"/>
          <w:szCs w:val="24"/>
          <w:shd w:val="clear" w:color="auto" w:fill="FFFFFF"/>
        </w:rPr>
        <w:t>dependent</w:t>
      </w:r>
      <w:r w:rsidR="00D67B0D" w:rsidRPr="002B1848">
        <w:rPr>
          <w:color w:val="000000" w:themeColor="text1"/>
          <w:szCs w:val="24"/>
          <w:shd w:val="clear" w:color="auto" w:fill="FFFFFF"/>
        </w:rPr>
        <w:t xml:space="preserve"> on the stage of the viral life cycle at the examination period</w:t>
      </w:r>
      <w:r w:rsidR="003F22EC" w:rsidRPr="002B1848">
        <w:rPr>
          <w:color w:val="000000" w:themeColor="text1"/>
          <w:szCs w:val="24"/>
          <w:shd w:val="clear" w:color="auto" w:fill="FFFFFF"/>
        </w:rPr>
        <w:t>,</w:t>
      </w:r>
      <w:r w:rsidR="00D67B0D" w:rsidRPr="002B1848">
        <w:rPr>
          <w:color w:val="000000" w:themeColor="text1"/>
          <w:szCs w:val="24"/>
          <w:shd w:val="clear" w:color="auto" w:fill="FFFFFF"/>
        </w:rPr>
        <w:t xml:space="preserve"> as well as on the library preparation </w:t>
      </w:r>
      <w:r w:rsidR="003F22EC" w:rsidRPr="002B1848">
        <w:rPr>
          <w:color w:val="000000" w:themeColor="text1"/>
          <w:szCs w:val="24"/>
          <w:shd w:val="clear" w:color="auto" w:fill="FFFFFF"/>
        </w:rPr>
        <w:t>method</w:t>
      </w:r>
      <w:r w:rsidR="00D67B0D" w:rsidRPr="002B1848">
        <w:rPr>
          <w:color w:val="000000" w:themeColor="text1"/>
          <w:szCs w:val="24"/>
          <w:shd w:val="clear" w:color="auto" w:fill="FFFFFF"/>
        </w:rPr>
        <w:t xml:space="preserve">. </w:t>
      </w:r>
      <w:r w:rsidR="00CD71EF" w:rsidRPr="002B1848">
        <w:rPr>
          <w:color w:val="000000" w:themeColor="text1"/>
          <w:szCs w:val="24"/>
          <w:shd w:val="clear" w:color="auto" w:fill="FFFFFF"/>
        </w:rPr>
        <w:t>The sequencing method affected</w:t>
      </w:r>
      <w:r w:rsidR="00A01DFC" w:rsidRPr="002B1848">
        <w:rPr>
          <w:color w:val="000000" w:themeColor="text1"/>
          <w:szCs w:val="24"/>
          <w:shd w:val="clear" w:color="auto" w:fill="FFFFFF"/>
        </w:rPr>
        <w:t xml:space="preserve"> </w:t>
      </w:r>
      <w:r w:rsidR="00C437A6" w:rsidRPr="002B1848">
        <w:rPr>
          <w:color w:val="000000" w:themeColor="text1"/>
          <w:szCs w:val="24"/>
          <w:shd w:val="clear" w:color="auto" w:fill="FFFFFF"/>
        </w:rPr>
        <w:t>read</w:t>
      </w:r>
      <w:r w:rsidR="00A01DFC" w:rsidRPr="002B1848">
        <w:rPr>
          <w:color w:val="000000" w:themeColor="text1"/>
          <w:szCs w:val="24"/>
          <w:shd w:val="clear" w:color="auto" w:fill="FFFFFF"/>
        </w:rPr>
        <w:t xml:space="preserve"> length </w:t>
      </w:r>
      <w:r w:rsidR="00C437A6" w:rsidRPr="002B1848">
        <w:rPr>
          <w:color w:val="000000" w:themeColor="text1"/>
          <w:szCs w:val="24"/>
          <w:shd w:val="clear" w:color="auto" w:fill="FFFFFF"/>
        </w:rPr>
        <w:t>in the following way</w:t>
      </w:r>
      <w:r w:rsidR="00A01DFC" w:rsidRPr="002B1848">
        <w:rPr>
          <w:color w:val="000000" w:themeColor="text1"/>
          <w:szCs w:val="24"/>
          <w:shd w:val="clear" w:color="auto" w:fill="FFFFFF"/>
        </w:rPr>
        <w:t>: the non-amplified direct RNA and cDNA sequencing methods produce</w:t>
      </w:r>
      <w:r w:rsidR="00CD71EF" w:rsidRPr="002B1848">
        <w:rPr>
          <w:color w:val="000000" w:themeColor="text1"/>
          <w:szCs w:val="24"/>
          <w:shd w:val="clear" w:color="auto" w:fill="FFFFFF"/>
        </w:rPr>
        <w:t>d</w:t>
      </w:r>
      <w:r w:rsidR="00A01DFC" w:rsidRPr="002B1848">
        <w:rPr>
          <w:color w:val="000000" w:themeColor="text1"/>
          <w:szCs w:val="24"/>
          <w:shd w:val="clear" w:color="auto" w:fill="FFFFFF"/>
        </w:rPr>
        <w:t xml:space="preserve"> longer reads (dRNA mapped reads are the longest) compare</w:t>
      </w:r>
      <w:r w:rsidR="00CD71EF" w:rsidRPr="002B1848">
        <w:rPr>
          <w:color w:val="000000" w:themeColor="text1"/>
          <w:szCs w:val="24"/>
          <w:shd w:val="clear" w:color="auto" w:fill="FFFFFF"/>
        </w:rPr>
        <w:t>d</w:t>
      </w:r>
      <w:r w:rsidR="00A01DFC" w:rsidRPr="002B1848">
        <w:rPr>
          <w:color w:val="000000" w:themeColor="text1"/>
          <w:szCs w:val="24"/>
          <w:shd w:val="clear" w:color="auto" w:fill="FFFFFF"/>
        </w:rPr>
        <w:t xml:space="preserve"> to the amplified technique due to the </w:t>
      </w:r>
      <w:r w:rsidR="00063CF2" w:rsidRPr="002B1848">
        <w:rPr>
          <w:color w:val="000000" w:themeColor="text1"/>
          <w:szCs w:val="24"/>
          <w:shd w:val="clear" w:color="auto" w:fill="FFFFFF"/>
        </w:rPr>
        <w:t>fact that</w:t>
      </w:r>
      <w:r w:rsidR="00CD71EF" w:rsidRPr="002B1848">
        <w:rPr>
          <w:color w:val="000000" w:themeColor="text1"/>
          <w:szCs w:val="24"/>
          <w:shd w:val="clear" w:color="auto" w:fill="FFFFFF"/>
        </w:rPr>
        <w:t xml:space="preserve"> </w:t>
      </w:r>
      <w:r w:rsidR="00A01DFC" w:rsidRPr="002B1848">
        <w:rPr>
          <w:color w:val="000000" w:themeColor="text1"/>
          <w:szCs w:val="24"/>
          <w:shd w:val="clear" w:color="auto" w:fill="FFFFFF"/>
        </w:rPr>
        <w:t>PCR produces more copies from the shorter transcripts</w:t>
      </w:r>
      <w:r w:rsidR="006721BA" w:rsidRPr="002B1848">
        <w:rPr>
          <w:color w:val="000000" w:themeColor="text1"/>
          <w:szCs w:val="24"/>
          <w:shd w:val="clear" w:color="auto" w:fill="FFFFFF"/>
        </w:rPr>
        <w:t xml:space="preserve">. </w:t>
      </w:r>
      <w:r w:rsidR="00063CF2" w:rsidRPr="002B1848">
        <w:rPr>
          <w:color w:val="000000" w:themeColor="text1"/>
          <w:szCs w:val="24"/>
          <w:shd w:val="clear" w:color="auto" w:fill="FFFFFF"/>
        </w:rPr>
        <w:t>In our experiments, t</w:t>
      </w:r>
      <w:r w:rsidR="00CD71EF" w:rsidRPr="002B1848">
        <w:rPr>
          <w:color w:val="000000" w:themeColor="text1"/>
          <w:szCs w:val="24"/>
          <w:shd w:val="clear" w:color="auto" w:fill="FFFFFF"/>
        </w:rPr>
        <w:t>he dRNA-seq approach produced</w:t>
      </w:r>
      <w:r w:rsidR="006721BA" w:rsidRPr="002B1848">
        <w:rPr>
          <w:color w:val="000000" w:themeColor="text1"/>
          <w:szCs w:val="24"/>
          <w:shd w:val="clear" w:color="auto" w:fill="FFFFFF"/>
        </w:rPr>
        <w:t xml:space="preserve"> </w:t>
      </w:r>
      <w:r w:rsidR="00063CF2" w:rsidRPr="002B1848">
        <w:rPr>
          <w:color w:val="000000" w:themeColor="text1"/>
          <w:szCs w:val="24"/>
          <w:shd w:val="clear" w:color="auto" w:fill="FFFFFF"/>
        </w:rPr>
        <w:t>a relatively high</w:t>
      </w:r>
      <w:r w:rsidR="006721BA" w:rsidRPr="002B1848">
        <w:rPr>
          <w:color w:val="000000" w:themeColor="text1"/>
          <w:szCs w:val="24"/>
          <w:shd w:val="clear" w:color="auto" w:fill="FFFFFF"/>
        </w:rPr>
        <w:t xml:space="preserve"> error rate</w:t>
      </w:r>
      <w:r w:rsidR="00063CF2" w:rsidRPr="002B1848">
        <w:rPr>
          <w:color w:val="000000" w:themeColor="text1"/>
          <w:szCs w:val="24"/>
          <w:shd w:val="clear" w:color="auto" w:fill="FFFFFF"/>
        </w:rPr>
        <w:t>,</w:t>
      </w:r>
      <w:r w:rsidR="006721BA" w:rsidRPr="002B1848">
        <w:rPr>
          <w:color w:val="000000" w:themeColor="text1"/>
          <w:szCs w:val="24"/>
          <w:shd w:val="clear" w:color="auto" w:fill="FFFFFF"/>
        </w:rPr>
        <w:t xml:space="preserve"> </w:t>
      </w:r>
      <w:r w:rsidR="00063CF2" w:rsidRPr="002B1848">
        <w:rPr>
          <w:color w:val="000000" w:themeColor="text1"/>
          <w:szCs w:val="24"/>
          <w:shd w:val="clear" w:color="auto" w:fill="FFFFFF"/>
        </w:rPr>
        <w:t>which</w:t>
      </w:r>
      <w:r w:rsidR="006721BA" w:rsidRPr="002B1848">
        <w:rPr>
          <w:color w:val="000000" w:themeColor="text1"/>
          <w:szCs w:val="24"/>
          <w:shd w:val="clear" w:color="auto" w:fill="FFFFFF"/>
        </w:rPr>
        <w:t xml:space="preserve"> </w:t>
      </w:r>
      <w:r w:rsidR="00063CF2" w:rsidRPr="002B1848">
        <w:rPr>
          <w:color w:val="000000" w:themeColor="text1"/>
          <w:szCs w:val="24"/>
          <w:shd w:val="clear" w:color="auto" w:fill="FFFFFF"/>
        </w:rPr>
        <w:t>has</w:t>
      </w:r>
      <w:r w:rsidR="006721BA" w:rsidRPr="002B1848">
        <w:rPr>
          <w:color w:val="000000" w:themeColor="text1"/>
          <w:szCs w:val="24"/>
          <w:shd w:val="clear" w:color="auto" w:fill="FFFFFF"/>
        </w:rPr>
        <w:t xml:space="preserve"> </w:t>
      </w:r>
      <w:r w:rsidR="00CD71EF" w:rsidRPr="002B1848">
        <w:rPr>
          <w:color w:val="000000" w:themeColor="text1"/>
          <w:szCs w:val="24"/>
          <w:shd w:val="clear" w:color="auto" w:fill="FFFFFF"/>
        </w:rPr>
        <w:t xml:space="preserve">also </w:t>
      </w:r>
      <w:r w:rsidR="00063CF2" w:rsidRPr="002B1848">
        <w:rPr>
          <w:color w:val="000000" w:themeColor="text1"/>
          <w:szCs w:val="24"/>
          <w:shd w:val="clear" w:color="auto" w:fill="FFFFFF"/>
        </w:rPr>
        <w:t xml:space="preserve">been </w:t>
      </w:r>
      <w:r w:rsidR="00CD71EF" w:rsidRPr="002B1848">
        <w:rPr>
          <w:color w:val="000000" w:themeColor="text1"/>
          <w:szCs w:val="24"/>
          <w:shd w:val="clear" w:color="auto" w:fill="FFFFFF"/>
        </w:rPr>
        <w:t>described by others (</w:t>
      </w:r>
      <w:proofErr w:type="spellStart"/>
      <w:r w:rsidR="00A911D4" w:rsidRPr="002B1848">
        <w:rPr>
          <w:color w:val="000000" w:themeColor="text1"/>
          <w:szCs w:val="24"/>
          <w:shd w:val="clear" w:color="auto" w:fill="FFFFFF"/>
        </w:rPr>
        <w:t>Wongsurawat</w:t>
      </w:r>
      <w:proofErr w:type="spellEnd"/>
      <w:r w:rsidR="00A911D4" w:rsidRPr="002B1848">
        <w:rPr>
          <w:color w:val="000000" w:themeColor="text1"/>
          <w:szCs w:val="24"/>
          <w:shd w:val="clear" w:color="auto" w:fill="FFFFFF"/>
        </w:rPr>
        <w:t xml:space="preserve"> et al. 2018</w:t>
      </w:r>
      <w:r w:rsidR="00CD71EF" w:rsidRPr="002B1848">
        <w:rPr>
          <w:color w:val="000000" w:themeColor="text1"/>
          <w:szCs w:val="24"/>
          <w:shd w:val="clear" w:color="auto" w:fill="FFFFFF"/>
        </w:rPr>
        <w:t>)</w:t>
      </w:r>
      <w:r w:rsidR="006721BA" w:rsidRPr="002B1848">
        <w:rPr>
          <w:color w:val="000000" w:themeColor="text1"/>
          <w:szCs w:val="24"/>
          <w:shd w:val="clear" w:color="auto" w:fill="FFFFFF"/>
        </w:rPr>
        <w:t xml:space="preserve">. </w:t>
      </w:r>
    </w:p>
    <w:p w14:paraId="7E36869E" w14:textId="31939C92" w:rsidR="00A911D4" w:rsidRPr="002B1848" w:rsidRDefault="00A911D4" w:rsidP="00E509E3">
      <w:pPr>
        <w:jc w:val="both"/>
        <w:rPr>
          <w:color w:val="000000" w:themeColor="text1"/>
          <w:szCs w:val="24"/>
          <w:shd w:val="clear" w:color="auto" w:fill="FFFFFF"/>
        </w:rPr>
      </w:pPr>
      <w:proofErr w:type="spellStart"/>
      <w:r w:rsidRPr="002B1848">
        <w:rPr>
          <w:color w:val="000000" w:themeColor="text1"/>
          <w:szCs w:val="24"/>
          <w:shd w:val="clear" w:color="auto" w:fill="FFFFFF"/>
        </w:rPr>
        <w:t>Wongsurawat</w:t>
      </w:r>
      <w:proofErr w:type="spellEnd"/>
      <w:r w:rsidRPr="002B1848">
        <w:rPr>
          <w:color w:val="000000" w:themeColor="text1"/>
          <w:szCs w:val="24"/>
          <w:shd w:val="clear" w:color="auto" w:fill="FFFFFF"/>
        </w:rPr>
        <w:t xml:space="preserve">, T., </w:t>
      </w:r>
      <w:proofErr w:type="spellStart"/>
      <w:r w:rsidRPr="002B1848">
        <w:rPr>
          <w:color w:val="000000" w:themeColor="text1"/>
          <w:szCs w:val="24"/>
          <w:shd w:val="clear" w:color="auto" w:fill="FFFFFF"/>
        </w:rPr>
        <w:t>Jenjaroenpun</w:t>
      </w:r>
      <w:proofErr w:type="spellEnd"/>
      <w:r w:rsidRPr="002B1848">
        <w:rPr>
          <w:color w:val="000000" w:themeColor="text1"/>
          <w:szCs w:val="24"/>
          <w:shd w:val="clear" w:color="auto" w:fill="FFFFFF"/>
        </w:rPr>
        <w:t xml:space="preserve">, P., </w:t>
      </w:r>
      <w:proofErr w:type="spellStart"/>
      <w:r w:rsidRPr="002B1848">
        <w:rPr>
          <w:color w:val="000000" w:themeColor="text1"/>
          <w:szCs w:val="24"/>
          <w:shd w:val="clear" w:color="auto" w:fill="FFFFFF"/>
        </w:rPr>
        <w:t>Wassenaar</w:t>
      </w:r>
      <w:proofErr w:type="spellEnd"/>
      <w:r w:rsidRPr="002B1848">
        <w:rPr>
          <w:color w:val="000000" w:themeColor="text1"/>
          <w:szCs w:val="24"/>
          <w:shd w:val="clear" w:color="auto" w:fill="FFFFFF"/>
        </w:rPr>
        <w:t xml:space="preserve">, T. M., Wadley, T. D., </w:t>
      </w:r>
      <w:proofErr w:type="spellStart"/>
      <w:r w:rsidRPr="002B1848">
        <w:rPr>
          <w:color w:val="000000" w:themeColor="text1"/>
          <w:szCs w:val="24"/>
          <w:shd w:val="clear" w:color="auto" w:fill="FFFFFF"/>
        </w:rPr>
        <w:t>Wanchai</w:t>
      </w:r>
      <w:proofErr w:type="spellEnd"/>
      <w:r w:rsidRPr="002B1848">
        <w:rPr>
          <w:color w:val="000000" w:themeColor="text1"/>
          <w:szCs w:val="24"/>
          <w:shd w:val="clear" w:color="auto" w:fill="FFFFFF"/>
        </w:rPr>
        <w:t xml:space="preserve">, V., </w:t>
      </w:r>
      <w:proofErr w:type="spellStart"/>
      <w:r w:rsidRPr="002B1848">
        <w:rPr>
          <w:color w:val="000000" w:themeColor="text1"/>
          <w:szCs w:val="24"/>
          <w:shd w:val="clear" w:color="auto" w:fill="FFFFFF"/>
        </w:rPr>
        <w:t>Akel</w:t>
      </w:r>
      <w:proofErr w:type="spellEnd"/>
      <w:r w:rsidRPr="002B1848">
        <w:rPr>
          <w:color w:val="000000" w:themeColor="text1"/>
          <w:szCs w:val="24"/>
          <w:shd w:val="clear" w:color="auto" w:fill="FFFFFF"/>
        </w:rPr>
        <w:t xml:space="preserve">, N. S., et al. (2018). Decoding the </w:t>
      </w:r>
      <w:proofErr w:type="spellStart"/>
      <w:r w:rsidRPr="002B1848">
        <w:rPr>
          <w:color w:val="000000" w:themeColor="text1"/>
          <w:szCs w:val="24"/>
          <w:shd w:val="clear" w:color="auto" w:fill="FFFFFF"/>
        </w:rPr>
        <w:t>Epitranscriptional</w:t>
      </w:r>
      <w:proofErr w:type="spellEnd"/>
      <w:r w:rsidRPr="002B1848">
        <w:rPr>
          <w:color w:val="000000" w:themeColor="text1"/>
          <w:szCs w:val="24"/>
          <w:shd w:val="clear" w:color="auto" w:fill="FFFFFF"/>
        </w:rPr>
        <w:t xml:space="preserve"> Landscape from Native RNA Sequences. </w:t>
      </w:r>
      <w:r w:rsidRPr="002B1848">
        <w:rPr>
          <w:i/>
          <w:color w:val="000000" w:themeColor="text1"/>
          <w:szCs w:val="24"/>
          <w:shd w:val="clear" w:color="auto" w:fill="FFFFFF"/>
        </w:rPr>
        <w:t>bioRxiv</w:t>
      </w:r>
      <w:r w:rsidRPr="002B1848">
        <w:rPr>
          <w:color w:val="000000" w:themeColor="text1"/>
          <w:szCs w:val="24"/>
          <w:shd w:val="clear" w:color="auto" w:fill="FFFFFF"/>
        </w:rPr>
        <w:t>. 487819; doi: 10.1101/487819</w:t>
      </w:r>
    </w:p>
    <w:p w14:paraId="0E3A08C8" w14:textId="67DC889A" w:rsidR="00E509E3" w:rsidRPr="002B1848" w:rsidRDefault="006721BA" w:rsidP="00E509E3">
      <w:pPr>
        <w:jc w:val="both"/>
        <w:rPr>
          <w:b/>
          <w:color w:val="000000" w:themeColor="text1"/>
          <w:szCs w:val="24"/>
        </w:rPr>
      </w:pPr>
      <w:r w:rsidRPr="002B1848">
        <w:rPr>
          <w:b/>
          <w:color w:val="000000" w:themeColor="text1"/>
          <w:szCs w:val="24"/>
        </w:rPr>
        <w:t>S</w:t>
      </w:r>
      <w:r w:rsidR="00E509E3" w:rsidRPr="002B1848">
        <w:rPr>
          <w:b/>
          <w:color w:val="000000" w:themeColor="text1"/>
          <w:szCs w:val="24"/>
        </w:rPr>
        <w:t>upplementary Table 2. Summary statistics of the Illumina reads aligning to ASFV genome</w:t>
      </w:r>
      <w:r w:rsidR="000545C4" w:rsidRPr="002B1848">
        <w:rPr>
          <w:b/>
          <w:color w:val="000000" w:themeColor="text1"/>
          <w:szCs w:val="24"/>
        </w:rPr>
        <w:t xml:space="preserve">. </w:t>
      </w:r>
      <w:r w:rsidR="00FD64AC" w:rsidRPr="002B1848">
        <w:rPr>
          <w:color w:val="000000" w:themeColor="text1"/>
          <w:szCs w:val="24"/>
        </w:rPr>
        <w:t xml:space="preserve">The statistics </w:t>
      </w:r>
      <w:r w:rsidR="00603E27" w:rsidRPr="002B1848">
        <w:rPr>
          <w:color w:val="000000" w:themeColor="text1"/>
          <w:szCs w:val="24"/>
        </w:rPr>
        <w:t>were</w:t>
      </w:r>
      <w:r w:rsidR="00FD64AC" w:rsidRPr="002B1848">
        <w:rPr>
          <w:color w:val="000000" w:themeColor="text1"/>
          <w:szCs w:val="24"/>
        </w:rPr>
        <w:t xml:space="preserve"> generated using </w:t>
      </w:r>
      <w:r w:rsidR="00603E27" w:rsidRPr="002B1848">
        <w:rPr>
          <w:color w:val="000000" w:themeColor="text1"/>
          <w:szCs w:val="24"/>
        </w:rPr>
        <w:t>Qualimap v2.2.1</w:t>
      </w:r>
      <w:r w:rsidR="003B1114" w:rsidRPr="002B1848">
        <w:rPr>
          <w:color w:val="000000" w:themeColor="text1"/>
          <w:szCs w:val="24"/>
        </w:rPr>
        <w:t>.</w:t>
      </w:r>
      <w:r w:rsidR="00603E27" w:rsidRPr="002B1848">
        <w:rPr>
          <w:color w:val="000000" w:themeColor="text1"/>
          <w:szCs w:val="24"/>
        </w:rPr>
        <w:t xml:space="preserve"> </w:t>
      </w:r>
      <w:r w:rsidR="000545C4" w:rsidRPr="002B1848">
        <w:rPr>
          <w:color w:val="000000" w:themeColor="text1"/>
          <w:szCs w:val="24"/>
        </w:rPr>
        <w:t>Illumina seq</w:t>
      </w:r>
      <w:r w:rsidR="003B1114" w:rsidRPr="002B1848">
        <w:rPr>
          <w:color w:val="000000" w:themeColor="text1"/>
          <w:szCs w:val="24"/>
        </w:rPr>
        <w:t xml:space="preserve">uencing </w:t>
      </w:r>
      <w:r w:rsidR="003B7007" w:rsidRPr="002B1848">
        <w:rPr>
          <w:color w:val="000000" w:themeColor="text1"/>
          <w:szCs w:val="24"/>
        </w:rPr>
        <w:t>yielded</w:t>
      </w:r>
      <w:r w:rsidR="003B1114" w:rsidRPr="002B1848">
        <w:rPr>
          <w:color w:val="000000" w:themeColor="text1"/>
          <w:szCs w:val="24"/>
        </w:rPr>
        <w:t xml:space="preserve"> 69,068 virus-specific reads with a mean</w:t>
      </w:r>
      <w:r w:rsidR="000545C4" w:rsidRPr="002B1848">
        <w:rPr>
          <w:color w:val="000000" w:themeColor="text1"/>
          <w:szCs w:val="24"/>
        </w:rPr>
        <w:t xml:space="preserve"> read length of 67,52 bp</w:t>
      </w:r>
      <w:r w:rsidR="000B6BEA" w:rsidRPr="002B1848">
        <w:rPr>
          <w:color w:val="000000" w:themeColor="text1"/>
          <w:szCs w:val="24"/>
        </w:rPr>
        <w:t>s</w:t>
      </w:r>
      <w:r w:rsidR="000545C4" w:rsidRPr="002B1848">
        <w:rPr>
          <w:color w:val="000000" w:themeColor="text1"/>
          <w:szCs w:val="24"/>
        </w:rPr>
        <w:t xml:space="preserve">. </w:t>
      </w:r>
      <w:r w:rsidR="00603E27" w:rsidRPr="002B1848">
        <w:rPr>
          <w:color w:val="000000" w:themeColor="text1"/>
          <w:szCs w:val="24"/>
        </w:rPr>
        <w:t>The mean insert size was 445.27 bp</w:t>
      </w:r>
      <w:r w:rsidR="003B1114" w:rsidRPr="002B1848">
        <w:rPr>
          <w:color w:val="000000" w:themeColor="text1"/>
          <w:szCs w:val="24"/>
        </w:rPr>
        <w:t>s</w:t>
      </w:r>
      <w:r w:rsidR="00603E27" w:rsidRPr="002B1848">
        <w:rPr>
          <w:color w:val="000000" w:themeColor="text1"/>
          <w:szCs w:val="24"/>
        </w:rPr>
        <w:t>. The m</w:t>
      </w:r>
      <w:r w:rsidR="00FD64AC" w:rsidRPr="002B1848">
        <w:rPr>
          <w:color w:val="000000" w:themeColor="text1"/>
          <w:szCs w:val="24"/>
        </w:rPr>
        <w:t>edian (p50) and interquartile boundary values (p25, p75) for insert lengths</w:t>
      </w:r>
      <w:r w:rsidR="00603E27" w:rsidRPr="002B1848">
        <w:rPr>
          <w:color w:val="000000" w:themeColor="text1"/>
          <w:szCs w:val="24"/>
        </w:rPr>
        <w:t>, the quality of the mapped reads</w:t>
      </w:r>
      <w:r w:rsidR="00B0653A" w:rsidRPr="002B1848">
        <w:rPr>
          <w:color w:val="000000" w:themeColor="text1"/>
          <w:szCs w:val="24"/>
        </w:rPr>
        <w:t>, as well as the sequencing errors (insertions, deletions)</w:t>
      </w:r>
      <w:r w:rsidR="00FD64AC" w:rsidRPr="002B1848">
        <w:rPr>
          <w:color w:val="000000" w:themeColor="text1"/>
          <w:szCs w:val="24"/>
        </w:rPr>
        <w:t xml:space="preserve"> </w:t>
      </w:r>
      <w:r w:rsidR="00B0653A" w:rsidRPr="002B1848">
        <w:rPr>
          <w:color w:val="000000" w:themeColor="text1"/>
          <w:szCs w:val="24"/>
        </w:rPr>
        <w:t>were</w:t>
      </w:r>
      <w:r w:rsidR="00603E27" w:rsidRPr="002B1848">
        <w:rPr>
          <w:color w:val="000000" w:themeColor="text1"/>
          <w:szCs w:val="24"/>
        </w:rPr>
        <w:t xml:space="preserve"> also calculated. </w:t>
      </w:r>
      <w:r w:rsidR="003F77BF" w:rsidRPr="002B1848">
        <w:rPr>
          <w:color w:val="000000" w:themeColor="text1"/>
          <w:szCs w:val="24"/>
        </w:rPr>
        <w:t xml:space="preserve">The number of duplicated reads </w:t>
      </w:r>
      <w:r w:rsidR="003B1114" w:rsidRPr="002B1848">
        <w:rPr>
          <w:color w:val="000000" w:themeColor="text1"/>
          <w:szCs w:val="24"/>
        </w:rPr>
        <w:t>was</w:t>
      </w:r>
      <w:r w:rsidR="003F77BF" w:rsidRPr="002B1848">
        <w:rPr>
          <w:color w:val="000000" w:themeColor="text1"/>
          <w:szCs w:val="24"/>
        </w:rPr>
        <w:t xml:space="preserve"> 36.12%, which indicates that </w:t>
      </w:r>
      <w:r w:rsidR="003B1114" w:rsidRPr="002B1848">
        <w:rPr>
          <w:color w:val="000000" w:themeColor="text1"/>
          <w:szCs w:val="24"/>
        </w:rPr>
        <w:t>certain genes are</w:t>
      </w:r>
      <w:r w:rsidR="003F77BF" w:rsidRPr="002B1848">
        <w:rPr>
          <w:color w:val="000000" w:themeColor="text1"/>
          <w:szCs w:val="24"/>
        </w:rPr>
        <w:t xml:space="preserve"> over- </w:t>
      </w:r>
      <w:r w:rsidR="003B1114" w:rsidRPr="002B1848">
        <w:rPr>
          <w:color w:val="000000" w:themeColor="text1"/>
          <w:szCs w:val="24"/>
        </w:rPr>
        <w:t>or</w:t>
      </w:r>
      <w:r w:rsidR="003F77BF" w:rsidRPr="002B1848">
        <w:rPr>
          <w:color w:val="000000" w:themeColor="text1"/>
          <w:szCs w:val="24"/>
        </w:rPr>
        <w:t xml:space="preserve"> underrepresented (genes with extremely low and high expression values, respectively). </w:t>
      </w:r>
    </w:p>
    <w:p w14:paraId="5C53599B" w14:textId="2FC865E2" w:rsidR="00E509E3" w:rsidRPr="002B1848" w:rsidRDefault="00E509E3" w:rsidP="00E509E3">
      <w:pPr>
        <w:jc w:val="both"/>
        <w:rPr>
          <w:color w:val="000000" w:themeColor="text1"/>
          <w:szCs w:val="24"/>
        </w:rPr>
      </w:pPr>
      <w:r w:rsidRPr="002B1848">
        <w:rPr>
          <w:b/>
          <w:color w:val="000000" w:themeColor="text1"/>
          <w:szCs w:val="24"/>
        </w:rPr>
        <w:t xml:space="preserve">Supplementary Table 3. List of reagents and chemistries used in this work. </w:t>
      </w:r>
      <w:r w:rsidRPr="002B1848">
        <w:rPr>
          <w:color w:val="000000" w:themeColor="text1"/>
          <w:szCs w:val="24"/>
        </w:rPr>
        <w:t>Abbreviations: prep, preparation; DW, distilled water; Tech, technologies; ONT, Oxford Nanopore Technologies; Sci, Scientific; acDNA, amplified cDNA</w:t>
      </w:r>
    </w:p>
    <w:p w14:paraId="4000C054" w14:textId="0AB3BEFE" w:rsidR="00E509E3" w:rsidRPr="002B1848" w:rsidRDefault="00E509E3" w:rsidP="00E509E3">
      <w:pPr>
        <w:jc w:val="both"/>
        <w:rPr>
          <w:color w:val="000000" w:themeColor="text1"/>
          <w:szCs w:val="24"/>
        </w:rPr>
      </w:pPr>
      <w:r w:rsidRPr="002B1848">
        <w:rPr>
          <w:b/>
          <w:color w:val="000000" w:themeColor="text1"/>
          <w:szCs w:val="24"/>
        </w:rPr>
        <w:t>Supplementary Table 4. Barcode identifiers and sequences used for library preparation for the amplified cDNA sequencing approach</w:t>
      </w:r>
      <w:r w:rsidR="00C07415" w:rsidRPr="002B1848">
        <w:rPr>
          <w:b/>
          <w:color w:val="000000" w:themeColor="text1"/>
          <w:szCs w:val="24"/>
        </w:rPr>
        <w:t xml:space="preserve">. </w:t>
      </w:r>
      <w:r w:rsidR="00C07415" w:rsidRPr="002B1848">
        <w:rPr>
          <w:color w:val="000000" w:themeColor="text1"/>
          <w:szCs w:val="24"/>
        </w:rPr>
        <w:t xml:space="preserve">Amplified cDNA libraries were run on a single flow cell, therefore we labelled them with barcodes during library preparation process. </w:t>
      </w:r>
    </w:p>
    <w:p w14:paraId="4993B61E" w14:textId="4167EA68" w:rsidR="00E509E3" w:rsidRPr="002B1848" w:rsidRDefault="00E509E3" w:rsidP="00E509E3">
      <w:pPr>
        <w:jc w:val="both"/>
        <w:rPr>
          <w:color w:val="000000" w:themeColor="text1"/>
          <w:szCs w:val="24"/>
        </w:rPr>
      </w:pPr>
      <w:r w:rsidRPr="002B1848">
        <w:rPr>
          <w:b/>
          <w:color w:val="000000" w:themeColor="text1"/>
          <w:szCs w:val="24"/>
        </w:rPr>
        <w:t>Supplementary Table 5. The protocol used for the amplification of the cDNA samples.</w:t>
      </w:r>
      <w:r w:rsidR="00D506D8" w:rsidRPr="002B1848">
        <w:rPr>
          <w:b/>
          <w:color w:val="000000" w:themeColor="text1"/>
          <w:szCs w:val="24"/>
        </w:rPr>
        <w:t xml:space="preserve"> </w:t>
      </w:r>
      <w:r w:rsidR="006B5BEF" w:rsidRPr="002B1848">
        <w:rPr>
          <w:color w:val="000000" w:themeColor="text1"/>
          <w:szCs w:val="24"/>
        </w:rPr>
        <w:t xml:space="preserve">PCR was carried out according to the ONT MinION Amplified cDNA-sequencing protocol, with the following modifications: </w:t>
      </w:r>
      <w:r w:rsidR="008472DF" w:rsidRPr="002B1848">
        <w:rPr>
          <w:color w:val="000000" w:themeColor="text1"/>
          <w:szCs w:val="24"/>
        </w:rPr>
        <w:t>14 PCR cycles were</w:t>
      </w:r>
      <w:r w:rsidR="00D506D8" w:rsidRPr="002B1848">
        <w:rPr>
          <w:color w:val="000000" w:themeColor="text1"/>
          <w:szCs w:val="24"/>
        </w:rPr>
        <w:t xml:space="preserve"> applied for the amplification of cDNA products. This cycle number </w:t>
      </w:r>
      <w:r w:rsidR="00193571" w:rsidRPr="002B1848">
        <w:rPr>
          <w:color w:val="000000" w:themeColor="text1"/>
          <w:szCs w:val="24"/>
        </w:rPr>
        <w:t>was</w:t>
      </w:r>
      <w:r w:rsidR="00D506D8" w:rsidRPr="002B1848">
        <w:rPr>
          <w:color w:val="000000" w:themeColor="text1"/>
          <w:szCs w:val="24"/>
        </w:rPr>
        <w:t xml:space="preserve"> </w:t>
      </w:r>
      <w:r w:rsidR="008472DF" w:rsidRPr="002B1848">
        <w:rPr>
          <w:color w:val="000000" w:themeColor="text1"/>
          <w:szCs w:val="24"/>
        </w:rPr>
        <w:t>optimal</w:t>
      </w:r>
      <w:r w:rsidR="00D506D8" w:rsidRPr="002B1848">
        <w:rPr>
          <w:color w:val="000000" w:themeColor="text1"/>
          <w:szCs w:val="24"/>
        </w:rPr>
        <w:t xml:space="preserve"> </w:t>
      </w:r>
      <w:r w:rsidR="00A911D4" w:rsidRPr="002B1848">
        <w:rPr>
          <w:color w:val="000000" w:themeColor="text1"/>
          <w:szCs w:val="24"/>
        </w:rPr>
        <w:t>(within the suggested</w:t>
      </w:r>
      <w:r w:rsidR="00193571" w:rsidRPr="002B1848">
        <w:rPr>
          <w:color w:val="000000" w:themeColor="text1"/>
          <w:szCs w:val="24"/>
        </w:rPr>
        <w:t xml:space="preserve"> </w:t>
      </w:r>
      <w:r w:rsidR="00A911D4" w:rsidRPr="002B1848">
        <w:rPr>
          <w:color w:val="000000" w:themeColor="text1"/>
          <w:szCs w:val="24"/>
        </w:rPr>
        <w:t xml:space="preserve">11-18 </w:t>
      </w:r>
      <w:r w:rsidR="00193571" w:rsidRPr="002B1848">
        <w:rPr>
          <w:color w:val="000000" w:themeColor="text1"/>
          <w:szCs w:val="24"/>
        </w:rPr>
        <w:t>cycle numbers</w:t>
      </w:r>
      <w:r w:rsidR="00A911D4" w:rsidRPr="002B1848">
        <w:rPr>
          <w:color w:val="000000" w:themeColor="text1"/>
          <w:szCs w:val="24"/>
        </w:rPr>
        <w:t xml:space="preserve">) </w:t>
      </w:r>
      <w:r w:rsidR="008472DF" w:rsidRPr="002B1848">
        <w:rPr>
          <w:color w:val="000000" w:themeColor="text1"/>
          <w:szCs w:val="24"/>
        </w:rPr>
        <w:t>for</w:t>
      </w:r>
      <w:r w:rsidR="00D506D8" w:rsidRPr="002B1848">
        <w:rPr>
          <w:color w:val="000000" w:themeColor="text1"/>
          <w:szCs w:val="24"/>
        </w:rPr>
        <w:t xml:space="preserve"> the protocol recommended test PCR reaction (enough cDNA amount for the downstream applications without high amount of primer dimers and other aspecific products).</w:t>
      </w:r>
      <w:r w:rsidR="006B5BEF" w:rsidRPr="002B1848">
        <w:rPr>
          <w:color w:val="000000" w:themeColor="text1"/>
          <w:szCs w:val="24"/>
        </w:rPr>
        <w:t xml:space="preserve"> A relatively long extension step (4 min) was set for the reactions which is required by the multiplication/amplification of long transcripts. </w:t>
      </w:r>
      <w:r w:rsidR="00D83661" w:rsidRPr="002B1848">
        <w:rPr>
          <w:color w:val="000000" w:themeColor="text1"/>
          <w:szCs w:val="24"/>
        </w:rPr>
        <w:t xml:space="preserve">The reactions were </w:t>
      </w:r>
      <w:r w:rsidR="008472DF" w:rsidRPr="002B1848">
        <w:rPr>
          <w:color w:val="000000" w:themeColor="text1"/>
          <w:szCs w:val="24"/>
        </w:rPr>
        <w:t>carried out</w:t>
      </w:r>
      <w:r w:rsidR="00D83661" w:rsidRPr="002B1848">
        <w:rPr>
          <w:color w:val="000000" w:themeColor="text1"/>
          <w:szCs w:val="24"/>
        </w:rPr>
        <w:t xml:space="preserve"> in a Verity thermal cycler (Applied Biosystems). </w:t>
      </w:r>
    </w:p>
    <w:p w14:paraId="394AF7E8" w14:textId="132A0A34" w:rsidR="00E509E3" w:rsidRPr="002B1848" w:rsidRDefault="00E509E3" w:rsidP="006B5BEF">
      <w:pPr>
        <w:jc w:val="both"/>
        <w:rPr>
          <w:color w:val="000000" w:themeColor="text1"/>
          <w:szCs w:val="24"/>
        </w:rPr>
      </w:pPr>
      <w:r w:rsidRPr="002B1848">
        <w:rPr>
          <w:b/>
          <w:color w:val="000000" w:themeColor="text1"/>
          <w:szCs w:val="24"/>
        </w:rPr>
        <w:t>Supplementary Table 6. Table shows the PCR parameters used for Illumina library preparation.</w:t>
      </w:r>
      <w:r w:rsidR="006B5BEF" w:rsidRPr="002B1848">
        <w:rPr>
          <w:b/>
          <w:color w:val="000000" w:themeColor="text1"/>
          <w:szCs w:val="24"/>
        </w:rPr>
        <w:t xml:space="preserve"> </w:t>
      </w:r>
      <w:r w:rsidR="006B5BEF" w:rsidRPr="002B1848">
        <w:rPr>
          <w:color w:val="000000" w:themeColor="text1"/>
          <w:szCs w:val="24"/>
        </w:rPr>
        <w:t xml:space="preserve">Amplification of </w:t>
      </w:r>
      <w:r w:rsidR="008C1A50" w:rsidRPr="002B1848">
        <w:rPr>
          <w:color w:val="000000" w:themeColor="text1"/>
          <w:szCs w:val="24"/>
        </w:rPr>
        <w:t>cDNA</w:t>
      </w:r>
      <w:r w:rsidR="006B5BEF" w:rsidRPr="002B1848">
        <w:rPr>
          <w:color w:val="000000" w:themeColor="text1"/>
          <w:szCs w:val="24"/>
        </w:rPr>
        <w:t xml:space="preserve"> for the Illumina MiSeq platform was carried out </w:t>
      </w:r>
      <w:r w:rsidR="008472DF" w:rsidRPr="002B1848">
        <w:rPr>
          <w:color w:val="000000" w:themeColor="text1"/>
          <w:szCs w:val="24"/>
        </w:rPr>
        <w:t>using</w:t>
      </w:r>
      <w:r w:rsidR="00823246" w:rsidRPr="002B1848">
        <w:rPr>
          <w:color w:val="000000" w:themeColor="text1"/>
          <w:szCs w:val="24"/>
        </w:rPr>
        <w:t xml:space="preserve"> </w:t>
      </w:r>
      <w:r w:rsidR="008C1A50" w:rsidRPr="002B1848">
        <w:rPr>
          <w:color w:val="000000" w:themeColor="text1"/>
          <w:szCs w:val="24"/>
        </w:rPr>
        <w:t xml:space="preserve">the </w:t>
      </w:r>
      <w:r w:rsidR="00823246" w:rsidRPr="002B1848">
        <w:rPr>
          <w:color w:val="000000" w:themeColor="text1"/>
          <w:szCs w:val="24"/>
        </w:rPr>
        <w:t>Perkin</w:t>
      </w:r>
      <w:r w:rsidR="006B5BEF" w:rsidRPr="002B1848">
        <w:rPr>
          <w:color w:val="000000" w:themeColor="text1"/>
          <w:szCs w:val="24"/>
        </w:rPr>
        <w:t>Elmer’s NEXTflex® Rapid Directional qRNA-Seq™ Kit</w:t>
      </w:r>
      <w:r w:rsidR="00823246" w:rsidRPr="002B1848">
        <w:rPr>
          <w:color w:val="000000" w:themeColor="text1"/>
          <w:szCs w:val="24"/>
        </w:rPr>
        <w:t>.</w:t>
      </w:r>
      <w:r w:rsidR="006B5BEF" w:rsidRPr="002B1848">
        <w:rPr>
          <w:color w:val="000000" w:themeColor="text1"/>
          <w:szCs w:val="24"/>
        </w:rPr>
        <w:t xml:space="preserve"> For Illumina short-read sequencing, </w:t>
      </w:r>
      <w:r w:rsidR="008C1A50" w:rsidRPr="002B1848">
        <w:rPr>
          <w:color w:val="000000" w:themeColor="text1"/>
          <w:szCs w:val="24"/>
        </w:rPr>
        <w:t xml:space="preserve">a </w:t>
      </w:r>
      <w:r w:rsidR="00823246" w:rsidRPr="002B1848">
        <w:rPr>
          <w:color w:val="000000" w:themeColor="text1"/>
          <w:szCs w:val="24"/>
        </w:rPr>
        <w:t xml:space="preserve">shorter extension </w:t>
      </w:r>
      <w:r w:rsidR="00823246" w:rsidRPr="002B1848">
        <w:rPr>
          <w:rFonts w:cs="Times New Roman"/>
          <w:color w:val="000000" w:themeColor="text1"/>
          <w:szCs w:val="24"/>
        </w:rPr>
        <w:t>[</w:t>
      </w:r>
      <w:r w:rsidR="00823246" w:rsidRPr="002B1848">
        <w:rPr>
          <w:color w:val="000000" w:themeColor="text1"/>
          <w:szCs w:val="24"/>
        </w:rPr>
        <w:t>60 sec; (compare to the MinION)</w:t>
      </w:r>
      <w:r w:rsidR="00823246" w:rsidRPr="002B1848">
        <w:rPr>
          <w:rFonts w:cs="Times New Roman"/>
          <w:color w:val="000000" w:themeColor="text1"/>
          <w:szCs w:val="24"/>
        </w:rPr>
        <w:t>]</w:t>
      </w:r>
      <w:r w:rsidR="008472DF" w:rsidRPr="002B1848">
        <w:rPr>
          <w:color w:val="000000" w:themeColor="text1"/>
          <w:szCs w:val="24"/>
        </w:rPr>
        <w:t xml:space="preserve"> and 15 cycles were</w:t>
      </w:r>
      <w:r w:rsidR="00823246" w:rsidRPr="002B1848">
        <w:rPr>
          <w:color w:val="000000" w:themeColor="text1"/>
          <w:szCs w:val="24"/>
        </w:rPr>
        <w:t xml:space="preserve"> applied. </w:t>
      </w:r>
      <w:r w:rsidR="00D83661" w:rsidRPr="002B1848">
        <w:rPr>
          <w:color w:val="000000" w:themeColor="text1"/>
          <w:szCs w:val="24"/>
        </w:rPr>
        <w:t>The Applied Biosystems’ Verity cycler was used for the PCR</w:t>
      </w:r>
      <w:r w:rsidR="008472DF" w:rsidRPr="002B1848">
        <w:rPr>
          <w:color w:val="000000" w:themeColor="text1"/>
          <w:szCs w:val="24"/>
        </w:rPr>
        <w:t xml:space="preserve"> amplification</w:t>
      </w:r>
      <w:r w:rsidR="00D83661" w:rsidRPr="002B1848">
        <w:rPr>
          <w:color w:val="000000" w:themeColor="text1"/>
          <w:szCs w:val="24"/>
        </w:rPr>
        <w:t xml:space="preserve">. </w:t>
      </w:r>
    </w:p>
    <w:sectPr w:rsidR="00E509E3" w:rsidRPr="002B1848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BCC6E" w14:textId="77777777" w:rsidR="006B25F8" w:rsidRDefault="006B25F8" w:rsidP="00117666">
      <w:pPr>
        <w:spacing w:after="0"/>
      </w:pPr>
      <w:r>
        <w:separator/>
      </w:r>
    </w:p>
  </w:endnote>
  <w:endnote w:type="continuationSeparator" w:id="0">
    <w:p w14:paraId="6B80149D" w14:textId="77777777" w:rsidR="006B25F8" w:rsidRDefault="006B25F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15BAE34F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82BB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15BAE34F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82BB2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1FD6A1D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F3F8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1FD6A1D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F3F87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430E3" w14:textId="77777777" w:rsidR="006B25F8" w:rsidRDefault="006B25F8" w:rsidP="00117666">
      <w:pPr>
        <w:spacing w:after="0"/>
      </w:pPr>
      <w:r>
        <w:separator/>
      </w:r>
    </w:p>
  </w:footnote>
  <w:footnote w:type="continuationSeparator" w:id="0">
    <w:p w14:paraId="0A936500" w14:textId="77777777" w:rsidR="006B25F8" w:rsidRDefault="006B25F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hu-HU" w:eastAsia="hu-HU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Cmsor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aszerbekezd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407E0"/>
    <w:rsid w:val="00052A14"/>
    <w:rsid w:val="000545C4"/>
    <w:rsid w:val="00063CF2"/>
    <w:rsid w:val="000645AA"/>
    <w:rsid w:val="00077D53"/>
    <w:rsid w:val="000B6BEA"/>
    <w:rsid w:val="00105FD9"/>
    <w:rsid w:val="00117666"/>
    <w:rsid w:val="00134E69"/>
    <w:rsid w:val="001549D3"/>
    <w:rsid w:val="00160065"/>
    <w:rsid w:val="00177D84"/>
    <w:rsid w:val="00193571"/>
    <w:rsid w:val="001A03DD"/>
    <w:rsid w:val="00267D18"/>
    <w:rsid w:val="00274347"/>
    <w:rsid w:val="0028556D"/>
    <w:rsid w:val="002868E2"/>
    <w:rsid w:val="002869C3"/>
    <w:rsid w:val="002936E4"/>
    <w:rsid w:val="002B1848"/>
    <w:rsid w:val="002B4A57"/>
    <w:rsid w:val="002C74CA"/>
    <w:rsid w:val="0030023B"/>
    <w:rsid w:val="003123F4"/>
    <w:rsid w:val="003544FB"/>
    <w:rsid w:val="003B0DE0"/>
    <w:rsid w:val="003B1114"/>
    <w:rsid w:val="003B7007"/>
    <w:rsid w:val="003D2F2D"/>
    <w:rsid w:val="003F22EC"/>
    <w:rsid w:val="003F77BF"/>
    <w:rsid w:val="00401590"/>
    <w:rsid w:val="00447801"/>
    <w:rsid w:val="00452E9C"/>
    <w:rsid w:val="004735C8"/>
    <w:rsid w:val="004947A6"/>
    <w:rsid w:val="004961FF"/>
    <w:rsid w:val="004E2C6B"/>
    <w:rsid w:val="00517A89"/>
    <w:rsid w:val="00520B1C"/>
    <w:rsid w:val="005250F2"/>
    <w:rsid w:val="00593EEA"/>
    <w:rsid w:val="005A5EEE"/>
    <w:rsid w:val="00603E27"/>
    <w:rsid w:val="006375C7"/>
    <w:rsid w:val="00654E8F"/>
    <w:rsid w:val="00660D05"/>
    <w:rsid w:val="006721BA"/>
    <w:rsid w:val="006820B1"/>
    <w:rsid w:val="006B25F8"/>
    <w:rsid w:val="006B5BEF"/>
    <w:rsid w:val="006B7D14"/>
    <w:rsid w:val="00701727"/>
    <w:rsid w:val="0070566C"/>
    <w:rsid w:val="00714C50"/>
    <w:rsid w:val="00725A7D"/>
    <w:rsid w:val="007501BE"/>
    <w:rsid w:val="00790BB3"/>
    <w:rsid w:val="007C206C"/>
    <w:rsid w:val="00810AF4"/>
    <w:rsid w:val="008172BB"/>
    <w:rsid w:val="00817DD6"/>
    <w:rsid w:val="00823246"/>
    <w:rsid w:val="0083759F"/>
    <w:rsid w:val="008472DF"/>
    <w:rsid w:val="00885156"/>
    <w:rsid w:val="008C1A50"/>
    <w:rsid w:val="009151AA"/>
    <w:rsid w:val="0093429D"/>
    <w:rsid w:val="00943573"/>
    <w:rsid w:val="00964134"/>
    <w:rsid w:val="00970F7D"/>
    <w:rsid w:val="00994A3D"/>
    <w:rsid w:val="009C2B12"/>
    <w:rsid w:val="00A01DFC"/>
    <w:rsid w:val="00A06FC6"/>
    <w:rsid w:val="00A174D9"/>
    <w:rsid w:val="00A526FA"/>
    <w:rsid w:val="00A63E99"/>
    <w:rsid w:val="00A74627"/>
    <w:rsid w:val="00A911D4"/>
    <w:rsid w:val="00A95C43"/>
    <w:rsid w:val="00AA4D24"/>
    <w:rsid w:val="00AB6715"/>
    <w:rsid w:val="00B0653A"/>
    <w:rsid w:val="00B1671E"/>
    <w:rsid w:val="00B25EB8"/>
    <w:rsid w:val="00B37F4D"/>
    <w:rsid w:val="00BE3DD5"/>
    <w:rsid w:val="00BF3F87"/>
    <w:rsid w:val="00C07415"/>
    <w:rsid w:val="00C07D7D"/>
    <w:rsid w:val="00C24D77"/>
    <w:rsid w:val="00C437A6"/>
    <w:rsid w:val="00C52A7B"/>
    <w:rsid w:val="00C56BAF"/>
    <w:rsid w:val="00C679AA"/>
    <w:rsid w:val="00C75972"/>
    <w:rsid w:val="00CD066B"/>
    <w:rsid w:val="00CD71EF"/>
    <w:rsid w:val="00CE4FEE"/>
    <w:rsid w:val="00D060CF"/>
    <w:rsid w:val="00D506D8"/>
    <w:rsid w:val="00D67B0D"/>
    <w:rsid w:val="00D82BB2"/>
    <w:rsid w:val="00D83661"/>
    <w:rsid w:val="00DB59C3"/>
    <w:rsid w:val="00DC259A"/>
    <w:rsid w:val="00DE23E8"/>
    <w:rsid w:val="00E509E3"/>
    <w:rsid w:val="00E52377"/>
    <w:rsid w:val="00E537AD"/>
    <w:rsid w:val="00E64E17"/>
    <w:rsid w:val="00E866C9"/>
    <w:rsid w:val="00EA3D3C"/>
    <w:rsid w:val="00EC090A"/>
    <w:rsid w:val="00EC3EC6"/>
    <w:rsid w:val="00ED20B5"/>
    <w:rsid w:val="00F15CF8"/>
    <w:rsid w:val="00F46900"/>
    <w:rsid w:val="00F61D89"/>
    <w:rsid w:val="00FD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Listaszerbekezds"/>
    <w:next w:val="Norml"/>
    <w:link w:val="Cmsor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Cmsor2">
    <w:name w:val="heading 2"/>
    <w:basedOn w:val="Cmsor1"/>
    <w:next w:val="Norml"/>
    <w:link w:val="Cmsor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Cmsor3">
    <w:name w:val="heading 3"/>
    <w:basedOn w:val="Norml"/>
    <w:next w:val="Norml"/>
    <w:link w:val="Cmsor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Cmsor4">
    <w:name w:val="heading 4"/>
    <w:basedOn w:val="Cmsor3"/>
    <w:next w:val="Norml"/>
    <w:link w:val="Cmsor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Cmsor5">
    <w:name w:val="heading 5"/>
    <w:basedOn w:val="Cmsor4"/>
    <w:next w:val="Norml"/>
    <w:link w:val="Cmsor5Char"/>
    <w:uiPriority w:val="2"/>
    <w:qFormat/>
    <w:rsid w:val="00AB6715"/>
    <w:pPr>
      <w:numPr>
        <w:ilvl w:val="4"/>
      </w:numPr>
      <w:outlineLvl w:val="4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lcm">
    <w:name w:val="Subtitle"/>
    <w:basedOn w:val="Norml"/>
    <w:next w:val="Norml"/>
    <w:link w:val="Alcm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lcmChar">
    <w:name w:val="Alcím Char"/>
    <w:basedOn w:val="Bekezdsalapbettpusa"/>
    <w:link w:val="Alcm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lcm"/>
    <w:next w:val="Norml"/>
    <w:uiPriority w:val="1"/>
    <w:qFormat/>
    <w:rsid w:val="00AB6715"/>
  </w:style>
  <w:style w:type="paragraph" w:styleId="Buborkszveg">
    <w:name w:val="Balloon Text"/>
    <w:basedOn w:val="Norml"/>
    <w:link w:val="Buborkszveg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Knyvcme">
    <w:name w:val="Book Title"/>
    <w:basedOn w:val="Bekezdsalapbettpusa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Kpalrs">
    <w:name w:val="caption"/>
    <w:basedOn w:val="Norml"/>
    <w:next w:val="Nincstrkz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incstrkz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AB67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671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67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Kiemels">
    <w:name w:val="Emphasis"/>
    <w:basedOn w:val="Bekezdsalapbettpusa"/>
    <w:uiPriority w:val="20"/>
    <w:qFormat/>
    <w:rsid w:val="00AB6715"/>
    <w:rPr>
      <w:rFonts w:ascii="Times New Roman" w:hAnsi="Times New Roman"/>
      <w:i/>
      <w:iCs/>
    </w:rPr>
  </w:style>
  <w:style w:type="character" w:styleId="Vgjegyzet-hivatkozs">
    <w:name w:val="endnote reference"/>
    <w:basedOn w:val="Bekezdsalapbettpusa"/>
    <w:uiPriority w:val="99"/>
    <w:semiHidden/>
    <w:unhideWhenUsed/>
    <w:rsid w:val="00AB6715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AB6715"/>
    <w:rPr>
      <w:rFonts w:ascii="Times New Roman" w:hAnsi="Times New Roman"/>
      <w:sz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AB671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lfejChar">
    <w:name w:val="Élőfej Char"/>
    <w:basedOn w:val="Bekezdsalapbettpusa"/>
    <w:link w:val="lfej"/>
    <w:uiPriority w:val="99"/>
    <w:rsid w:val="00AB6715"/>
    <w:rPr>
      <w:rFonts w:ascii="Times New Roman" w:hAnsi="Times New Roman"/>
      <w:b/>
      <w:sz w:val="24"/>
    </w:rPr>
  </w:style>
  <w:style w:type="paragraph" w:styleId="Listaszerbekezds">
    <w:name w:val="List Paragraph"/>
    <w:basedOn w:val="Norm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hivatkozs">
    <w:name w:val="Hyperlink"/>
    <w:basedOn w:val="Bekezdsalapbettpusa"/>
    <w:uiPriority w:val="99"/>
    <w:unhideWhenUsed/>
    <w:rsid w:val="00AB6715"/>
    <w:rPr>
      <w:color w:val="0000FF"/>
      <w:u w:val="single"/>
    </w:rPr>
  </w:style>
  <w:style w:type="character" w:styleId="Erskiemels">
    <w:name w:val="Intense Emphasis"/>
    <w:basedOn w:val="Bekezdsalapbettpusa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Ershivatkozs">
    <w:name w:val="Intense Reference"/>
    <w:basedOn w:val="Bekezdsalapbettpusa"/>
    <w:uiPriority w:val="32"/>
    <w:qFormat/>
    <w:rsid w:val="00AB6715"/>
    <w:rPr>
      <w:b/>
      <w:bCs/>
      <w:smallCaps/>
      <w:color w:val="auto"/>
      <w:spacing w:val="5"/>
    </w:rPr>
  </w:style>
  <w:style w:type="character" w:styleId="Sorszma">
    <w:name w:val="line number"/>
    <w:basedOn w:val="Bekezdsalapbettpusa"/>
    <w:uiPriority w:val="99"/>
    <w:semiHidden/>
    <w:unhideWhenUsed/>
    <w:rsid w:val="00AB6715"/>
  </w:style>
  <w:style w:type="character" w:customStyle="1" w:styleId="Cmsor3Char">
    <w:name w:val="Címsor 3 Char"/>
    <w:basedOn w:val="Bekezdsalapbettpusa"/>
    <w:link w:val="Cmsor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lWeb">
    <w:name w:val="Normal (Web)"/>
    <w:basedOn w:val="Norm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Kiemels2">
    <w:name w:val="Strong"/>
    <w:basedOn w:val="Bekezdsalapbettpusa"/>
    <w:uiPriority w:val="22"/>
    <w:qFormat/>
    <w:rsid w:val="00AB6715"/>
    <w:rPr>
      <w:rFonts w:ascii="Times New Roman" w:hAnsi="Times New Roman"/>
      <w:b/>
      <w:bCs/>
    </w:rPr>
  </w:style>
  <w:style w:type="character" w:styleId="Finomkiemels">
    <w:name w:val="Subtle Emphasis"/>
    <w:basedOn w:val="Bekezdsalapbettpusa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Rcsostblzat">
    <w:name w:val="Table Grid"/>
    <w:basedOn w:val="Normltblzat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mChar">
    <w:name w:val="Cím Char"/>
    <w:basedOn w:val="Bekezdsalapbettpusa"/>
    <w:link w:val="Cm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Cm"/>
    <w:next w:val="Cm"/>
    <w:qFormat/>
    <w:rsid w:val="0001436A"/>
    <w:pPr>
      <w:spacing w:after="120"/>
    </w:pPr>
    <w:rPr>
      <w:i/>
    </w:rPr>
  </w:style>
  <w:style w:type="character" w:customStyle="1" w:styleId="content-section">
    <w:name w:val="content-section"/>
    <w:basedOn w:val="Bekezdsalapbettpusa"/>
    <w:rsid w:val="00A63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91B5B3C-94C0-48EA-B200-01CF2DBC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8</TotalTime>
  <Pages>3</Pages>
  <Words>548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u1</cp:lastModifiedBy>
  <cp:revision>17</cp:revision>
  <cp:lastPrinted>2013-10-03T12:51:00Z</cp:lastPrinted>
  <dcterms:created xsi:type="dcterms:W3CDTF">2020-04-27T12:45:00Z</dcterms:created>
  <dcterms:modified xsi:type="dcterms:W3CDTF">2020-06-15T08:28:00Z</dcterms:modified>
</cp:coreProperties>
</file>