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B535E" w14:textId="77777777" w:rsidR="00654E8F" w:rsidRPr="00A6724D" w:rsidRDefault="00654E8F" w:rsidP="0001436A">
      <w:pPr>
        <w:pStyle w:val="SupplementaryMaterial"/>
        <w:rPr>
          <w:b w:val="0"/>
          <w:color w:val="000000" w:themeColor="text1"/>
        </w:rPr>
      </w:pPr>
      <w:r w:rsidRPr="00A6724D">
        <w:rPr>
          <w:color w:val="000000" w:themeColor="text1"/>
        </w:rPr>
        <w:t>Supplementary Material</w:t>
      </w:r>
    </w:p>
    <w:p w14:paraId="3A5A035B" w14:textId="77777777" w:rsidR="00EA3D3C" w:rsidRPr="00A6724D" w:rsidRDefault="00654E8F" w:rsidP="0001436A">
      <w:pPr>
        <w:pStyle w:val="berschrift1"/>
        <w:rPr>
          <w:color w:val="000000" w:themeColor="text1"/>
        </w:rPr>
      </w:pPr>
      <w:r w:rsidRPr="00A6724D">
        <w:rPr>
          <w:color w:val="000000" w:themeColor="text1"/>
        </w:rPr>
        <w:t>Supplementary Data</w:t>
      </w:r>
    </w:p>
    <w:p w14:paraId="2A3F9B78" w14:textId="77777777" w:rsidR="00994A3D" w:rsidRPr="00A6724D" w:rsidRDefault="00994A3D" w:rsidP="00994A3D">
      <w:pPr>
        <w:jc w:val="both"/>
        <w:rPr>
          <w:rFonts w:cs="Times New Roman"/>
          <w:color w:val="000000" w:themeColor="text1"/>
          <w:szCs w:val="24"/>
        </w:rPr>
      </w:pPr>
      <w:r w:rsidRPr="00A6724D">
        <w:rPr>
          <w:rFonts w:cs="Times New Roman"/>
          <w:color w:val="000000" w:themeColor="text1"/>
          <w:szCs w:val="24"/>
        </w:rPr>
        <w:t xml:space="preserve">Supplementary Material should be uploaded separately on submission. Please include any supplementary data, figures and/or tables. </w:t>
      </w:r>
      <w:r w:rsidR="00ED20B5" w:rsidRPr="00A6724D">
        <w:rPr>
          <w:rFonts w:cs="Times New Roman"/>
          <w:color w:val="000000" w:themeColor="text1"/>
          <w:szCs w:val="24"/>
        </w:rPr>
        <w:t xml:space="preserve">All supplementary files are deposited to </w:t>
      </w:r>
      <w:proofErr w:type="spellStart"/>
      <w:r w:rsidR="00ED20B5" w:rsidRPr="00A6724D">
        <w:rPr>
          <w:rFonts w:cs="Times New Roman"/>
          <w:color w:val="000000" w:themeColor="text1"/>
          <w:szCs w:val="24"/>
        </w:rPr>
        <w:t>FigShare</w:t>
      </w:r>
      <w:proofErr w:type="spellEnd"/>
      <w:r w:rsidR="00ED20B5" w:rsidRPr="00A6724D">
        <w:rPr>
          <w:rFonts w:cs="Times New Roman"/>
          <w:color w:val="000000" w:themeColor="text1"/>
          <w:szCs w:val="24"/>
        </w:rPr>
        <w:t xml:space="preserve"> for permanent storage and receive a DOI.</w:t>
      </w:r>
    </w:p>
    <w:p w14:paraId="653C032A" w14:textId="77777777" w:rsidR="00994A3D" w:rsidRPr="00A6724D" w:rsidRDefault="00994A3D" w:rsidP="00994A3D">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Supplementary material is not typeset so please ensure that all information is clearly presented, the appropriate caption is included in the file and not in the manuscript, and that the style conforms to the rest of the article. </w:t>
      </w:r>
      <w:r w:rsidR="003123F4" w:rsidRPr="00A6724D">
        <w:rPr>
          <w:rFonts w:eastAsia="Times New Roman" w:cs="Times New Roman"/>
          <w:color w:val="000000" w:themeColor="text1"/>
          <w:szCs w:val="24"/>
          <w:lang w:eastAsia="en-GB"/>
        </w:rPr>
        <w:t>To avoid discrepancies between the published article and the supplementary material, please do not add the title, author list, affiliations or correspondence in the supplementary files.</w:t>
      </w:r>
    </w:p>
    <w:p w14:paraId="4A52416B" w14:textId="77777777" w:rsidR="0007159B" w:rsidRPr="00A6724D" w:rsidRDefault="0007159B" w:rsidP="00994A3D">
      <w:pPr>
        <w:spacing w:before="100" w:beforeAutospacing="1" w:after="100" w:afterAutospacing="1"/>
        <w:jc w:val="both"/>
        <w:rPr>
          <w:rFonts w:eastAsia="Times New Roman" w:cs="Times New Roman"/>
          <w:b/>
          <w:color w:val="000000" w:themeColor="text1"/>
          <w:szCs w:val="24"/>
          <w:lang w:eastAsia="en-GB"/>
        </w:rPr>
      </w:pPr>
      <w:r w:rsidRPr="00A6724D">
        <w:rPr>
          <w:rFonts w:eastAsia="Times New Roman" w:cs="Times New Roman"/>
          <w:b/>
          <w:color w:val="000000" w:themeColor="text1"/>
          <w:szCs w:val="24"/>
          <w:lang w:eastAsia="en-GB"/>
        </w:rPr>
        <w:t>Supplementary Methods</w:t>
      </w:r>
    </w:p>
    <w:p w14:paraId="50A47392" w14:textId="77777777" w:rsidR="0007159B" w:rsidRPr="00A6724D" w:rsidRDefault="0007159B" w:rsidP="0007159B">
      <w:pPr>
        <w:spacing w:before="100" w:beforeAutospacing="1" w:after="100" w:afterAutospacing="1"/>
        <w:jc w:val="both"/>
        <w:rPr>
          <w:rFonts w:eastAsia="Times New Roman" w:cs="Times New Roman"/>
          <w:b/>
          <w:color w:val="000000" w:themeColor="text1"/>
          <w:szCs w:val="24"/>
          <w:lang w:eastAsia="en-GB"/>
        </w:rPr>
      </w:pPr>
      <w:r w:rsidRPr="00A6724D">
        <w:rPr>
          <w:rFonts w:eastAsia="Times New Roman" w:cs="Times New Roman"/>
          <w:b/>
          <w:color w:val="000000" w:themeColor="text1"/>
          <w:szCs w:val="24"/>
          <w:lang w:eastAsia="en-GB"/>
        </w:rPr>
        <w:t>Cell Culture</w:t>
      </w:r>
    </w:p>
    <w:p w14:paraId="4FF28FBD" w14:textId="7058E9C7" w:rsidR="0007159B" w:rsidRPr="00A6724D" w:rsidRDefault="0007159B" w:rsidP="0007159B">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Neuro-2a cells (N2a) were cultured in high-glucose </w:t>
      </w:r>
      <w:r w:rsidR="005F6D96" w:rsidRPr="00A6724D">
        <w:rPr>
          <w:rFonts w:eastAsia="Times New Roman" w:cs="Times New Roman"/>
          <w:color w:val="000000" w:themeColor="text1"/>
          <w:szCs w:val="24"/>
          <w:lang w:eastAsia="en-GB"/>
        </w:rPr>
        <w:t>Dulbecco’s Modified Eagle’s Medium (</w:t>
      </w:r>
      <w:r w:rsidRPr="00A6724D">
        <w:rPr>
          <w:rFonts w:eastAsia="Times New Roman" w:cs="Times New Roman"/>
          <w:color w:val="000000" w:themeColor="text1"/>
          <w:szCs w:val="24"/>
          <w:lang w:eastAsia="en-GB"/>
        </w:rPr>
        <w:t>DMEM</w:t>
      </w:r>
      <w:r w:rsidR="005F6D96" w:rsidRPr="00A6724D">
        <w:rPr>
          <w:rFonts w:eastAsia="Times New Roman" w:cs="Times New Roman"/>
          <w:color w:val="000000" w:themeColor="text1"/>
          <w:szCs w:val="24"/>
          <w:lang w:eastAsia="en-GB"/>
        </w:rPr>
        <w:t>)</w:t>
      </w:r>
      <w:r w:rsidRPr="00A6724D">
        <w:rPr>
          <w:rFonts w:eastAsia="Times New Roman" w:cs="Times New Roman"/>
          <w:color w:val="000000" w:themeColor="text1"/>
          <w:szCs w:val="24"/>
          <w:lang w:eastAsia="en-GB"/>
        </w:rPr>
        <w:t xml:space="preserve"> supplemented with 100 U/mL penicillin, 100 µg/mL streptomycin and 10% FBS at 37 °C, 95% </w:t>
      </w:r>
      <w:r w:rsidR="005F6D96" w:rsidRPr="00A6724D">
        <w:rPr>
          <w:rFonts w:eastAsia="Times New Roman" w:cs="Times New Roman"/>
          <w:color w:val="000000" w:themeColor="text1"/>
          <w:szCs w:val="24"/>
          <w:lang w:eastAsia="en-GB"/>
        </w:rPr>
        <w:t xml:space="preserve">relative humidity </w:t>
      </w:r>
      <w:r w:rsidRPr="00A6724D">
        <w:rPr>
          <w:rFonts w:eastAsia="Times New Roman" w:cs="Times New Roman"/>
          <w:color w:val="000000" w:themeColor="text1"/>
          <w:szCs w:val="24"/>
          <w:lang w:eastAsia="en-GB"/>
        </w:rPr>
        <w:t>and 5% CO</w:t>
      </w:r>
      <w:r w:rsidRPr="00A6724D">
        <w:rPr>
          <w:rFonts w:eastAsia="Times New Roman" w:cs="Times New Roman"/>
          <w:color w:val="000000" w:themeColor="text1"/>
          <w:szCs w:val="24"/>
          <w:vertAlign w:val="subscript"/>
          <w:lang w:eastAsia="en-GB"/>
        </w:rPr>
        <w:t>2</w:t>
      </w:r>
      <w:r w:rsidRPr="00A6724D">
        <w:rPr>
          <w:rFonts w:eastAsia="Times New Roman" w:cs="Times New Roman"/>
          <w:color w:val="000000" w:themeColor="text1"/>
          <w:szCs w:val="24"/>
          <w:lang w:eastAsia="en-GB"/>
        </w:rPr>
        <w:t>.</w:t>
      </w:r>
    </w:p>
    <w:p w14:paraId="27812E7D" w14:textId="77777777" w:rsidR="0007159B" w:rsidRPr="00A6724D" w:rsidRDefault="0007159B" w:rsidP="0007159B">
      <w:pPr>
        <w:spacing w:before="100" w:beforeAutospacing="1" w:after="100" w:afterAutospacing="1"/>
        <w:jc w:val="both"/>
        <w:rPr>
          <w:rFonts w:eastAsia="Times New Roman" w:cs="Times New Roman"/>
          <w:b/>
          <w:color w:val="000000" w:themeColor="text1"/>
          <w:szCs w:val="24"/>
          <w:lang w:eastAsia="en-GB"/>
        </w:rPr>
      </w:pPr>
      <w:r w:rsidRPr="00A6724D">
        <w:rPr>
          <w:rFonts w:eastAsia="Times New Roman" w:cs="Times New Roman"/>
          <w:b/>
          <w:color w:val="000000" w:themeColor="text1"/>
          <w:szCs w:val="24"/>
          <w:lang w:eastAsia="en-GB"/>
        </w:rPr>
        <w:t>Transfection with siRNA Oligos</w:t>
      </w:r>
    </w:p>
    <w:p w14:paraId="21E1294F" w14:textId="1E0D6870" w:rsidR="0007159B" w:rsidRPr="00A6724D" w:rsidRDefault="0007159B" w:rsidP="0007159B">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For siRNA transfections of N2a cells, reverse lipofection with </w:t>
      </w:r>
      <w:proofErr w:type="spellStart"/>
      <w:r w:rsidRPr="00A6724D">
        <w:rPr>
          <w:rFonts w:eastAsia="Times New Roman" w:cs="Times New Roman"/>
          <w:color w:val="000000" w:themeColor="text1"/>
          <w:szCs w:val="24"/>
          <w:lang w:eastAsia="en-GB"/>
        </w:rPr>
        <w:t>Lipofectamin</w:t>
      </w:r>
      <w:proofErr w:type="spellEnd"/>
      <w:r w:rsidRPr="00A6724D">
        <w:rPr>
          <w:rFonts w:eastAsia="Times New Roman" w:cs="Times New Roman"/>
          <w:color w:val="000000" w:themeColor="text1"/>
          <w:szCs w:val="24"/>
          <w:lang w:eastAsia="en-GB"/>
        </w:rPr>
        <w:t>© 2000 (</w:t>
      </w:r>
      <w:proofErr w:type="spellStart"/>
      <w:r w:rsidRPr="00A6724D">
        <w:rPr>
          <w:rFonts w:eastAsia="Times New Roman" w:cs="Times New Roman"/>
          <w:color w:val="000000" w:themeColor="text1"/>
          <w:szCs w:val="24"/>
          <w:lang w:eastAsia="en-GB"/>
        </w:rPr>
        <w:t>Thermo</w:t>
      </w:r>
      <w:proofErr w:type="spellEnd"/>
      <w:r w:rsidRPr="00A6724D">
        <w:rPr>
          <w:rFonts w:eastAsia="Times New Roman" w:cs="Times New Roman"/>
          <w:color w:val="000000" w:themeColor="text1"/>
          <w:szCs w:val="24"/>
          <w:lang w:eastAsia="en-GB"/>
        </w:rPr>
        <w:t xml:space="preserve"> Fisher Scientific, USA) according to the manufacturer’s protocol and as described in </w:t>
      </w:r>
      <w:r w:rsidR="005F6D96" w:rsidRPr="00A6724D">
        <w:rPr>
          <w:rFonts w:eastAsia="Times New Roman" w:cs="Times New Roman"/>
          <w:color w:val="000000" w:themeColor="text1"/>
          <w:szCs w:val="24"/>
          <w:lang w:eastAsia="en-GB"/>
        </w:rPr>
        <w:fldChar w:fldCharType="begin" w:fldLock="1"/>
      </w:r>
      <w:r w:rsidR="00EE72AA">
        <w:rPr>
          <w:rFonts w:eastAsia="Times New Roman" w:cs="Times New Roman"/>
          <w:color w:val="000000" w:themeColor="text1"/>
          <w:szCs w:val="24"/>
          <w:lang w:eastAsia="en-GB"/>
        </w:rPr>
        <w:instrText>ADDIN CSL_CITATION {"citationItems":[{"id":"ITEM-1","itemData":{"DOI":"10.1523/JNEUROSCI.4690-11.2011","ISSN":"02706474","abstract":"The integration of interneuron subtypes into specific microcircuits is essential for proper cortical function. Understanding to what extent interneuron diversity is regulated and maintained during development might help to reveal the principles that govern their role as synchronizing elements as well as causes for dysfunction. Particular interneuron subtypes are generated in a temporally regulated manner in the medial ganglionic eminence (MGE), the caudal ganglionic eminence, and the preoptic area (POA) of the basal telencephalon. Long-range tangential migration from their site of origin to cortical targets is orchestrated by a variety of attractive, repulsive, membrane-bound, and secreted signaling molecules, to establish the critical balance of inhibition and excitation. It remains unknown whether interneurons deriving from distinct domains are predetermined to migrate in particular routes and whether this process underlies cell type-specific regulation. We found that POA-and MGE-derived cortical interneurons migrate within spatially segregated corridors. EphrinB3, expressed in POA-derived interneurons traversing the superficial route, acts as a repellent signal for deeply migrating interneurons born in the MGE, which is mediated by EphA4 forward signaling. In contrast, EphA4 induces repulsive ephrinB3 reverse signaling in interneurons generated in the POA, restricting this population to the superficial path. Perturbation of this bidirectional ephrinB3/EphA4 signaling in vitro and in vivo leads to a partial intermingling of cells in these segregated migratory pathways. Thus, we conclude that cell contact-mediated bidirectional ephrinB3/EphA4 signaling mediates the sorting of MGE-and POA-derived interneurons in the deep and superficial migratory stream. © 2011 the authors.","author":[{"dropping-particle":"","family":"Zimmer","given":"Geraldine","non-dropping-particle":"","parse-names":false,"suffix":""},{"dropping-particle":"","family":"Rudolph","given":"Judith","non-dropping-particle":"","parse-names":false,"suffix":""},{"dropping-particle":"","family":"Landmann","given":"Julia","non-dropping-particle":"","parse-names":false,"suffix":""},{"dropping-particle":"","family":"Gerstmann","given":"Katrin","non-dropping-particle":"","parse-names":false,"suffix":""},{"dropping-particle":"","family":"Steinecke","given":"André","non-dropping-particle":"","parse-names":false,"suffix":""},{"dropping-particle":"","family":"Gampe","given":"Christin","non-dropping-particle":"","parse-names":false,"suffix":""},{"dropping-particle":"","family":"Bolz","given":"Jürgen","non-dropping-particle":"","parse-names":false,"suffix":""}],"container-title":"Journal of Neuroscience","id":"ITEM-1","issue":"50","issued":{"date-parts":[["2011"]]},"page":"18364-18380","publisher":"Society for Neuroscience","title":"Bidirectional EphrinB3/EphA4 signaling mediates the segregation of medial ganglionic eminence-and preoptic area-derived interneurons in the deep and superficial migratory stream","type":"article-journal","volume":"31"},"uris":["http://www.mendeley.com/documents/?uuid=66e17737-1003-3ed7-969a-484e0c6877ed"]}],"mendeley":{"formattedCitation":"(Zimmer et al., 2011)","manualFormatting":"Zimmer et al. (2011)","plainTextFormattedCitation":"(Zimmer et al., 2011)","previouslyFormattedCitation":"(Zimmer et al., 2011)"},"properties":{"noteIndex":0},"schema":"https://github.com/citation-style-language/schema/raw/master/csl-citation.json"}</w:instrText>
      </w:r>
      <w:r w:rsidR="005F6D96" w:rsidRPr="00A6724D">
        <w:rPr>
          <w:rFonts w:eastAsia="Times New Roman" w:cs="Times New Roman"/>
          <w:color w:val="000000" w:themeColor="text1"/>
          <w:szCs w:val="24"/>
          <w:lang w:eastAsia="en-GB"/>
        </w:rPr>
        <w:fldChar w:fldCharType="separate"/>
      </w:r>
      <w:r w:rsidR="005F6D96" w:rsidRPr="00A6724D">
        <w:rPr>
          <w:rFonts w:eastAsia="Times New Roman" w:cs="Times New Roman"/>
          <w:noProof/>
          <w:color w:val="000000" w:themeColor="text1"/>
          <w:szCs w:val="24"/>
          <w:lang w:eastAsia="en-GB"/>
        </w:rPr>
        <w:t>Zimmer et al. (2011)</w:t>
      </w:r>
      <w:r w:rsidR="005F6D96" w:rsidRPr="00A6724D">
        <w:rPr>
          <w:rFonts w:eastAsia="Times New Roman" w:cs="Times New Roman"/>
          <w:color w:val="000000" w:themeColor="text1"/>
          <w:szCs w:val="24"/>
          <w:lang w:eastAsia="en-GB"/>
        </w:rPr>
        <w:fldChar w:fldCharType="end"/>
      </w:r>
      <w:r w:rsidRPr="00A6724D">
        <w:rPr>
          <w:rFonts w:eastAsia="Times New Roman" w:cs="Times New Roman"/>
          <w:color w:val="000000" w:themeColor="text1"/>
          <w:szCs w:val="24"/>
          <w:lang w:eastAsia="en-GB"/>
        </w:rPr>
        <w:t xml:space="preserve"> was applied using 15 </w:t>
      </w:r>
      <w:proofErr w:type="spellStart"/>
      <w:r w:rsidRPr="00A6724D">
        <w:rPr>
          <w:rFonts w:eastAsia="Times New Roman" w:cs="Times New Roman"/>
          <w:color w:val="000000" w:themeColor="text1"/>
          <w:szCs w:val="24"/>
          <w:lang w:eastAsia="en-GB"/>
        </w:rPr>
        <w:t>nM</w:t>
      </w:r>
      <w:proofErr w:type="spellEnd"/>
      <w:r w:rsidRPr="00A6724D">
        <w:rPr>
          <w:rFonts w:eastAsia="Times New Roman" w:cs="Times New Roman"/>
          <w:color w:val="000000" w:themeColor="text1"/>
          <w:szCs w:val="24"/>
          <w:lang w:eastAsia="en-GB"/>
        </w:rPr>
        <w:t xml:space="preserve"> control siRNA (BLOCK-</w:t>
      </w:r>
      <w:proofErr w:type="spellStart"/>
      <w:r w:rsidRPr="00A6724D">
        <w:rPr>
          <w:rFonts w:eastAsia="Times New Roman" w:cs="Times New Roman"/>
          <w:color w:val="000000" w:themeColor="text1"/>
          <w:szCs w:val="24"/>
          <w:lang w:eastAsia="en-GB"/>
        </w:rPr>
        <w:t>iT</w:t>
      </w:r>
      <w:proofErr w:type="spellEnd"/>
      <w:r w:rsidRPr="00A6724D">
        <w:rPr>
          <w:rFonts w:eastAsia="Times New Roman" w:cs="Times New Roman"/>
          <w:color w:val="000000" w:themeColor="text1"/>
          <w:szCs w:val="24"/>
          <w:lang w:eastAsia="en-GB"/>
        </w:rPr>
        <w:t xml:space="preserve"> Alexa Fluor red or green fluorescent oligo, Invitrogen, USA) and 30 </w:t>
      </w:r>
      <w:proofErr w:type="spellStart"/>
      <w:r w:rsidRPr="00A6724D">
        <w:rPr>
          <w:rFonts w:eastAsia="Times New Roman" w:cs="Times New Roman"/>
          <w:color w:val="000000" w:themeColor="text1"/>
          <w:szCs w:val="24"/>
          <w:lang w:eastAsia="en-GB"/>
        </w:rPr>
        <w:t>nM</w:t>
      </w:r>
      <w:proofErr w:type="spellEnd"/>
      <w:r w:rsidRPr="00A6724D">
        <w:rPr>
          <w:rFonts w:eastAsia="Times New Roman" w:cs="Times New Roman"/>
          <w:color w:val="000000" w:themeColor="text1"/>
          <w:szCs w:val="24"/>
          <w:lang w:eastAsia="en-GB"/>
        </w:rPr>
        <w:t xml:space="preserve"> </w:t>
      </w:r>
      <w:r w:rsidRPr="00A6724D">
        <w:rPr>
          <w:rFonts w:eastAsia="Times New Roman" w:cs="Times New Roman"/>
          <w:i/>
          <w:color w:val="000000" w:themeColor="text1"/>
          <w:szCs w:val="24"/>
          <w:lang w:eastAsia="en-GB"/>
        </w:rPr>
        <w:t>Dnmt1</w:t>
      </w:r>
      <w:r w:rsidR="00AE6A1A" w:rsidRPr="00A6724D">
        <w:rPr>
          <w:rFonts w:eastAsia="Times New Roman" w:cs="Times New Roman"/>
          <w:color w:val="000000" w:themeColor="text1"/>
          <w:szCs w:val="24"/>
          <w:lang w:eastAsia="en-GB"/>
        </w:rPr>
        <w:t xml:space="preserve"> and </w:t>
      </w:r>
      <w:r w:rsidR="00AE6A1A" w:rsidRPr="00A6724D">
        <w:rPr>
          <w:rFonts w:eastAsia="Times New Roman" w:cs="Times New Roman"/>
          <w:i/>
          <w:color w:val="000000" w:themeColor="text1"/>
          <w:szCs w:val="24"/>
          <w:lang w:eastAsia="en-GB"/>
        </w:rPr>
        <w:t>Rab7</w:t>
      </w:r>
      <w:r w:rsidRPr="00A6724D">
        <w:rPr>
          <w:rFonts w:eastAsia="Times New Roman" w:cs="Times New Roman"/>
          <w:color w:val="000000" w:themeColor="text1"/>
          <w:szCs w:val="24"/>
          <w:lang w:eastAsia="en-GB"/>
        </w:rPr>
        <w:t xml:space="preserve"> siRNA (Santa Cruz Biotechnology</w:t>
      </w:r>
      <w:r w:rsidR="005F6D96" w:rsidRPr="00A6724D">
        <w:rPr>
          <w:rFonts w:eastAsia="Times New Roman" w:cs="Times New Roman"/>
          <w:color w:val="000000" w:themeColor="text1"/>
          <w:szCs w:val="24"/>
          <w:lang w:eastAsia="en-GB"/>
        </w:rPr>
        <w:t>, USA</w:t>
      </w:r>
      <w:r w:rsidRPr="00A6724D">
        <w:rPr>
          <w:rFonts w:eastAsia="Times New Roman" w:cs="Times New Roman"/>
          <w:color w:val="000000" w:themeColor="text1"/>
          <w:szCs w:val="24"/>
          <w:lang w:eastAsia="en-GB"/>
        </w:rPr>
        <w:t xml:space="preserve">) for 5 h in Opti-MEM I Reduced Serum Medium without antibiotics (Thermo Fisher Scientific). </w:t>
      </w:r>
      <w:r w:rsidR="005F6D96" w:rsidRPr="00A6724D">
        <w:rPr>
          <w:rFonts w:eastAsia="Times New Roman" w:cs="Times New Roman"/>
          <w:color w:val="000000" w:themeColor="text1"/>
          <w:szCs w:val="24"/>
          <w:lang w:eastAsia="en-GB"/>
        </w:rPr>
        <w:t>One</w:t>
      </w:r>
      <w:r w:rsidRPr="00A6724D">
        <w:rPr>
          <w:rFonts w:eastAsia="Times New Roman" w:cs="Times New Roman"/>
          <w:color w:val="000000" w:themeColor="text1"/>
          <w:szCs w:val="24"/>
          <w:lang w:eastAsia="en-GB"/>
        </w:rPr>
        <w:t xml:space="preserve"> day prior to transfection, N2a cells were plated on coverslips coated with 19 </w:t>
      </w:r>
      <w:proofErr w:type="spellStart"/>
      <w:r w:rsidRPr="00A6724D">
        <w:rPr>
          <w:rFonts w:eastAsia="Times New Roman" w:cs="Times New Roman"/>
          <w:color w:val="000000" w:themeColor="text1"/>
          <w:szCs w:val="24"/>
          <w:lang w:eastAsia="en-GB"/>
        </w:rPr>
        <w:t>μg</w:t>
      </w:r>
      <w:proofErr w:type="spellEnd"/>
      <w:r w:rsidRPr="00A6724D">
        <w:rPr>
          <w:rFonts w:eastAsia="Times New Roman" w:cs="Times New Roman"/>
          <w:color w:val="000000" w:themeColor="text1"/>
          <w:szCs w:val="24"/>
          <w:lang w:eastAsia="en-GB"/>
        </w:rPr>
        <w:t xml:space="preserve">/mL laminin (Sigma-Aldrich, Germany) and 5 </w:t>
      </w:r>
      <w:proofErr w:type="spellStart"/>
      <w:r w:rsidRPr="00A6724D">
        <w:rPr>
          <w:rFonts w:eastAsia="Times New Roman" w:cs="Times New Roman"/>
          <w:color w:val="000000" w:themeColor="text1"/>
          <w:szCs w:val="24"/>
          <w:lang w:eastAsia="en-GB"/>
        </w:rPr>
        <w:t>μg</w:t>
      </w:r>
      <w:proofErr w:type="spellEnd"/>
      <w:r w:rsidRPr="00A6724D">
        <w:rPr>
          <w:rFonts w:eastAsia="Times New Roman" w:cs="Times New Roman"/>
          <w:color w:val="000000" w:themeColor="text1"/>
          <w:szCs w:val="24"/>
          <w:lang w:eastAsia="en-GB"/>
        </w:rPr>
        <w:t>/mL poly-L-lysine (Sigma-Aldrich).</w:t>
      </w:r>
    </w:p>
    <w:p w14:paraId="55FA8281" w14:textId="77777777" w:rsidR="003A0B17" w:rsidRPr="00A6724D" w:rsidRDefault="003A0B17" w:rsidP="003A0B17">
      <w:pPr>
        <w:spacing w:before="100" w:beforeAutospacing="1" w:after="100" w:afterAutospacing="1"/>
        <w:jc w:val="both"/>
        <w:rPr>
          <w:rFonts w:eastAsia="Times New Roman" w:cs="Times New Roman"/>
          <w:b/>
          <w:color w:val="000000" w:themeColor="text1"/>
          <w:szCs w:val="24"/>
          <w:lang w:eastAsia="en-GB"/>
        </w:rPr>
      </w:pPr>
      <w:r w:rsidRPr="00A6724D">
        <w:rPr>
          <w:rFonts w:eastAsia="Times New Roman" w:cs="Times New Roman"/>
          <w:b/>
          <w:color w:val="000000" w:themeColor="text1"/>
          <w:szCs w:val="24"/>
          <w:lang w:eastAsia="en-GB"/>
        </w:rPr>
        <w:t>Quantitative Reverse Transcription PCR</w:t>
      </w:r>
    </w:p>
    <w:p w14:paraId="066D81A8" w14:textId="77777777" w:rsidR="00077306" w:rsidRPr="00A6724D" w:rsidRDefault="003A0B17" w:rsidP="003A0B17">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RNA was isolated with </w:t>
      </w:r>
      <w:proofErr w:type="spellStart"/>
      <w:r w:rsidRPr="00A6724D">
        <w:rPr>
          <w:rFonts w:eastAsia="Times New Roman" w:cs="Times New Roman"/>
          <w:color w:val="000000" w:themeColor="text1"/>
          <w:szCs w:val="24"/>
          <w:lang w:eastAsia="en-GB"/>
        </w:rPr>
        <w:t>Trizol®Reagent</w:t>
      </w:r>
      <w:proofErr w:type="spellEnd"/>
      <w:r w:rsidRPr="00A6724D">
        <w:rPr>
          <w:rFonts w:eastAsia="Times New Roman" w:cs="Times New Roman"/>
          <w:color w:val="000000" w:themeColor="text1"/>
          <w:szCs w:val="24"/>
          <w:lang w:eastAsia="en-GB"/>
        </w:rPr>
        <w:t xml:space="preserve"> (Life Technologies, USA) according to manufacturer’s guidelines and was used for cDNA synthe</w:t>
      </w:r>
      <w:r w:rsidR="00077306" w:rsidRPr="00A6724D">
        <w:rPr>
          <w:rFonts w:eastAsia="Times New Roman" w:cs="Times New Roman"/>
          <w:color w:val="000000" w:themeColor="text1"/>
          <w:szCs w:val="24"/>
          <w:lang w:eastAsia="en-GB"/>
        </w:rPr>
        <w:t xml:space="preserve">sis using the </w:t>
      </w:r>
      <w:proofErr w:type="spellStart"/>
      <w:r w:rsidR="00077306" w:rsidRPr="00A6724D">
        <w:rPr>
          <w:rFonts w:eastAsia="Times New Roman" w:cs="Times New Roman"/>
          <w:color w:val="000000" w:themeColor="text1"/>
          <w:szCs w:val="24"/>
          <w:lang w:eastAsia="en-GB"/>
        </w:rPr>
        <w:t>SuperScript</w:t>
      </w:r>
      <w:proofErr w:type="spellEnd"/>
      <w:r w:rsidR="00077306" w:rsidRPr="00A6724D">
        <w:rPr>
          <w:rFonts w:eastAsia="Times New Roman" w:cs="Times New Roman"/>
          <w:color w:val="000000" w:themeColor="text1"/>
          <w:szCs w:val="24"/>
          <w:lang w:eastAsia="en-GB"/>
        </w:rPr>
        <w:t xml:space="preserve"> III</w:t>
      </w:r>
      <w:r w:rsidRPr="00A6724D">
        <w:rPr>
          <w:rFonts w:eastAsia="Times New Roman" w:cs="Times New Roman"/>
          <w:color w:val="000000" w:themeColor="text1"/>
          <w:szCs w:val="24"/>
          <w:lang w:eastAsia="en-GB"/>
        </w:rPr>
        <w:t xml:space="preserve">. Quantitative PCR reactions for analyzing </w:t>
      </w:r>
      <w:r w:rsidRPr="002942EB">
        <w:rPr>
          <w:rFonts w:eastAsia="Times New Roman" w:cs="Times New Roman"/>
          <w:i/>
          <w:color w:val="000000" w:themeColor="text1"/>
          <w:szCs w:val="24"/>
          <w:lang w:eastAsia="en-GB"/>
        </w:rPr>
        <w:t>Dnmt1</w:t>
      </w:r>
      <w:r w:rsidRPr="00A6724D">
        <w:rPr>
          <w:rFonts w:eastAsia="Times New Roman" w:cs="Times New Roman"/>
          <w:color w:val="000000" w:themeColor="text1"/>
          <w:szCs w:val="24"/>
          <w:lang w:eastAsia="en-GB"/>
        </w:rPr>
        <w:t xml:space="preserve">, </w:t>
      </w:r>
      <w:r w:rsidR="00077306" w:rsidRPr="002942EB">
        <w:rPr>
          <w:rFonts w:eastAsia="Times New Roman" w:cs="Times New Roman"/>
          <w:i/>
          <w:color w:val="000000" w:themeColor="text1"/>
          <w:szCs w:val="24"/>
          <w:lang w:eastAsia="en-GB"/>
        </w:rPr>
        <w:t>Rab7</w:t>
      </w:r>
      <w:r w:rsidR="00077306" w:rsidRPr="00A6724D">
        <w:rPr>
          <w:rFonts w:eastAsia="Times New Roman" w:cs="Times New Roman"/>
          <w:color w:val="000000" w:themeColor="text1"/>
          <w:szCs w:val="24"/>
          <w:lang w:eastAsia="en-GB"/>
        </w:rPr>
        <w:t xml:space="preserve"> and </w:t>
      </w:r>
      <w:r w:rsidR="00077306" w:rsidRPr="002942EB">
        <w:rPr>
          <w:rFonts w:eastAsia="Times New Roman" w:cs="Times New Roman"/>
          <w:i/>
          <w:color w:val="000000" w:themeColor="text1"/>
          <w:szCs w:val="24"/>
          <w:lang w:eastAsia="en-GB"/>
        </w:rPr>
        <w:t>Rps29</w:t>
      </w:r>
      <w:r w:rsidRPr="00A6724D">
        <w:rPr>
          <w:rFonts w:eastAsia="Times New Roman" w:cs="Times New Roman"/>
          <w:color w:val="000000" w:themeColor="text1"/>
          <w:szCs w:val="24"/>
          <w:lang w:eastAsia="en-GB"/>
        </w:rPr>
        <w:t xml:space="preserve"> quantities were performed using 10 ng cDNA</w:t>
      </w:r>
      <w:r w:rsidR="00077306" w:rsidRPr="00A6724D">
        <w:rPr>
          <w:rFonts w:eastAsia="Times New Roman" w:cs="Times New Roman"/>
          <w:color w:val="000000" w:themeColor="text1"/>
          <w:szCs w:val="24"/>
          <w:lang w:eastAsia="en-GB"/>
        </w:rPr>
        <w:t xml:space="preserve"> of each sample and the </w:t>
      </w:r>
      <w:proofErr w:type="spellStart"/>
      <w:r w:rsidR="00077306" w:rsidRPr="00A6724D">
        <w:rPr>
          <w:rFonts w:eastAsia="Times New Roman" w:cs="Times New Roman"/>
          <w:color w:val="000000" w:themeColor="text1"/>
          <w:szCs w:val="24"/>
          <w:lang w:eastAsia="en-GB"/>
        </w:rPr>
        <w:t>innuMix</w:t>
      </w:r>
      <w:proofErr w:type="spellEnd"/>
      <w:r w:rsidR="00077306" w:rsidRPr="00A6724D">
        <w:rPr>
          <w:rFonts w:eastAsia="Times New Roman" w:cs="Times New Roman"/>
          <w:color w:val="000000" w:themeColor="text1"/>
          <w:szCs w:val="24"/>
          <w:lang w:eastAsia="en-GB"/>
        </w:rPr>
        <w:t xml:space="preserve"> </w:t>
      </w:r>
      <w:r w:rsidRPr="00A6724D">
        <w:rPr>
          <w:rFonts w:eastAsia="Times New Roman" w:cs="Times New Roman"/>
          <w:color w:val="000000" w:themeColor="text1"/>
          <w:szCs w:val="24"/>
          <w:lang w:eastAsia="en-GB"/>
        </w:rPr>
        <w:t xml:space="preserve">qPCR </w:t>
      </w:r>
      <w:proofErr w:type="spellStart"/>
      <w:r w:rsidRPr="00A6724D">
        <w:rPr>
          <w:rFonts w:eastAsia="Times New Roman" w:cs="Times New Roman"/>
          <w:color w:val="000000" w:themeColor="text1"/>
          <w:szCs w:val="24"/>
          <w:lang w:eastAsia="en-GB"/>
        </w:rPr>
        <w:t>DSGreen</w:t>
      </w:r>
      <w:proofErr w:type="spellEnd"/>
      <w:r w:rsidRPr="00A6724D">
        <w:rPr>
          <w:rFonts w:eastAsia="Times New Roman" w:cs="Times New Roman"/>
          <w:color w:val="000000" w:themeColor="text1"/>
          <w:szCs w:val="24"/>
          <w:lang w:eastAsia="en-GB"/>
        </w:rPr>
        <w:t xml:space="preserve"> Standard </w:t>
      </w:r>
      <w:proofErr w:type="spellStart"/>
      <w:r w:rsidRPr="00A6724D">
        <w:rPr>
          <w:rFonts w:eastAsia="Times New Roman" w:cs="Times New Roman"/>
          <w:color w:val="000000" w:themeColor="text1"/>
          <w:szCs w:val="24"/>
          <w:lang w:eastAsia="en-GB"/>
        </w:rPr>
        <w:t>Mastermix</w:t>
      </w:r>
      <w:proofErr w:type="spellEnd"/>
      <w:r w:rsidRPr="00A6724D">
        <w:rPr>
          <w:rFonts w:eastAsia="Times New Roman" w:cs="Times New Roman"/>
          <w:color w:val="000000" w:themeColor="text1"/>
          <w:szCs w:val="24"/>
          <w:lang w:eastAsia="en-GB"/>
        </w:rPr>
        <w:t xml:space="preserve"> (Jena </w:t>
      </w:r>
      <w:proofErr w:type="spellStart"/>
      <w:r w:rsidRPr="00A6724D">
        <w:rPr>
          <w:rFonts w:eastAsia="Times New Roman" w:cs="Times New Roman"/>
          <w:color w:val="000000" w:themeColor="text1"/>
          <w:szCs w:val="24"/>
          <w:lang w:eastAsia="en-GB"/>
        </w:rPr>
        <w:t>Analytik</w:t>
      </w:r>
      <w:proofErr w:type="spellEnd"/>
      <w:r w:rsidRPr="00A6724D">
        <w:rPr>
          <w:rFonts w:eastAsia="Times New Roman" w:cs="Times New Roman"/>
          <w:color w:val="000000" w:themeColor="text1"/>
          <w:szCs w:val="24"/>
          <w:lang w:eastAsia="en-GB"/>
        </w:rPr>
        <w:t>, Germany) on the qTOWER3 G thermoc</w:t>
      </w:r>
      <w:r w:rsidR="00077306" w:rsidRPr="00A6724D">
        <w:rPr>
          <w:rFonts w:eastAsia="Times New Roman" w:cs="Times New Roman"/>
          <w:color w:val="000000" w:themeColor="text1"/>
          <w:szCs w:val="24"/>
          <w:lang w:eastAsia="en-GB"/>
        </w:rPr>
        <w:t xml:space="preserve">ycler (Jena </w:t>
      </w:r>
      <w:proofErr w:type="spellStart"/>
      <w:r w:rsidR="00077306" w:rsidRPr="00A6724D">
        <w:rPr>
          <w:rFonts w:eastAsia="Times New Roman" w:cs="Times New Roman"/>
          <w:color w:val="000000" w:themeColor="text1"/>
          <w:szCs w:val="24"/>
          <w:lang w:eastAsia="en-GB"/>
        </w:rPr>
        <w:t>Analytik</w:t>
      </w:r>
      <w:proofErr w:type="spellEnd"/>
      <w:r w:rsidR="00077306" w:rsidRPr="00A6724D">
        <w:rPr>
          <w:rFonts w:eastAsia="Times New Roman" w:cs="Times New Roman"/>
          <w:color w:val="000000" w:themeColor="text1"/>
          <w:szCs w:val="24"/>
          <w:lang w:eastAsia="en-GB"/>
        </w:rPr>
        <w:t>, Germany).</w:t>
      </w:r>
    </w:p>
    <w:p w14:paraId="3213C800" w14:textId="77777777" w:rsidR="0007159B" w:rsidRPr="00A6724D" w:rsidRDefault="003A0B17" w:rsidP="003A0B17">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The following primer sequences (indicated as 5’ → 3’) were used: </w:t>
      </w:r>
      <w:r w:rsidRPr="00A6724D">
        <w:rPr>
          <w:rFonts w:eastAsia="Times New Roman" w:cs="Times New Roman"/>
          <w:i/>
          <w:color w:val="000000" w:themeColor="text1"/>
          <w:szCs w:val="24"/>
          <w:lang w:eastAsia="en-GB"/>
        </w:rPr>
        <w:t>Dnmt1</w:t>
      </w:r>
      <w:r w:rsidRPr="00A6724D">
        <w:rPr>
          <w:rFonts w:eastAsia="Times New Roman" w:cs="Times New Roman"/>
          <w:color w:val="000000" w:themeColor="text1"/>
          <w:szCs w:val="24"/>
          <w:lang w:eastAsia="en-GB"/>
        </w:rPr>
        <w:t xml:space="preserve"> </w:t>
      </w:r>
      <w:proofErr w:type="spellStart"/>
      <w:r w:rsidRPr="00A6724D">
        <w:rPr>
          <w:rFonts w:eastAsia="Times New Roman" w:cs="Times New Roman"/>
          <w:color w:val="000000" w:themeColor="text1"/>
          <w:szCs w:val="24"/>
          <w:lang w:eastAsia="en-GB"/>
        </w:rPr>
        <w:t>forw</w:t>
      </w:r>
      <w:proofErr w:type="spellEnd"/>
      <w:r w:rsidRPr="00A6724D">
        <w:rPr>
          <w:rFonts w:eastAsia="Times New Roman" w:cs="Times New Roman"/>
          <w:color w:val="000000" w:themeColor="text1"/>
          <w:szCs w:val="24"/>
          <w:lang w:eastAsia="en-GB"/>
        </w:rPr>
        <w:t xml:space="preserve">. GGT GAG CAT CGA TGA GGA GA, rev. GCT GTG ACC CTG GCT AGA TA; </w:t>
      </w:r>
      <w:r w:rsidR="00077306" w:rsidRPr="00A6724D">
        <w:rPr>
          <w:rFonts w:eastAsia="Times New Roman" w:cs="Times New Roman"/>
          <w:i/>
          <w:color w:val="000000" w:themeColor="text1"/>
          <w:szCs w:val="24"/>
          <w:lang w:eastAsia="en-GB"/>
        </w:rPr>
        <w:t>Rab7</w:t>
      </w:r>
      <w:r w:rsidR="00077306" w:rsidRPr="00A6724D">
        <w:rPr>
          <w:rFonts w:eastAsia="Times New Roman" w:cs="Times New Roman"/>
          <w:color w:val="000000" w:themeColor="text1"/>
          <w:szCs w:val="24"/>
          <w:lang w:eastAsia="en-GB"/>
        </w:rPr>
        <w:t xml:space="preserve"> </w:t>
      </w:r>
      <w:proofErr w:type="spellStart"/>
      <w:r w:rsidR="00077306" w:rsidRPr="00A6724D">
        <w:rPr>
          <w:rFonts w:eastAsia="Times New Roman" w:cs="Times New Roman"/>
          <w:color w:val="000000" w:themeColor="text1"/>
          <w:szCs w:val="24"/>
          <w:lang w:eastAsia="en-GB"/>
        </w:rPr>
        <w:t>forw</w:t>
      </w:r>
      <w:proofErr w:type="spellEnd"/>
      <w:r w:rsidR="00077306" w:rsidRPr="00A6724D">
        <w:rPr>
          <w:rFonts w:eastAsia="Times New Roman" w:cs="Times New Roman"/>
          <w:color w:val="000000" w:themeColor="text1"/>
          <w:szCs w:val="24"/>
          <w:lang w:eastAsia="en-GB"/>
        </w:rPr>
        <w:t>.</w:t>
      </w:r>
      <w:r w:rsidR="00CC4FDC" w:rsidRPr="00A6724D">
        <w:rPr>
          <w:color w:val="000000" w:themeColor="text1"/>
        </w:rPr>
        <w:t xml:space="preserve"> </w:t>
      </w:r>
      <w:r w:rsidR="00CC4FDC" w:rsidRPr="00A6724D">
        <w:rPr>
          <w:rFonts w:eastAsia="Times New Roman" w:cs="Times New Roman"/>
          <w:color w:val="000000" w:themeColor="text1"/>
          <w:szCs w:val="24"/>
          <w:lang w:eastAsia="en-GB"/>
        </w:rPr>
        <w:t>TAG GAG CGG ACT TTC TGA CC</w:t>
      </w:r>
      <w:r w:rsidR="00077306" w:rsidRPr="00A6724D">
        <w:rPr>
          <w:rFonts w:eastAsia="Times New Roman" w:cs="Times New Roman"/>
          <w:color w:val="000000" w:themeColor="text1"/>
          <w:szCs w:val="24"/>
          <w:lang w:eastAsia="en-GB"/>
        </w:rPr>
        <w:t>, rev.</w:t>
      </w:r>
      <w:r w:rsidR="00CC4FDC" w:rsidRPr="00A6724D">
        <w:rPr>
          <w:rFonts w:eastAsia="Times New Roman" w:cs="Times New Roman"/>
          <w:color w:val="000000" w:themeColor="text1"/>
          <w:szCs w:val="24"/>
          <w:lang w:eastAsia="en-GB"/>
        </w:rPr>
        <w:t xml:space="preserve"> CAC CTC TGT AGA AGG CCA CA</w:t>
      </w:r>
      <w:r w:rsidR="00077306" w:rsidRPr="00A6724D">
        <w:rPr>
          <w:rFonts w:eastAsia="Times New Roman" w:cs="Times New Roman"/>
          <w:color w:val="000000" w:themeColor="text1"/>
          <w:szCs w:val="24"/>
          <w:lang w:eastAsia="en-GB"/>
        </w:rPr>
        <w:t xml:space="preserve"> </w:t>
      </w:r>
      <w:r w:rsidRPr="00A6724D">
        <w:rPr>
          <w:rFonts w:eastAsia="Times New Roman" w:cs="Times New Roman"/>
          <w:i/>
          <w:color w:val="000000" w:themeColor="text1"/>
          <w:szCs w:val="24"/>
          <w:lang w:eastAsia="en-GB"/>
        </w:rPr>
        <w:t>Rps29</w:t>
      </w:r>
      <w:r w:rsidRPr="00A6724D">
        <w:rPr>
          <w:rFonts w:eastAsia="Times New Roman" w:cs="Times New Roman"/>
          <w:color w:val="000000" w:themeColor="text1"/>
          <w:szCs w:val="24"/>
          <w:lang w:eastAsia="en-GB"/>
        </w:rPr>
        <w:t xml:space="preserve"> </w:t>
      </w:r>
      <w:proofErr w:type="spellStart"/>
      <w:r w:rsidRPr="00A6724D">
        <w:rPr>
          <w:rFonts w:eastAsia="Times New Roman" w:cs="Times New Roman"/>
          <w:color w:val="000000" w:themeColor="text1"/>
          <w:szCs w:val="24"/>
          <w:lang w:eastAsia="en-GB"/>
        </w:rPr>
        <w:t>forw</w:t>
      </w:r>
      <w:proofErr w:type="spellEnd"/>
      <w:r w:rsidRPr="00A6724D">
        <w:rPr>
          <w:rFonts w:eastAsia="Times New Roman" w:cs="Times New Roman"/>
          <w:color w:val="000000" w:themeColor="text1"/>
          <w:szCs w:val="24"/>
          <w:lang w:eastAsia="en-GB"/>
        </w:rPr>
        <w:t xml:space="preserve">. GAA GTT CGG CCA GGG TTC C, rev. GAA GCC TAT GTC CTT CGC GT; data were normalized to </w:t>
      </w:r>
      <w:r w:rsidRPr="002942EB">
        <w:rPr>
          <w:rFonts w:eastAsia="Times New Roman" w:cs="Times New Roman"/>
          <w:i/>
          <w:color w:val="000000" w:themeColor="text1"/>
          <w:szCs w:val="24"/>
          <w:lang w:eastAsia="en-GB"/>
        </w:rPr>
        <w:t>Rps29</w:t>
      </w:r>
      <w:r w:rsidRPr="00A6724D">
        <w:rPr>
          <w:rFonts w:eastAsia="Times New Roman" w:cs="Times New Roman"/>
          <w:color w:val="000000" w:themeColor="text1"/>
          <w:szCs w:val="24"/>
          <w:lang w:eastAsia="en-GB"/>
        </w:rPr>
        <w:t xml:space="preserve">. Results were analyzed via the </w:t>
      </w:r>
      <w:proofErr w:type="spellStart"/>
      <w:r w:rsidRPr="00A6724D">
        <w:rPr>
          <w:rFonts w:eastAsia="Times New Roman" w:cs="Times New Roman"/>
          <w:color w:val="000000" w:themeColor="text1"/>
          <w:szCs w:val="24"/>
          <w:lang w:eastAsia="en-GB"/>
        </w:rPr>
        <w:t>ΔΔCt</w:t>
      </w:r>
      <w:proofErr w:type="spellEnd"/>
      <w:r w:rsidRPr="00A6724D">
        <w:rPr>
          <w:rFonts w:eastAsia="Times New Roman" w:cs="Times New Roman"/>
          <w:color w:val="000000" w:themeColor="text1"/>
          <w:szCs w:val="24"/>
          <w:lang w:eastAsia="en-GB"/>
        </w:rPr>
        <w:t>-method.</w:t>
      </w:r>
    </w:p>
    <w:p w14:paraId="3BEC63CB" w14:textId="77777777" w:rsidR="005B1F8A" w:rsidRPr="00A6724D" w:rsidRDefault="005B1F8A" w:rsidP="0007159B">
      <w:pPr>
        <w:spacing w:before="100" w:beforeAutospacing="1" w:after="100" w:afterAutospacing="1"/>
        <w:jc w:val="both"/>
        <w:rPr>
          <w:rFonts w:eastAsia="Times New Roman" w:cs="Times New Roman"/>
          <w:b/>
          <w:color w:val="000000" w:themeColor="text1"/>
          <w:szCs w:val="24"/>
          <w:lang w:eastAsia="en-GB"/>
        </w:rPr>
      </w:pPr>
    </w:p>
    <w:p w14:paraId="76BD3AA2" w14:textId="77777777" w:rsidR="0007159B" w:rsidRPr="00A6724D" w:rsidRDefault="0007159B" w:rsidP="0007159B">
      <w:pPr>
        <w:spacing w:before="100" w:beforeAutospacing="1" w:after="100" w:afterAutospacing="1"/>
        <w:jc w:val="both"/>
        <w:rPr>
          <w:rFonts w:eastAsia="Times New Roman" w:cs="Times New Roman"/>
          <w:b/>
          <w:color w:val="000000" w:themeColor="text1"/>
          <w:szCs w:val="24"/>
          <w:lang w:eastAsia="en-GB"/>
        </w:rPr>
      </w:pPr>
      <w:r w:rsidRPr="00A6724D">
        <w:rPr>
          <w:rFonts w:eastAsia="Times New Roman" w:cs="Times New Roman"/>
          <w:b/>
          <w:color w:val="000000" w:themeColor="text1"/>
          <w:szCs w:val="24"/>
          <w:lang w:eastAsia="en-GB"/>
        </w:rPr>
        <w:t>Muscle preparation</w:t>
      </w:r>
    </w:p>
    <w:p w14:paraId="547F5B87" w14:textId="77777777" w:rsidR="0007159B" w:rsidRPr="00A6724D" w:rsidRDefault="0007159B" w:rsidP="0007159B">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Mice were deeply anesthetized by intraperitoneal injection of 50% chloral hydrate in phosphate buffered saline (PBS; pH 7.4; 2.5 µg chloral hydrate per g body weight).</w:t>
      </w:r>
    </w:p>
    <w:p w14:paraId="34E71B7E" w14:textId="77777777" w:rsidR="0007159B" w:rsidRPr="00A6724D" w:rsidRDefault="0007159B" w:rsidP="0007159B">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For hematoxylin and eosin (HE) as well as laminin staining, freshly prepared extensor digitorum longus (EDL) muscle and soleus muscle from the hind limbs were immediately frozen in embedding media (Tissue-Tek® OCT compound with 10% sucrose) in liquid nitrogen and stored at -80°C. </w:t>
      </w:r>
      <w:proofErr w:type="spellStart"/>
      <w:r w:rsidRPr="00A6724D">
        <w:rPr>
          <w:rFonts w:eastAsia="Times New Roman" w:cs="Times New Roman"/>
          <w:color w:val="000000" w:themeColor="text1"/>
          <w:szCs w:val="24"/>
          <w:lang w:eastAsia="en-GB"/>
        </w:rPr>
        <w:t>Cryosections</w:t>
      </w:r>
      <w:proofErr w:type="spellEnd"/>
      <w:r w:rsidRPr="00A6724D">
        <w:rPr>
          <w:rFonts w:eastAsia="Times New Roman" w:cs="Times New Roman"/>
          <w:color w:val="000000" w:themeColor="text1"/>
          <w:szCs w:val="24"/>
          <w:lang w:eastAsia="en-GB"/>
        </w:rPr>
        <w:t xml:space="preserve"> of frozen muscles 12 µm in thickness were cross-sectionally cut using a cryostat (</w:t>
      </w:r>
      <w:proofErr w:type="spellStart"/>
      <w:r w:rsidRPr="00A6724D">
        <w:rPr>
          <w:rFonts w:eastAsia="Times New Roman" w:cs="Times New Roman"/>
          <w:color w:val="000000" w:themeColor="text1"/>
          <w:szCs w:val="24"/>
          <w:lang w:eastAsia="en-GB"/>
        </w:rPr>
        <w:t>Microm</w:t>
      </w:r>
      <w:proofErr w:type="spellEnd"/>
      <w:r w:rsidRPr="00A6724D">
        <w:rPr>
          <w:rFonts w:eastAsia="Times New Roman" w:cs="Times New Roman"/>
          <w:color w:val="000000" w:themeColor="text1"/>
          <w:szCs w:val="24"/>
          <w:lang w:eastAsia="en-GB"/>
        </w:rPr>
        <w:t xml:space="preserve">, </w:t>
      </w:r>
      <w:proofErr w:type="spellStart"/>
      <w:r w:rsidRPr="00A6724D">
        <w:rPr>
          <w:rFonts w:eastAsia="Times New Roman" w:cs="Times New Roman"/>
          <w:color w:val="000000" w:themeColor="text1"/>
          <w:szCs w:val="24"/>
          <w:lang w:eastAsia="en-GB"/>
        </w:rPr>
        <w:t>Thermo</w:t>
      </w:r>
      <w:proofErr w:type="spellEnd"/>
      <w:r w:rsidRPr="00A6724D">
        <w:rPr>
          <w:rFonts w:eastAsia="Times New Roman" w:cs="Times New Roman"/>
          <w:color w:val="000000" w:themeColor="text1"/>
          <w:szCs w:val="24"/>
          <w:lang w:eastAsia="en-GB"/>
        </w:rPr>
        <w:t xml:space="preserve"> Fisher Scientific, U.S.A.).</w:t>
      </w:r>
    </w:p>
    <w:p w14:paraId="21167543" w14:textId="036C4EF5" w:rsidR="0007159B" w:rsidRPr="00A6724D" w:rsidRDefault="0007159B" w:rsidP="0007159B">
      <w:pPr>
        <w:spacing w:before="100" w:beforeAutospacing="1" w:after="100" w:afterAutospacing="1"/>
        <w:jc w:val="both"/>
        <w:rPr>
          <w:rFonts w:eastAsia="Times New Roman" w:cs="Times New Roman"/>
          <w:b/>
          <w:color w:val="000000" w:themeColor="text1"/>
          <w:szCs w:val="24"/>
          <w:lang w:eastAsia="en-GB"/>
        </w:rPr>
      </w:pPr>
      <w:r w:rsidRPr="00A6724D">
        <w:rPr>
          <w:rFonts w:eastAsia="Times New Roman" w:cs="Times New Roman"/>
          <w:b/>
          <w:color w:val="000000" w:themeColor="text1"/>
          <w:szCs w:val="24"/>
          <w:lang w:eastAsia="en-GB"/>
        </w:rPr>
        <w:t>HE-Staining, immunohistochemistry</w:t>
      </w:r>
      <w:r w:rsidR="00033E5F" w:rsidRPr="00A6724D">
        <w:rPr>
          <w:rFonts w:eastAsia="Times New Roman" w:cs="Times New Roman"/>
          <w:b/>
          <w:color w:val="000000" w:themeColor="text1"/>
          <w:szCs w:val="24"/>
          <w:lang w:eastAsia="en-GB"/>
        </w:rPr>
        <w:t xml:space="preserve">, </w:t>
      </w:r>
      <w:r w:rsidRPr="00A6724D">
        <w:rPr>
          <w:rFonts w:eastAsia="Times New Roman" w:cs="Times New Roman"/>
          <w:b/>
          <w:color w:val="000000" w:themeColor="text1"/>
          <w:szCs w:val="24"/>
          <w:lang w:eastAsia="en-GB"/>
        </w:rPr>
        <w:t>immunocytochemistry</w:t>
      </w:r>
      <w:r w:rsidR="00033E5F" w:rsidRPr="00A6724D">
        <w:rPr>
          <w:rFonts w:eastAsia="Times New Roman" w:cs="Times New Roman"/>
          <w:b/>
          <w:color w:val="000000" w:themeColor="text1"/>
          <w:szCs w:val="24"/>
          <w:lang w:eastAsia="en-GB"/>
        </w:rPr>
        <w:t xml:space="preserve"> and </w:t>
      </w:r>
      <w:r w:rsidR="00033E5F" w:rsidRPr="002942EB">
        <w:rPr>
          <w:rFonts w:eastAsia="Times New Roman" w:cs="Times New Roman"/>
          <w:b/>
          <w:i/>
          <w:color w:val="000000" w:themeColor="text1"/>
          <w:szCs w:val="24"/>
          <w:lang w:eastAsia="en-GB"/>
        </w:rPr>
        <w:t>in situ</w:t>
      </w:r>
      <w:r w:rsidR="00033E5F" w:rsidRPr="00A6724D">
        <w:rPr>
          <w:rFonts w:eastAsia="Times New Roman" w:cs="Times New Roman"/>
          <w:b/>
          <w:color w:val="000000" w:themeColor="text1"/>
          <w:szCs w:val="24"/>
          <w:lang w:eastAsia="en-GB"/>
        </w:rPr>
        <w:t xml:space="preserve"> hybridization</w:t>
      </w:r>
    </w:p>
    <w:p w14:paraId="759D3F90" w14:textId="77777777" w:rsidR="0007159B" w:rsidRPr="00A6724D" w:rsidRDefault="0007159B" w:rsidP="0007159B">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For HE-staining, muscle sections were fixed in cold acetone and then stained automatically using a tissue </w:t>
      </w:r>
      <w:proofErr w:type="spellStart"/>
      <w:r w:rsidRPr="00A6724D">
        <w:rPr>
          <w:rFonts w:eastAsia="Times New Roman" w:cs="Times New Roman"/>
          <w:color w:val="000000" w:themeColor="text1"/>
          <w:szCs w:val="24"/>
          <w:lang w:eastAsia="en-GB"/>
        </w:rPr>
        <w:t>stainer</w:t>
      </w:r>
      <w:proofErr w:type="spellEnd"/>
      <w:r w:rsidRPr="00A6724D">
        <w:rPr>
          <w:rFonts w:eastAsia="Times New Roman" w:cs="Times New Roman"/>
          <w:color w:val="000000" w:themeColor="text1"/>
          <w:szCs w:val="24"/>
          <w:lang w:eastAsia="en-GB"/>
        </w:rPr>
        <w:t xml:space="preserve"> (</w:t>
      </w:r>
      <w:proofErr w:type="spellStart"/>
      <w:r w:rsidRPr="00A6724D">
        <w:rPr>
          <w:rFonts w:eastAsia="Times New Roman" w:cs="Times New Roman"/>
          <w:color w:val="000000" w:themeColor="text1"/>
          <w:szCs w:val="24"/>
          <w:lang w:eastAsia="en-GB"/>
        </w:rPr>
        <w:t>Autostainer</w:t>
      </w:r>
      <w:proofErr w:type="spellEnd"/>
      <w:r w:rsidRPr="00A6724D">
        <w:rPr>
          <w:rFonts w:eastAsia="Times New Roman" w:cs="Times New Roman"/>
          <w:color w:val="000000" w:themeColor="text1"/>
          <w:szCs w:val="24"/>
          <w:lang w:eastAsia="en-GB"/>
        </w:rPr>
        <w:t xml:space="preserve"> XL, Leica Microsystems, Germany) prior to automatic mounting in CV Mount (Leica Microsystems).</w:t>
      </w:r>
    </w:p>
    <w:p w14:paraId="2C9C684E" w14:textId="77777777" w:rsidR="0007159B" w:rsidRPr="00A6724D" w:rsidRDefault="0007159B" w:rsidP="0007159B">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For Laminin staining, muscle sections were fixed in </w:t>
      </w:r>
      <w:r w:rsidR="00407C38" w:rsidRPr="00A6724D">
        <w:rPr>
          <w:rFonts w:eastAsia="Times New Roman" w:cs="Times New Roman"/>
          <w:color w:val="000000" w:themeColor="text1"/>
          <w:szCs w:val="24"/>
          <w:lang w:eastAsia="en-GB"/>
        </w:rPr>
        <w:t>2</w:t>
      </w:r>
      <w:r w:rsidRPr="00A6724D">
        <w:rPr>
          <w:rFonts w:eastAsia="Times New Roman" w:cs="Times New Roman"/>
          <w:color w:val="000000" w:themeColor="text1"/>
          <w:szCs w:val="24"/>
          <w:lang w:eastAsia="en-GB"/>
        </w:rPr>
        <w:t xml:space="preserve">% PFA, permeabilized with 0.1%TritonX and 0.1 M glycine in PBS (pH 7.4) and blocked for 1 h with 5% horse serum in PBS (pH 7.4). Primary antibody was applied overnight at 4°C and the secondary antibody was applied for 45 min at room temperature prior to DAPI nuclear staining (1:5000 in 1xPBS; pH 7.4, Sigma-Aldrich, Germany) for 5 min. Stained muscle sections were mounted in </w:t>
      </w:r>
      <w:proofErr w:type="spellStart"/>
      <w:r w:rsidRPr="00A6724D">
        <w:rPr>
          <w:rFonts w:eastAsia="Times New Roman" w:cs="Times New Roman"/>
          <w:color w:val="000000" w:themeColor="text1"/>
          <w:szCs w:val="24"/>
          <w:lang w:eastAsia="en-GB"/>
        </w:rPr>
        <w:t>Permafluor</w:t>
      </w:r>
      <w:proofErr w:type="spellEnd"/>
      <w:r w:rsidRPr="00A6724D">
        <w:rPr>
          <w:rFonts w:eastAsia="Times New Roman" w:cs="Times New Roman"/>
          <w:color w:val="000000" w:themeColor="text1"/>
          <w:szCs w:val="24"/>
          <w:lang w:eastAsia="en-GB"/>
        </w:rPr>
        <w:t xml:space="preserve"> (</w:t>
      </w:r>
      <w:proofErr w:type="spellStart"/>
      <w:r w:rsidRPr="00A6724D">
        <w:rPr>
          <w:rFonts w:eastAsia="Times New Roman" w:cs="Times New Roman"/>
          <w:color w:val="000000" w:themeColor="text1"/>
          <w:szCs w:val="24"/>
          <w:lang w:eastAsia="en-GB"/>
        </w:rPr>
        <w:t>Thermo</w:t>
      </w:r>
      <w:proofErr w:type="spellEnd"/>
      <w:r w:rsidRPr="00A6724D">
        <w:rPr>
          <w:rFonts w:eastAsia="Times New Roman" w:cs="Times New Roman"/>
          <w:color w:val="000000" w:themeColor="text1"/>
          <w:szCs w:val="24"/>
          <w:lang w:eastAsia="en-GB"/>
        </w:rPr>
        <w:t xml:space="preserve"> Fisher Scientific).</w:t>
      </w:r>
    </w:p>
    <w:p w14:paraId="075A4EE2" w14:textId="77777777" w:rsidR="0007159B" w:rsidRPr="00A6724D" w:rsidRDefault="0007159B" w:rsidP="0007159B">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For staining of neuromuscular junctions, freshly prepared EDL muscles were fixed in </w:t>
      </w:r>
      <w:r w:rsidR="00407C38" w:rsidRPr="00A6724D">
        <w:rPr>
          <w:rFonts w:eastAsia="Times New Roman" w:cs="Times New Roman"/>
          <w:color w:val="000000" w:themeColor="text1"/>
          <w:szCs w:val="24"/>
          <w:lang w:eastAsia="en-GB"/>
        </w:rPr>
        <w:t>2</w:t>
      </w:r>
      <w:r w:rsidRPr="00A6724D">
        <w:rPr>
          <w:rFonts w:eastAsia="Times New Roman" w:cs="Times New Roman"/>
          <w:color w:val="000000" w:themeColor="text1"/>
          <w:szCs w:val="24"/>
          <w:lang w:eastAsia="en-GB"/>
        </w:rPr>
        <w:t>% PFA for 15 min</w:t>
      </w:r>
      <w:r w:rsidR="00404376" w:rsidRPr="00A6724D">
        <w:rPr>
          <w:rFonts w:eastAsia="Times New Roman" w:cs="Times New Roman"/>
          <w:color w:val="000000" w:themeColor="text1"/>
          <w:szCs w:val="24"/>
          <w:lang w:eastAsia="en-GB"/>
        </w:rPr>
        <w:t xml:space="preserve"> and </w:t>
      </w:r>
      <w:r w:rsidR="00407C38" w:rsidRPr="00A6724D">
        <w:rPr>
          <w:rFonts w:eastAsia="Times New Roman" w:cs="Times New Roman"/>
          <w:color w:val="000000" w:themeColor="text1"/>
          <w:szCs w:val="24"/>
          <w:lang w:eastAsia="en-GB"/>
        </w:rPr>
        <w:t>washed with PBS (pH7.4)</w:t>
      </w:r>
      <w:r w:rsidR="00404376" w:rsidRPr="00A6724D">
        <w:rPr>
          <w:rFonts w:eastAsia="Times New Roman" w:cs="Times New Roman"/>
          <w:color w:val="000000" w:themeColor="text1"/>
          <w:szCs w:val="24"/>
          <w:lang w:eastAsia="en-GB"/>
        </w:rPr>
        <w:t>.</w:t>
      </w:r>
      <w:r w:rsidR="00404376" w:rsidRPr="00A6724D">
        <w:rPr>
          <w:color w:val="000000" w:themeColor="text1"/>
        </w:rPr>
        <w:t xml:space="preserve"> </w:t>
      </w:r>
      <w:r w:rsidR="00404376" w:rsidRPr="00A6724D">
        <w:rPr>
          <w:rFonts w:eastAsia="Times New Roman" w:cs="Times New Roman"/>
          <w:color w:val="000000" w:themeColor="text1"/>
          <w:szCs w:val="24"/>
          <w:lang w:eastAsia="en-GB"/>
        </w:rPr>
        <w:t>Fiber bundles consisting of 4-5 myofibers were prepared and used for further analyses. After permeabilization in 0.1%TritonX in PBS (pH 7.4) for 10 min at room temperature, samples were</w:t>
      </w:r>
      <w:r w:rsidRPr="00A6724D">
        <w:rPr>
          <w:rFonts w:eastAsia="Times New Roman" w:cs="Times New Roman"/>
          <w:color w:val="000000" w:themeColor="text1"/>
          <w:szCs w:val="24"/>
          <w:lang w:eastAsia="en-GB"/>
        </w:rPr>
        <w:t xml:space="preserve"> blocked with 5% horse serum in PBS (pH 7.4) for 1 h</w:t>
      </w:r>
      <w:r w:rsidR="00404376" w:rsidRPr="00A6724D">
        <w:rPr>
          <w:rFonts w:eastAsia="Times New Roman" w:cs="Times New Roman"/>
          <w:color w:val="000000" w:themeColor="text1"/>
          <w:szCs w:val="24"/>
          <w:lang w:eastAsia="en-GB"/>
        </w:rPr>
        <w:t xml:space="preserve"> followed by an incubation with bungarotoxin-Alexa 488 (1:500, Invitrogen) and </w:t>
      </w:r>
      <w:r w:rsidR="007D1EE9" w:rsidRPr="00A6724D">
        <w:rPr>
          <w:rFonts w:eastAsia="Times New Roman" w:cs="Times New Roman"/>
          <w:color w:val="000000" w:themeColor="text1"/>
          <w:szCs w:val="24"/>
          <w:lang w:eastAsia="en-GB"/>
        </w:rPr>
        <w:t>primary antibodies</w:t>
      </w:r>
      <w:r w:rsidR="00404376" w:rsidRPr="00A6724D">
        <w:rPr>
          <w:rFonts w:eastAsia="Times New Roman" w:cs="Times New Roman"/>
          <w:color w:val="000000" w:themeColor="text1"/>
          <w:szCs w:val="24"/>
          <w:lang w:eastAsia="en-GB"/>
        </w:rPr>
        <w:t xml:space="preserve"> over night at 4°C</w:t>
      </w:r>
      <w:r w:rsidRPr="00A6724D">
        <w:rPr>
          <w:rFonts w:eastAsia="Times New Roman" w:cs="Times New Roman"/>
          <w:color w:val="000000" w:themeColor="text1"/>
          <w:szCs w:val="24"/>
          <w:lang w:eastAsia="en-GB"/>
        </w:rPr>
        <w:t>.</w:t>
      </w:r>
      <w:r w:rsidR="007D1EE9" w:rsidRPr="00A6724D">
        <w:rPr>
          <w:color w:val="000000" w:themeColor="text1"/>
        </w:rPr>
        <w:t xml:space="preserve"> </w:t>
      </w:r>
      <w:r w:rsidR="007D1EE9" w:rsidRPr="00A6724D">
        <w:rPr>
          <w:rFonts w:eastAsia="Times New Roman" w:cs="Times New Roman"/>
          <w:color w:val="000000" w:themeColor="text1"/>
          <w:szCs w:val="24"/>
          <w:lang w:eastAsia="en-GB"/>
        </w:rPr>
        <w:t>After washing with PBS</w:t>
      </w:r>
      <w:r w:rsidR="00633C0A" w:rsidRPr="00A6724D">
        <w:rPr>
          <w:rFonts w:eastAsia="Times New Roman" w:cs="Times New Roman"/>
          <w:color w:val="000000" w:themeColor="text1"/>
          <w:szCs w:val="24"/>
          <w:lang w:eastAsia="en-GB"/>
        </w:rPr>
        <w:t xml:space="preserve"> (pH7.4)</w:t>
      </w:r>
      <w:r w:rsidR="007D1EE9" w:rsidRPr="00A6724D">
        <w:rPr>
          <w:rFonts w:eastAsia="Times New Roman" w:cs="Times New Roman"/>
          <w:color w:val="000000" w:themeColor="text1"/>
          <w:szCs w:val="24"/>
          <w:lang w:eastAsia="en-GB"/>
        </w:rPr>
        <w:t>,</w:t>
      </w:r>
      <w:r w:rsidRPr="00A6724D">
        <w:rPr>
          <w:rFonts w:eastAsia="Times New Roman" w:cs="Times New Roman"/>
          <w:color w:val="000000" w:themeColor="text1"/>
          <w:szCs w:val="24"/>
          <w:lang w:eastAsia="en-GB"/>
        </w:rPr>
        <w:t xml:space="preserve"> </w:t>
      </w:r>
      <w:r w:rsidR="00633C0A" w:rsidRPr="00A6724D">
        <w:rPr>
          <w:rFonts w:eastAsia="Times New Roman" w:cs="Times New Roman"/>
          <w:color w:val="000000" w:themeColor="text1"/>
          <w:szCs w:val="24"/>
          <w:lang w:eastAsia="en-GB"/>
        </w:rPr>
        <w:t xml:space="preserve">single myofiber bundles were incubated with the corresponding secondary antibodies </w:t>
      </w:r>
      <w:r w:rsidRPr="00A6724D">
        <w:rPr>
          <w:rFonts w:eastAsia="Times New Roman" w:cs="Times New Roman"/>
          <w:color w:val="000000" w:themeColor="text1"/>
          <w:szCs w:val="24"/>
          <w:lang w:eastAsia="en-GB"/>
        </w:rPr>
        <w:t>for 1 h at room temperature prior to DAPI staining (</w:t>
      </w:r>
      <w:r w:rsidR="007D1EE9" w:rsidRPr="00A6724D">
        <w:rPr>
          <w:rFonts w:eastAsia="Times New Roman" w:cs="Times New Roman"/>
          <w:color w:val="000000" w:themeColor="text1"/>
          <w:szCs w:val="24"/>
          <w:lang w:eastAsia="en-GB"/>
        </w:rPr>
        <w:t>10 µg/ml, Invitrogen</w:t>
      </w:r>
      <w:r w:rsidRPr="00A6724D">
        <w:rPr>
          <w:rFonts w:eastAsia="Times New Roman" w:cs="Times New Roman"/>
          <w:color w:val="000000" w:themeColor="text1"/>
          <w:szCs w:val="24"/>
          <w:lang w:eastAsia="en-GB"/>
        </w:rPr>
        <w:t xml:space="preserve">) for 5 min. Stained muscle fibers were </w:t>
      </w:r>
      <w:r w:rsidR="00633C0A" w:rsidRPr="00A6724D">
        <w:rPr>
          <w:rFonts w:eastAsia="Times New Roman" w:cs="Times New Roman"/>
          <w:color w:val="000000" w:themeColor="text1"/>
          <w:szCs w:val="24"/>
          <w:lang w:eastAsia="en-GB"/>
        </w:rPr>
        <w:t xml:space="preserve">washed with PBS (pH7.4) and </w:t>
      </w:r>
      <w:r w:rsidRPr="00A6724D">
        <w:rPr>
          <w:rFonts w:eastAsia="Times New Roman" w:cs="Times New Roman"/>
          <w:color w:val="000000" w:themeColor="text1"/>
          <w:szCs w:val="24"/>
          <w:lang w:eastAsia="en-GB"/>
        </w:rPr>
        <w:t xml:space="preserve">mounted in </w:t>
      </w:r>
      <w:proofErr w:type="spellStart"/>
      <w:r w:rsidRPr="00A6724D">
        <w:rPr>
          <w:rFonts w:eastAsia="Times New Roman" w:cs="Times New Roman"/>
          <w:color w:val="000000" w:themeColor="text1"/>
          <w:szCs w:val="24"/>
          <w:lang w:eastAsia="en-GB"/>
        </w:rPr>
        <w:t>Permafluor</w:t>
      </w:r>
      <w:proofErr w:type="spellEnd"/>
      <w:r w:rsidRPr="00A6724D">
        <w:rPr>
          <w:rFonts w:eastAsia="Times New Roman" w:cs="Times New Roman"/>
          <w:color w:val="000000" w:themeColor="text1"/>
          <w:szCs w:val="24"/>
          <w:lang w:eastAsia="en-GB"/>
        </w:rPr>
        <w:t xml:space="preserve"> (</w:t>
      </w:r>
      <w:proofErr w:type="spellStart"/>
      <w:r w:rsidRPr="00A6724D">
        <w:rPr>
          <w:rFonts w:eastAsia="Times New Roman" w:cs="Times New Roman"/>
          <w:color w:val="000000" w:themeColor="text1"/>
          <w:szCs w:val="24"/>
          <w:lang w:eastAsia="en-GB"/>
        </w:rPr>
        <w:t>Thermo</w:t>
      </w:r>
      <w:proofErr w:type="spellEnd"/>
      <w:r w:rsidRPr="00A6724D">
        <w:rPr>
          <w:rFonts w:eastAsia="Times New Roman" w:cs="Times New Roman"/>
          <w:color w:val="000000" w:themeColor="text1"/>
          <w:szCs w:val="24"/>
          <w:lang w:eastAsia="en-GB"/>
        </w:rPr>
        <w:t xml:space="preserve"> Fisher Scientific).</w:t>
      </w:r>
    </w:p>
    <w:p w14:paraId="2E90DFB6" w14:textId="77777777" w:rsidR="00CC4FDC" w:rsidRPr="00A6724D" w:rsidRDefault="00CC4FDC" w:rsidP="0007159B">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Brain sections were </w:t>
      </w:r>
      <w:r w:rsidR="00E91463" w:rsidRPr="00A6724D">
        <w:rPr>
          <w:rFonts w:eastAsia="Times New Roman" w:cs="Times New Roman"/>
          <w:color w:val="000000" w:themeColor="text1"/>
          <w:szCs w:val="24"/>
          <w:lang w:eastAsia="en-GB"/>
        </w:rPr>
        <w:t>labeled with antibodies</w:t>
      </w:r>
      <w:r w:rsidRPr="00A6724D">
        <w:rPr>
          <w:rFonts w:eastAsia="Times New Roman" w:cs="Times New Roman"/>
          <w:color w:val="000000" w:themeColor="text1"/>
          <w:szCs w:val="24"/>
          <w:lang w:eastAsia="en-GB"/>
        </w:rPr>
        <w:t xml:space="preserve"> according to immunohistochemistry method</w:t>
      </w:r>
      <w:r w:rsidR="00407C38" w:rsidRPr="00A6724D">
        <w:rPr>
          <w:rFonts w:eastAsia="Times New Roman" w:cs="Times New Roman"/>
          <w:color w:val="000000" w:themeColor="text1"/>
          <w:szCs w:val="24"/>
          <w:lang w:eastAsia="en-GB"/>
        </w:rPr>
        <w:t>s</w:t>
      </w:r>
      <w:r w:rsidRPr="00A6724D">
        <w:rPr>
          <w:rFonts w:eastAsia="Times New Roman" w:cs="Times New Roman"/>
          <w:color w:val="000000" w:themeColor="text1"/>
          <w:szCs w:val="24"/>
          <w:lang w:eastAsia="en-GB"/>
        </w:rPr>
        <w:t xml:space="preserve"> in the main manuscript.</w:t>
      </w:r>
    </w:p>
    <w:p w14:paraId="06E31805" w14:textId="77777777" w:rsidR="0007159B" w:rsidRPr="00A6724D" w:rsidRDefault="0007159B" w:rsidP="0007159B">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N2a cells were permeabilized with 0.2% Triton X-100 in PBS (pH7.4) for 10 min prior to blocking with 5% normal goat serum in PBS (pH7.4) for 1 h. Primary antibodies were applied overnight at 4°C, secondary antibody for 1 h at RT. After nuclei staining with DAPI (Molecular Probes) for 5 min, coverslips were embedded in </w:t>
      </w:r>
      <w:proofErr w:type="spellStart"/>
      <w:r w:rsidRPr="00A6724D">
        <w:rPr>
          <w:rFonts w:eastAsia="Times New Roman" w:cs="Times New Roman"/>
          <w:color w:val="000000" w:themeColor="text1"/>
          <w:szCs w:val="24"/>
          <w:lang w:eastAsia="en-GB"/>
        </w:rPr>
        <w:t>Mowiol</w:t>
      </w:r>
      <w:proofErr w:type="spellEnd"/>
      <w:r w:rsidRPr="00A6724D">
        <w:rPr>
          <w:rFonts w:eastAsia="Times New Roman" w:cs="Times New Roman"/>
          <w:color w:val="000000" w:themeColor="text1"/>
          <w:szCs w:val="24"/>
          <w:lang w:eastAsia="en-GB"/>
        </w:rPr>
        <w:t xml:space="preserve"> (Carl Roth). If not annotated differently, all steps were performed at room temperature.</w:t>
      </w:r>
    </w:p>
    <w:p w14:paraId="511D358E" w14:textId="77777777" w:rsidR="0007159B" w:rsidRPr="00A6724D" w:rsidRDefault="0007159B" w:rsidP="00E91463">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 xml:space="preserve">Following primary antibodies were used: rabbit anti-Laminin, (1:1000, Abcam), </w:t>
      </w:r>
      <w:r w:rsidR="00AE6A1A" w:rsidRPr="00A6724D">
        <w:rPr>
          <w:rFonts w:eastAsia="Times New Roman" w:cs="Times New Roman"/>
          <w:color w:val="000000" w:themeColor="text1"/>
          <w:szCs w:val="24"/>
          <w:lang w:eastAsia="en-GB"/>
        </w:rPr>
        <w:t>mouse anti-N</w:t>
      </w:r>
      <w:r w:rsidRPr="00A6724D">
        <w:rPr>
          <w:rFonts w:eastAsia="Times New Roman" w:cs="Times New Roman"/>
          <w:color w:val="000000" w:themeColor="text1"/>
          <w:szCs w:val="24"/>
          <w:lang w:eastAsia="en-GB"/>
        </w:rPr>
        <w:t xml:space="preserve">eurofilament (undiluted, </w:t>
      </w:r>
      <w:r w:rsidR="007D1EE9" w:rsidRPr="00A6724D">
        <w:rPr>
          <w:rFonts w:eastAsia="Times New Roman" w:cs="Times New Roman"/>
          <w:color w:val="000000" w:themeColor="text1"/>
          <w:szCs w:val="24"/>
          <w:lang w:eastAsia="en-GB"/>
        </w:rPr>
        <w:t xml:space="preserve">2H3, </w:t>
      </w:r>
      <w:r w:rsidRPr="00A6724D">
        <w:rPr>
          <w:rFonts w:eastAsia="Times New Roman" w:cs="Times New Roman"/>
          <w:color w:val="000000" w:themeColor="text1"/>
          <w:szCs w:val="24"/>
          <w:lang w:eastAsia="en-GB"/>
        </w:rPr>
        <w:t>DSHB), mouse anti-synaptic vesicle protein 2 (undiluted,</w:t>
      </w:r>
      <w:r w:rsidR="007D1EE9" w:rsidRPr="00A6724D">
        <w:rPr>
          <w:rFonts w:eastAsia="Times New Roman" w:cs="Times New Roman"/>
          <w:color w:val="000000" w:themeColor="text1"/>
          <w:szCs w:val="24"/>
          <w:lang w:eastAsia="en-GB"/>
        </w:rPr>
        <w:t xml:space="preserve"> SV2,</w:t>
      </w:r>
      <w:r w:rsidRPr="00A6724D">
        <w:rPr>
          <w:rFonts w:eastAsia="Times New Roman" w:cs="Times New Roman"/>
          <w:color w:val="000000" w:themeColor="text1"/>
          <w:szCs w:val="24"/>
          <w:lang w:eastAsia="en-GB"/>
        </w:rPr>
        <w:t xml:space="preserve"> DSHB)</w:t>
      </w:r>
      <w:r w:rsidR="00E91463" w:rsidRPr="00A6724D">
        <w:rPr>
          <w:rFonts w:eastAsia="Times New Roman" w:cs="Times New Roman"/>
          <w:color w:val="000000" w:themeColor="text1"/>
          <w:szCs w:val="24"/>
          <w:lang w:eastAsia="en-GB"/>
        </w:rPr>
        <w:t>,</w:t>
      </w:r>
      <w:r w:rsidRPr="00A6724D">
        <w:rPr>
          <w:rFonts w:eastAsia="Times New Roman" w:cs="Times New Roman"/>
          <w:color w:val="000000" w:themeColor="text1"/>
          <w:szCs w:val="24"/>
          <w:lang w:eastAsia="en-GB"/>
        </w:rPr>
        <w:t xml:space="preserve"> </w:t>
      </w:r>
      <w:r w:rsidR="00E91463" w:rsidRPr="00A6724D">
        <w:rPr>
          <w:rFonts w:eastAsia="Times New Roman" w:cs="Times New Roman"/>
          <w:color w:val="000000" w:themeColor="text1"/>
          <w:szCs w:val="24"/>
          <w:lang w:eastAsia="en-GB"/>
        </w:rPr>
        <w:t xml:space="preserve">mouse anti-NeuN (1:500, Millipore), </w:t>
      </w:r>
      <w:r w:rsidRPr="00A6724D">
        <w:rPr>
          <w:rFonts w:eastAsia="Times New Roman" w:cs="Times New Roman"/>
          <w:color w:val="000000" w:themeColor="text1"/>
          <w:szCs w:val="24"/>
          <w:lang w:eastAsia="en-GB"/>
        </w:rPr>
        <w:t xml:space="preserve">rabbit anti-Ubiquitin (1:600, </w:t>
      </w:r>
      <w:proofErr w:type="spellStart"/>
      <w:r w:rsidRPr="00A6724D">
        <w:rPr>
          <w:rFonts w:eastAsia="Times New Roman" w:cs="Times New Roman"/>
          <w:color w:val="000000" w:themeColor="text1"/>
          <w:szCs w:val="24"/>
          <w:lang w:eastAsia="en-GB"/>
        </w:rPr>
        <w:t>Dako</w:t>
      </w:r>
      <w:proofErr w:type="spellEnd"/>
      <w:r w:rsidRPr="00A6724D">
        <w:rPr>
          <w:rFonts w:eastAsia="Times New Roman" w:cs="Times New Roman"/>
          <w:color w:val="000000" w:themeColor="text1"/>
          <w:szCs w:val="24"/>
          <w:lang w:eastAsia="en-GB"/>
        </w:rPr>
        <w:t>)</w:t>
      </w:r>
      <w:r w:rsidR="00014FA3" w:rsidRPr="00A6724D">
        <w:rPr>
          <w:rFonts w:eastAsia="Times New Roman" w:cs="Times New Roman"/>
          <w:color w:val="000000" w:themeColor="text1"/>
          <w:szCs w:val="24"/>
          <w:lang w:eastAsia="en-GB"/>
        </w:rPr>
        <w:t>.</w:t>
      </w:r>
      <w:r w:rsidR="00E14C7B" w:rsidRPr="00A6724D">
        <w:rPr>
          <w:rFonts w:eastAsia="Times New Roman" w:cs="Times New Roman"/>
          <w:color w:val="000000" w:themeColor="text1"/>
          <w:szCs w:val="24"/>
          <w:lang w:eastAsia="en-GB"/>
        </w:rPr>
        <w:t xml:space="preserve"> </w:t>
      </w:r>
    </w:p>
    <w:p w14:paraId="689C7C33" w14:textId="77777777" w:rsidR="0007159B" w:rsidRPr="00A6724D" w:rsidRDefault="0007159B" w:rsidP="0007159B">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lastRenderedPageBreak/>
        <w:t xml:space="preserve">Following secondary antibodies were applied: goat Cy5 anti-mouse (1:1000, Thermo Fisher Scientific), goat Cy5 anti-rabbit (1:1000, Thermo Fisher Scientific), goat Alexa647 anti-rabbit (1:1000, </w:t>
      </w:r>
      <w:r w:rsidR="00633C0A" w:rsidRPr="00A6724D">
        <w:rPr>
          <w:rFonts w:eastAsia="Times New Roman" w:cs="Times New Roman"/>
          <w:color w:val="000000" w:themeColor="text1"/>
          <w:szCs w:val="24"/>
          <w:lang w:eastAsia="en-GB"/>
        </w:rPr>
        <w:t>Invitrogen</w:t>
      </w:r>
      <w:r w:rsidRPr="00A6724D">
        <w:rPr>
          <w:rFonts w:eastAsia="Times New Roman" w:cs="Times New Roman"/>
          <w:color w:val="000000" w:themeColor="text1"/>
          <w:szCs w:val="24"/>
          <w:lang w:eastAsia="en-GB"/>
        </w:rPr>
        <w:t xml:space="preserve">), goat IgG-Alexa647 anti-mouse (1:1000, </w:t>
      </w:r>
      <w:r w:rsidR="00633C0A" w:rsidRPr="00A6724D">
        <w:rPr>
          <w:rFonts w:eastAsia="Times New Roman" w:cs="Times New Roman"/>
          <w:color w:val="000000" w:themeColor="text1"/>
          <w:szCs w:val="24"/>
          <w:lang w:eastAsia="en-GB"/>
        </w:rPr>
        <w:t>Invitrogen</w:t>
      </w:r>
      <w:r w:rsidRPr="00A6724D">
        <w:rPr>
          <w:rFonts w:eastAsia="Times New Roman" w:cs="Times New Roman"/>
          <w:color w:val="000000" w:themeColor="text1"/>
          <w:szCs w:val="24"/>
          <w:lang w:eastAsia="en-GB"/>
        </w:rPr>
        <w:t xml:space="preserve">) and donkey Alexa 488 anti-rabbit (1:500, Jackson </w:t>
      </w:r>
      <w:proofErr w:type="spellStart"/>
      <w:r w:rsidRPr="00A6724D">
        <w:rPr>
          <w:rFonts w:eastAsia="Times New Roman" w:cs="Times New Roman"/>
          <w:color w:val="000000" w:themeColor="text1"/>
          <w:szCs w:val="24"/>
          <w:lang w:eastAsia="en-GB"/>
        </w:rPr>
        <w:t>Immunoresearch</w:t>
      </w:r>
      <w:proofErr w:type="spellEnd"/>
      <w:r w:rsidRPr="00A6724D">
        <w:rPr>
          <w:rFonts w:eastAsia="Times New Roman" w:cs="Times New Roman"/>
          <w:color w:val="000000" w:themeColor="text1"/>
          <w:szCs w:val="24"/>
          <w:lang w:eastAsia="en-GB"/>
        </w:rPr>
        <w:t>)</w:t>
      </w:r>
      <w:r w:rsidR="00033E5F" w:rsidRPr="00A6724D">
        <w:rPr>
          <w:rFonts w:eastAsia="Times New Roman" w:cs="Times New Roman"/>
          <w:color w:val="000000" w:themeColor="text1"/>
          <w:szCs w:val="24"/>
          <w:lang w:eastAsia="en-GB"/>
        </w:rPr>
        <w:t>.</w:t>
      </w:r>
    </w:p>
    <w:p w14:paraId="565594C8" w14:textId="77777777" w:rsidR="00033E5F" w:rsidRPr="00A6724D" w:rsidRDefault="00033E5F" w:rsidP="0007159B">
      <w:pPr>
        <w:spacing w:before="100" w:beforeAutospacing="1" w:after="100" w:afterAutospacing="1"/>
        <w:jc w:val="both"/>
        <w:rPr>
          <w:rFonts w:eastAsia="Times New Roman" w:cs="Times New Roman"/>
          <w:color w:val="000000" w:themeColor="text1"/>
          <w:szCs w:val="24"/>
          <w:lang w:eastAsia="en-GB"/>
        </w:rPr>
      </w:pPr>
      <w:r w:rsidRPr="00A6724D">
        <w:rPr>
          <w:color w:val="000000" w:themeColor="text1"/>
        </w:rPr>
        <w:t xml:space="preserve">For </w:t>
      </w:r>
      <w:r w:rsidRPr="00A6724D">
        <w:rPr>
          <w:i/>
          <w:iCs/>
          <w:color w:val="000000" w:themeColor="text1"/>
        </w:rPr>
        <w:t>in situ</w:t>
      </w:r>
      <w:r w:rsidRPr="00A6724D">
        <w:rPr>
          <w:color w:val="000000" w:themeColor="text1"/>
        </w:rPr>
        <w:t xml:space="preserve"> hybridizations, adult brains were cryo-sectioned coronally at -20°C (20 µm). </w:t>
      </w:r>
      <w:r w:rsidRPr="00A6724D">
        <w:rPr>
          <w:i/>
          <w:iCs/>
          <w:color w:val="000000" w:themeColor="text1"/>
        </w:rPr>
        <w:t>In situ</w:t>
      </w:r>
      <w:r w:rsidRPr="00A6724D">
        <w:rPr>
          <w:color w:val="000000" w:themeColor="text1"/>
        </w:rPr>
        <w:t xml:space="preserve"> hybridizations were performed as described by </w:t>
      </w:r>
      <w:r w:rsidRPr="00A6724D">
        <w:rPr>
          <w:color w:val="000000" w:themeColor="text1"/>
        </w:rPr>
        <w:fldChar w:fldCharType="begin" w:fldLock="1"/>
      </w:r>
      <w:r w:rsidRPr="00A6724D">
        <w:rPr>
          <w:color w:val="000000" w:themeColor="text1"/>
        </w:rPr>
        <w:instrText>ADDIN CSL_CITATION {"citationItems":[{"id":"ITEM-1","itemData":{"DOI":"10.1523/JNEUROSCI.4690-11.2011","ISSN":"02706474","abstract":"The integration of interneuron subtypes into specific microcircuits is essential for proper cortical function. Understanding to what extent interneuron diversity is regulated and maintained during development might help to reveal the principles that govern their role as synchronizing elements as well as causes for dysfunction. Particular interneuron subtypes are generated in a temporally regulated manner in the medial ganglionic eminence (MGE), the caudal ganglionic eminence, and the preoptic area (POA) of the basal telencephalon. Long-range tangential migration from their site of origin to cortical targets is orchestrated by a variety of attractive, repulsive, membrane-bound, and secreted signaling molecules, to establish the critical balance of inhibition and excitation. It remains unknown whether interneurons deriving from distinct domains are predetermined to migrate in particular routes and whether this process underlies cell type-specific regulation. We found that POA-and MGE-derived cortical interneurons migrate within spatially segregated corridors. EphrinB3, expressed in POA-derived interneurons traversing the superficial route, acts as a repellent signal for deeply migrating interneurons born in the MGE, which is mediated by EphA4 forward signaling. In contrast, EphA4 induces repulsive ephrinB3 reverse signaling in interneurons generated in the POA, restricting this population to the superficial path. Perturbation of this bidirectional ephrinB3/EphA4 signaling in vitro and in vivo leads to a partial intermingling of cells in these segregated migratory pathways. Thus, we conclude that cell contact-mediated bidirectional ephrinB3/EphA4 signaling mediates the sorting of MGE-and POA-derived interneurons in the deep and superficial migratory stream. © 2011 the authors.","author":[{"dropping-particle":"","family":"Zimmer","given":"Geraldine","non-dropping-particle":"","parse-names":false,"suffix":""},{"dropping-particle":"","family":"Rudolph","given":"Judith","non-dropping-particle":"","parse-names":false,"suffix":""},{"dropping-particle":"","family":"Landmann","given":"Julia","non-dropping-particle":"","parse-names":false,"suffix":""},{"dropping-particle":"","family":"Gerstmann","given":"Katrin","non-dropping-particle":"","parse-names":false,"suffix":""},{"dropping-particle":"","family":"Steinecke","given":"André","non-dropping-particle":"","parse-names":false,"suffix":""},{"dropping-particle":"","family":"Gampe","given":"Christin","non-dropping-particle":"","parse-names":false,"suffix":""},{"dropping-particle":"","family":"Bolz","given":"Jürgen","non-dropping-particle":"","parse-names":false,"suffix":""}],"container-title":"Journal of Neuroscience","id":"ITEM-1","issue":"50","issued":{"date-parts":[["2011"]]},"page":"18364-18380","publisher":"Society for Neuroscience","title":"Bidirectional EphrinB3/EphA4 signaling mediates the segregation of medial ganglionic eminence-and preoptic area-derived interneurons in the deep and superficial migratory stream","type":"article-journal","volume":"31"},"uris":["http://www.mendeley.com/documents/?uuid=5689f98c-e5ad-3ee6-9d96-e81033646533"]}],"mendeley":{"formattedCitation":"(Zimmer et al., 2011)","manualFormatting":"Zimmer et al. (2011)","plainTextFormattedCitation":"(Zimmer et al., 2011)","previouslyFormattedCitation":"(Zimmer et al., 2011)"},"properties":{"noteIndex":0},"schema":"https://github.com/citation-style-language/schema/raw/master/csl-citation.json"}</w:instrText>
      </w:r>
      <w:r w:rsidRPr="00A6724D">
        <w:rPr>
          <w:color w:val="000000" w:themeColor="text1"/>
        </w:rPr>
        <w:fldChar w:fldCharType="separate"/>
      </w:r>
      <w:r w:rsidRPr="00A6724D">
        <w:rPr>
          <w:noProof/>
          <w:color w:val="000000" w:themeColor="text1"/>
        </w:rPr>
        <w:t>Zimmer et al. (2011)</w:t>
      </w:r>
      <w:r w:rsidRPr="00A6724D">
        <w:rPr>
          <w:color w:val="000000" w:themeColor="text1"/>
        </w:rPr>
        <w:fldChar w:fldCharType="end"/>
      </w:r>
      <w:r w:rsidRPr="00A6724D">
        <w:rPr>
          <w:color w:val="000000" w:themeColor="text1"/>
        </w:rPr>
        <w:t xml:space="preserve"> using digoxigenin-labeled riboprobes. The following primers were used to generate the riboprobe: forward GAGAGCTCTGTCGATGACAGACGTGCTC and reverse GAGGTACCTTCTTCAACCCCAATCTTGC for </w:t>
      </w:r>
      <w:r w:rsidRPr="00A6724D">
        <w:rPr>
          <w:i/>
          <w:iCs/>
          <w:color w:val="000000" w:themeColor="text1"/>
        </w:rPr>
        <w:t xml:space="preserve">Pvalb </w:t>
      </w:r>
      <w:r w:rsidRPr="00A6724D">
        <w:rPr>
          <w:color w:val="000000" w:themeColor="text1"/>
        </w:rPr>
        <w:t>(NM_013645.3)</w:t>
      </w:r>
      <w:r w:rsidR="005860C0" w:rsidRPr="00A6724D">
        <w:rPr>
          <w:color w:val="000000" w:themeColor="text1"/>
        </w:rPr>
        <w:t xml:space="preserve">; forward </w:t>
      </w:r>
      <w:r w:rsidR="005860C0" w:rsidRPr="00A6724D">
        <w:t xml:space="preserve">GAGAGCTCCACAGCTCTGTGGGAAGACA and reverse GAGGTACCAGCTTGATGTCTGCCTCGTT for </w:t>
      </w:r>
      <w:r w:rsidR="005860C0" w:rsidRPr="00A6724D">
        <w:rPr>
          <w:i/>
        </w:rPr>
        <w:t xml:space="preserve">Dnmt1 </w:t>
      </w:r>
      <w:r w:rsidR="005860C0" w:rsidRPr="00A6724D">
        <w:t>(ENSMUST00000004202)</w:t>
      </w:r>
      <w:r w:rsidRPr="00A6724D">
        <w:rPr>
          <w:color w:val="000000" w:themeColor="text1"/>
        </w:rPr>
        <w:t xml:space="preserve">. The riboprobe was obtained by </w:t>
      </w:r>
      <w:r w:rsidRPr="00A6724D">
        <w:rPr>
          <w:i/>
          <w:iCs/>
          <w:color w:val="000000" w:themeColor="text1"/>
        </w:rPr>
        <w:t>in vitro</w:t>
      </w:r>
      <w:r w:rsidRPr="00A6724D">
        <w:rPr>
          <w:color w:val="000000" w:themeColor="text1"/>
        </w:rPr>
        <w:t xml:space="preserve"> transcription using DIG-11-UTP (Roche, Germany) from cDNA fragments cloned in </w:t>
      </w:r>
      <w:proofErr w:type="spellStart"/>
      <w:r w:rsidRPr="00A6724D">
        <w:rPr>
          <w:color w:val="000000" w:themeColor="text1"/>
        </w:rPr>
        <w:t>pBluescript</w:t>
      </w:r>
      <w:proofErr w:type="spellEnd"/>
      <w:r w:rsidRPr="00A6724D">
        <w:rPr>
          <w:color w:val="000000" w:themeColor="text1"/>
        </w:rPr>
        <w:t xml:space="preserve"> II SK (</w:t>
      </w:r>
      <w:proofErr w:type="spellStart"/>
      <w:r w:rsidRPr="00A6724D">
        <w:rPr>
          <w:color w:val="000000" w:themeColor="text1"/>
        </w:rPr>
        <w:t>Stratagene</w:t>
      </w:r>
      <w:proofErr w:type="spellEnd"/>
      <w:r w:rsidRPr="00A6724D">
        <w:rPr>
          <w:color w:val="000000" w:themeColor="text1"/>
        </w:rPr>
        <w:t>, USA).</w:t>
      </w:r>
    </w:p>
    <w:p w14:paraId="2C3997D8" w14:textId="77777777" w:rsidR="0007159B" w:rsidRPr="00A6724D" w:rsidRDefault="0007159B" w:rsidP="0007159B">
      <w:pPr>
        <w:spacing w:before="100" w:beforeAutospacing="1" w:after="100" w:afterAutospacing="1"/>
        <w:jc w:val="both"/>
        <w:rPr>
          <w:rFonts w:eastAsia="Times New Roman" w:cs="Times New Roman"/>
          <w:b/>
          <w:color w:val="000000" w:themeColor="text1"/>
          <w:szCs w:val="24"/>
          <w:lang w:eastAsia="en-GB"/>
        </w:rPr>
      </w:pPr>
      <w:r w:rsidRPr="00A6724D">
        <w:rPr>
          <w:rFonts w:eastAsia="Times New Roman" w:cs="Times New Roman"/>
          <w:b/>
          <w:color w:val="000000" w:themeColor="text1"/>
          <w:szCs w:val="24"/>
          <w:lang w:eastAsia="en-GB"/>
        </w:rPr>
        <w:t xml:space="preserve">Microscopy </w:t>
      </w:r>
      <w:r w:rsidR="00633C0A" w:rsidRPr="00A6724D">
        <w:rPr>
          <w:rFonts w:eastAsia="Times New Roman" w:cs="Times New Roman"/>
          <w:b/>
          <w:color w:val="000000" w:themeColor="text1"/>
          <w:szCs w:val="24"/>
          <w:lang w:eastAsia="en-GB"/>
        </w:rPr>
        <w:t xml:space="preserve">and </w:t>
      </w:r>
      <w:r w:rsidRPr="00A6724D">
        <w:rPr>
          <w:rFonts w:eastAsia="Times New Roman" w:cs="Times New Roman"/>
          <w:b/>
          <w:color w:val="000000" w:themeColor="text1"/>
          <w:szCs w:val="24"/>
          <w:lang w:eastAsia="en-GB"/>
        </w:rPr>
        <w:t>image analysis</w:t>
      </w:r>
    </w:p>
    <w:p w14:paraId="3883157B" w14:textId="77777777" w:rsidR="00633C0A" w:rsidRPr="00A6724D" w:rsidRDefault="00633C0A" w:rsidP="005918BE">
      <w:pPr>
        <w:spacing w:before="100" w:beforeAutospacing="1" w:after="100" w:afterAutospacing="1"/>
        <w:jc w:val="both"/>
        <w:rPr>
          <w:rFonts w:eastAsia="Times New Roman" w:cs="Times New Roman"/>
          <w:color w:val="000000" w:themeColor="text1"/>
          <w:szCs w:val="24"/>
          <w:lang w:eastAsia="en-GB"/>
        </w:rPr>
      </w:pPr>
      <w:r w:rsidRPr="00A6724D">
        <w:rPr>
          <w:rFonts w:eastAsia="Times New Roman" w:cs="Times New Roman"/>
          <w:color w:val="000000" w:themeColor="text1"/>
          <w:szCs w:val="24"/>
          <w:lang w:eastAsia="en-GB"/>
        </w:rPr>
        <w:t>Images</w:t>
      </w:r>
      <w:r w:rsidR="005918BE" w:rsidRPr="00A6724D">
        <w:rPr>
          <w:rFonts w:eastAsia="Times New Roman" w:cs="Times New Roman"/>
          <w:color w:val="000000" w:themeColor="text1"/>
          <w:szCs w:val="24"/>
          <w:lang w:eastAsia="en-GB"/>
        </w:rPr>
        <w:t xml:space="preserve"> of </w:t>
      </w:r>
      <w:r w:rsidR="00E14C7B" w:rsidRPr="00A6724D">
        <w:rPr>
          <w:rFonts w:eastAsia="Times New Roman" w:cs="Times New Roman"/>
          <w:color w:val="000000" w:themeColor="text1"/>
          <w:szCs w:val="24"/>
          <w:lang w:eastAsia="en-GB"/>
        </w:rPr>
        <w:t>stained muscle and brain tissue</w:t>
      </w:r>
      <w:r w:rsidRPr="00A6724D">
        <w:rPr>
          <w:rFonts w:eastAsia="Times New Roman" w:cs="Times New Roman"/>
          <w:color w:val="000000" w:themeColor="text1"/>
          <w:szCs w:val="24"/>
          <w:lang w:eastAsia="en-GB"/>
        </w:rPr>
        <w:t xml:space="preserve"> were taken with </w:t>
      </w:r>
      <w:r w:rsidR="005918BE" w:rsidRPr="00A6724D">
        <w:rPr>
          <w:rFonts w:eastAsia="Times New Roman" w:cs="Times New Roman"/>
          <w:color w:val="000000" w:themeColor="text1"/>
          <w:szCs w:val="24"/>
          <w:lang w:eastAsia="en-GB"/>
        </w:rPr>
        <w:t>an inverted transmitted</w:t>
      </w:r>
      <w:r w:rsidR="0029087C" w:rsidRPr="00A6724D">
        <w:rPr>
          <w:rFonts w:eastAsia="Times New Roman" w:cs="Times New Roman"/>
          <w:color w:val="000000" w:themeColor="text1"/>
          <w:szCs w:val="24"/>
          <w:lang w:eastAsia="en-GB"/>
        </w:rPr>
        <w:t xml:space="preserve"> </w:t>
      </w:r>
      <w:r w:rsidR="005918BE" w:rsidRPr="00A6724D">
        <w:rPr>
          <w:rFonts w:eastAsia="Times New Roman" w:cs="Times New Roman"/>
          <w:color w:val="000000" w:themeColor="text1"/>
          <w:szCs w:val="24"/>
          <w:lang w:eastAsia="en-GB"/>
        </w:rPr>
        <w:t xml:space="preserve">light microscope </w:t>
      </w:r>
      <w:proofErr w:type="spellStart"/>
      <w:r w:rsidR="005918BE" w:rsidRPr="00A6724D">
        <w:rPr>
          <w:rFonts w:eastAsia="Times New Roman" w:cs="Times New Roman"/>
          <w:color w:val="000000" w:themeColor="text1"/>
          <w:szCs w:val="24"/>
          <w:lang w:eastAsia="en-GB"/>
        </w:rPr>
        <w:t>Axio</w:t>
      </w:r>
      <w:proofErr w:type="spellEnd"/>
      <w:r w:rsidR="005918BE" w:rsidRPr="00A6724D">
        <w:rPr>
          <w:rFonts w:eastAsia="Times New Roman" w:cs="Times New Roman"/>
          <w:color w:val="000000" w:themeColor="text1"/>
          <w:szCs w:val="24"/>
          <w:lang w:eastAsia="en-GB"/>
        </w:rPr>
        <w:t xml:space="preserve"> </w:t>
      </w:r>
      <w:proofErr w:type="spellStart"/>
      <w:r w:rsidR="005918BE" w:rsidRPr="00A6724D">
        <w:rPr>
          <w:rFonts w:eastAsia="Times New Roman" w:cs="Times New Roman"/>
          <w:color w:val="000000" w:themeColor="text1"/>
          <w:szCs w:val="24"/>
          <w:lang w:eastAsia="en-GB"/>
        </w:rPr>
        <w:t>Cellobserver</w:t>
      </w:r>
      <w:proofErr w:type="spellEnd"/>
      <w:r w:rsidR="005918BE" w:rsidRPr="00A6724D">
        <w:rPr>
          <w:rFonts w:eastAsia="Times New Roman" w:cs="Times New Roman"/>
          <w:color w:val="000000" w:themeColor="text1"/>
          <w:szCs w:val="24"/>
          <w:lang w:eastAsia="en-GB"/>
        </w:rPr>
        <w:t xml:space="preserve"> Z1 equipped with </w:t>
      </w:r>
      <w:proofErr w:type="spellStart"/>
      <w:r w:rsidR="005918BE" w:rsidRPr="00A6724D">
        <w:rPr>
          <w:rFonts w:eastAsia="Times New Roman" w:cs="Times New Roman"/>
          <w:color w:val="000000" w:themeColor="text1"/>
          <w:szCs w:val="24"/>
          <w:lang w:eastAsia="en-GB"/>
        </w:rPr>
        <w:t>MosaiX</w:t>
      </w:r>
      <w:proofErr w:type="spellEnd"/>
      <w:r w:rsidR="005918BE" w:rsidRPr="00A6724D">
        <w:rPr>
          <w:rFonts w:eastAsia="Times New Roman" w:cs="Times New Roman"/>
          <w:color w:val="000000" w:themeColor="text1"/>
          <w:szCs w:val="24"/>
          <w:lang w:eastAsia="en-GB"/>
        </w:rPr>
        <w:t xml:space="preserve"> module for tile scanning and Apotome for confocal like imaging (Carl Zeiss Microscopy, Germany).</w:t>
      </w:r>
    </w:p>
    <w:p w14:paraId="17DBEBA0" w14:textId="291AA41C" w:rsidR="00AA36C3" w:rsidRPr="00A6724D" w:rsidRDefault="00AA36C3" w:rsidP="00AA36C3">
      <w:pPr>
        <w:spacing w:before="100" w:beforeAutospacing="1" w:after="100" w:afterAutospacing="1"/>
        <w:jc w:val="both"/>
        <w:rPr>
          <w:rFonts w:eastAsia="Times New Roman" w:cs="Times New Roman"/>
          <w:szCs w:val="24"/>
          <w:lang w:eastAsia="en-GB"/>
        </w:rPr>
      </w:pPr>
      <w:r w:rsidRPr="00A6724D">
        <w:rPr>
          <w:rFonts w:eastAsia="Times New Roman" w:cs="Times New Roman"/>
          <w:szCs w:val="24"/>
          <w:lang w:eastAsia="en-GB"/>
        </w:rPr>
        <w:t>Based on images taken from the Laminin-stained muscles the diameters of 50 fibe</w:t>
      </w:r>
      <w:r w:rsidR="009A3128">
        <w:rPr>
          <w:rFonts w:eastAsia="Times New Roman" w:cs="Times New Roman"/>
          <w:szCs w:val="24"/>
          <w:lang w:eastAsia="en-GB"/>
        </w:rPr>
        <w:t>r</w:t>
      </w:r>
      <w:r w:rsidRPr="00A6724D">
        <w:rPr>
          <w:rFonts w:eastAsia="Times New Roman" w:cs="Times New Roman"/>
          <w:szCs w:val="24"/>
          <w:lang w:eastAsia="en-GB"/>
        </w:rPr>
        <w:t>s were measured and mean fibe</w:t>
      </w:r>
      <w:r w:rsidR="009A3128">
        <w:rPr>
          <w:rFonts w:eastAsia="Times New Roman" w:cs="Times New Roman"/>
          <w:szCs w:val="24"/>
          <w:lang w:eastAsia="en-GB"/>
        </w:rPr>
        <w:t>r</w:t>
      </w:r>
      <w:r w:rsidRPr="00A6724D">
        <w:rPr>
          <w:rFonts w:eastAsia="Times New Roman" w:cs="Times New Roman"/>
          <w:szCs w:val="24"/>
          <w:lang w:eastAsia="en-GB"/>
        </w:rPr>
        <w:t xml:space="preserve"> diameters were compared.</w:t>
      </w:r>
    </w:p>
    <w:p w14:paraId="6AEB07BA" w14:textId="77777777" w:rsidR="0007159B" w:rsidRPr="00A6724D" w:rsidRDefault="0007159B" w:rsidP="00994A3D">
      <w:pPr>
        <w:spacing w:before="100" w:beforeAutospacing="1" w:after="100" w:afterAutospacing="1"/>
        <w:jc w:val="both"/>
        <w:rPr>
          <w:rFonts w:eastAsia="Times New Roman" w:cs="Times New Roman"/>
          <w:color w:val="000000" w:themeColor="text1"/>
          <w:szCs w:val="24"/>
          <w:lang w:eastAsia="en-GB"/>
        </w:rPr>
      </w:pPr>
    </w:p>
    <w:p w14:paraId="55946A06" w14:textId="77777777" w:rsidR="00994A3D" w:rsidRPr="00A6724D" w:rsidRDefault="00654E8F" w:rsidP="0001436A">
      <w:pPr>
        <w:pStyle w:val="berschrift1"/>
        <w:rPr>
          <w:color w:val="000000" w:themeColor="text1"/>
        </w:rPr>
      </w:pPr>
      <w:r w:rsidRPr="00A6724D">
        <w:rPr>
          <w:color w:val="000000" w:themeColor="text1"/>
        </w:rPr>
        <w:t>Supplementary Figures and Tables</w:t>
      </w:r>
    </w:p>
    <w:p w14:paraId="39B440F8" w14:textId="77777777" w:rsidR="0029087C" w:rsidRPr="00A6724D" w:rsidRDefault="0048687A" w:rsidP="0048687A">
      <w:pPr>
        <w:spacing w:line="360" w:lineRule="auto"/>
        <w:jc w:val="both"/>
        <w:rPr>
          <w:rStyle w:val="Ohne"/>
          <w:rFonts w:ascii="Times" w:eastAsia="Cambria" w:hAnsi="Times" w:cs="Arial"/>
          <w:b/>
          <w:color w:val="000000" w:themeColor="text1"/>
        </w:rPr>
      </w:pPr>
      <w:r w:rsidRPr="00A6724D">
        <w:rPr>
          <w:rFonts w:ascii="Times" w:hAnsi="Times" w:cs="Arial"/>
          <w:b/>
          <w:color w:val="000000" w:themeColor="text1"/>
        </w:rPr>
        <w:t>Supplementary</w:t>
      </w:r>
      <w:r w:rsidRPr="00A6724D">
        <w:rPr>
          <w:rStyle w:val="Ohne"/>
          <w:rFonts w:ascii="Times" w:eastAsia="Cambria" w:hAnsi="Times" w:cs="Arial"/>
          <w:b/>
          <w:color w:val="000000" w:themeColor="text1"/>
        </w:rPr>
        <w:t xml:space="preserve"> Figure 1: </w:t>
      </w:r>
    </w:p>
    <w:p w14:paraId="532D4D4C" w14:textId="7E167DB1" w:rsidR="0048687A" w:rsidRPr="00A6724D" w:rsidRDefault="0048687A" w:rsidP="0048687A">
      <w:pPr>
        <w:spacing w:line="360" w:lineRule="auto"/>
        <w:jc w:val="both"/>
        <w:rPr>
          <w:rStyle w:val="Ohne"/>
          <w:rFonts w:ascii="Times" w:eastAsia="Cambria" w:hAnsi="Times" w:cs="Arial"/>
          <w:b/>
          <w:color w:val="000000" w:themeColor="text1"/>
        </w:rPr>
      </w:pPr>
      <w:r w:rsidRPr="00A6724D">
        <w:rPr>
          <w:rStyle w:val="Ohne"/>
          <w:rFonts w:ascii="Times" w:eastAsia="Cambria" w:hAnsi="Times" w:cs="Arial"/>
          <w:b/>
          <w:color w:val="000000" w:themeColor="text1"/>
        </w:rPr>
        <w:t>Analysis of the density of NeuN-positive neurons in young and aged neocort</w:t>
      </w:r>
      <w:r w:rsidR="009A3128">
        <w:rPr>
          <w:rStyle w:val="Ohne"/>
          <w:rFonts w:ascii="Times" w:eastAsia="Cambria" w:hAnsi="Times" w:cs="Arial"/>
          <w:b/>
          <w:color w:val="000000" w:themeColor="text1"/>
        </w:rPr>
        <w:t>ices</w:t>
      </w:r>
    </w:p>
    <w:p w14:paraId="0BFB4955" w14:textId="30FDF44F" w:rsidR="0048687A" w:rsidRPr="00A6724D" w:rsidRDefault="0048687A" w:rsidP="0048687A">
      <w:pPr>
        <w:spacing w:line="360" w:lineRule="auto"/>
        <w:jc w:val="both"/>
        <w:rPr>
          <w:rStyle w:val="Ohne"/>
          <w:rFonts w:ascii="Times" w:eastAsia="Cambria" w:hAnsi="Times" w:cs="Arial"/>
          <w:color w:val="000000" w:themeColor="text1"/>
        </w:rPr>
      </w:pPr>
      <w:r w:rsidRPr="00A6724D">
        <w:rPr>
          <w:rStyle w:val="Ohne"/>
          <w:rFonts w:ascii="Times" w:eastAsia="Cambria" w:hAnsi="Times" w:cs="Arial"/>
          <w:color w:val="000000" w:themeColor="text1"/>
        </w:rPr>
        <w:t>(</w:t>
      </w:r>
      <w:r w:rsidRPr="00A6724D">
        <w:rPr>
          <w:rStyle w:val="Ohne"/>
          <w:rFonts w:ascii="Times" w:eastAsia="Cambria" w:hAnsi="Times" w:cs="Arial"/>
          <w:b/>
          <w:color w:val="000000" w:themeColor="text1"/>
        </w:rPr>
        <w:t>a</w:t>
      </w:r>
      <w:r w:rsidRPr="00A6724D">
        <w:rPr>
          <w:rStyle w:val="Ohne"/>
          <w:rFonts w:ascii="Times" w:eastAsia="Cambria" w:hAnsi="Times" w:cs="Arial"/>
          <w:color w:val="000000" w:themeColor="text1"/>
        </w:rPr>
        <w:t>-</w:t>
      </w:r>
      <w:r w:rsidRPr="00A6724D">
        <w:rPr>
          <w:rStyle w:val="Ohne"/>
          <w:rFonts w:ascii="Times" w:eastAsia="Cambria" w:hAnsi="Times" w:cs="Arial"/>
          <w:b/>
          <w:color w:val="000000" w:themeColor="text1"/>
        </w:rPr>
        <w:t>c</w:t>
      </w:r>
      <w:r w:rsidRPr="00A6724D">
        <w:rPr>
          <w:rStyle w:val="Ohne"/>
          <w:rFonts w:ascii="Times" w:eastAsia="Cambria" w:hAnsi="Times" w:cs="Arial"/>
          <w:color w:val="000000" w:themeColor="text1"/>
        </w:rPr>
        <w:t xml:space="preserve">) Immunohistochemistry against </w:t>
      </w:r>
      <w:r w:rsidRPr="00A6724D">
        <w:rPr>
          <w:rFonts w:ascii="Times" w:hAnsi="Times" w:cs="Arial"/>
          <w:color w:val="000000" w:themeColor="text1"/>
        </w:rPr>
        <w:t>the pan-neuronal marker NeuN</w:t>
      </w:r>
      <w:r w:rsidRPr="00A6724D">
        <w:rPr>
          <w:rStyle w:val="Ohne"/>
          <w:rFonts w:ascii="Times" w:eastAsia="Cambria" w:hAnsi="Times" w:cs="Arial"/>
          <w:color w:val="000000" w:themeColor="text1"/>
        </w:rPr>
        <w:t xml:space="preserve"> in motor (</w:t>
      </w:r>
      <w:r w:rsidRPr="00A6724D">
        <w:rPr>
          <w:rStyle w:val="Ohne"/>
          <w:rFonts w:ascii="Times" w:eastAsia="Cambria" w:hAnsi="Times" w:cs="Arial"/>
          <w:b/>
          <w:color w:val="000000" w:themeColor="text1"/>
        </w:rPr>
        <w:t>a</w:t>
      </w:r>
      <w:r w:rsidRPr="00A6724D">
        <w:rPr>
          <w:rStyle w:val="Ohne"/>
          <w:rFonts w:ascii="Times" w:eastAsia="Cambria" w:hAnsi="Times" w:cs="Arial"/>
          <w:color w:val="000000" w:themeColor="text1"/>
        </w:rPr>
        <w:t>), somatosensory (</w:t>
      </w:r>
      <w:r w:rsidRPr="00A6724D">
        <w:rPr>
          <w:rStyle w:val="Ohne"/>
          <w:rFonts w:ascii="Times" w:eastAsia="Cambria" w:hAnsi="Times" w:cs="Arial"/>
          <w:b/>
          <w:color w:val="000000" w:themeColor="text1"/>
        </w:rPr>
        <w:t>b</w:t>
      </w:r>
      <w:r w:rsidRPr="00A6724D">
        <w:rPr>
          <w:rStyle w:val="Ohne"/>
          <w:rFonts w:ascii="Times" w:eastAsia="Cambria" w:hAnsi="Times" w:cs="Arial"/>
          <w:color w:val="000000" w:themeColor="text1"/>
        </w:rPr>
        <w:t>) and visual cortical areas (</w:t>
      </w:r>
      <w:r w:rsidRPr="00A6724D">
        <w:rPr>
          <w:rStyle w:val="Ohne"/>
          <w:rFonts w:ascii="Times" w:eastAsia="Cambria" w:hAnsi="Times" w:cs="Arial"/>
          <w:b/>
          <w:color w:val="000000" w:themeColor="text1"/>
        </w:rPr>
        <w:t>c</w:t>
      </w:r>
      <w:r w:rsidRPr="00A6724D">
        <w:rPr>
          <w:rStyle w:val="Ohne"/>
          <w:rFonts w:ascii="Times" w:eastAsia="Cambria" w:hAnsi="Times" w:cs="Arial"/>
          <w:color w:val="000000" w:themeColor="text1"/>
        </w:rPr>
        <w:t xml:space="preserve">) of </w:t>
      </w:r>
      <w:r w:rsidR="00CC4FDC" w:rsidRPr="00A6724D">
        <w:rPr>
          <w:rFonts w:ascii="Times" w:hAnsi="Times" w:cs="Arial"/>
          <w:color w:val="000000" w:themeColor="text1"/>
        </w:rPr>
        <w:t>2</w:t>
      </w:r>
      <w:r w:rsidRPr="00A6724D">
        <w:rPr>
          <w:rFonts w:ascii="Times" w:hAnsi="Times" w:cs="Arial"/>
          <w:color w:val="000000" w:themeColor="text1"/>
        </w:rPr>
        <w:t xml:space="preserve"> months and 16 months old mice, quantified in </w:t>
      </w:r>
      <w:r w:rsidRPr="00A6724D">
        <w:rPr>
          <w:rStyle w:val="Ohne"/>
          <w:rFonts w:ascii="Times" w:eastAsia="Cambria" w:hAnsi="Times" w:cs="Arial"/>
          <w:b/>
          <w:color w:val="000000" w:themeColor="text1"/>
        </w:rPr>
        <w:t>d</w:t>
      </w:r>
      <w:r w:rsidRPr="00A6724D">
        <w:rPr>
          <w:rStyle w:val="Ohne"/>
          <w:rFonts w:ascii="Times" w:eastAsia="Cambria" w:hAnsi="Times" w:cs="Arial"/>
          <w:color w:val="000000" w:themeColor="text1"/>
        </w:rPr>
        <w:t xml:space="preserve">. Scale bars: 50 µm. </w:t>
      </w:r>
    </w:p>
    <w:p w14:paraId="42390ADC" w14:textId="77777777" w:rsidR="0048687A" w:rsidRPr="00A6724D" w:rsidRDefault="0048687A" w:rsidP="0048687A">
      <w:pPr>
        <w:spacing w:line="360" w:lineRule="auto"/>
        <w:jc w:val="both"/>
        <w:outlineLvl w:val="0"/>
        <w:rPr>
          <w:rFonts w:ascii="Times" w:hAnsi="Times" w:cs="Arial"/>
          <w:b/>
          <w:color w:val="000000" w:themeColor="text1"/>
        </w:rPr>
      </w:pPr>
      <w:r w:rsidRPr="00A6724D">
        <w:rPr>
          <w:rFonts w:ascii="Times" w:hAnsi="Times" w:cs="Arial"/>
          <w:b/>
          <w:color w:val="000000" w:themeColor="text1"/>
        </w:rPr>
        <w:t>Supplementary Figure 2</w:t>
      </w:r>
    </w:p>
    <w:p w14:paraId="2162709E" w14:textId="77777777" w:rsidR="0048687A" w:rsidRPr="00A6724D" w:rsidRDefault="0048687A" w:rsidP="0048687A">
      <w:pPr>
        <w:spacing w:line="360" w:lineRule="auto"/>
        <w:jc w:val="both"/>
        <w:rPr>
          <w:rFonts w:ascii="Times" w:hAnsi="Times" w:cs="Arial"/>
          <w:b/>
          <w:color w:val="000000" w:themeColor="text1"/>
        </w:rPr>
      </w:pPr>
      <w:r w:rsidRPr="00A6724D">
        <w:rPr>
          <w:rFonts w:ascii="Times" w:hAnsi="Times" w:cs="Arial"/>
          <w:b/>
          <w:i/>
          <w:color w:val="000000" w:themeColor="text1"/>
        </w:rPr>
        <w:t>Dnmt1</w:t>
      </w:r>
      <w:r w:rsidRPr="00A6724D">
        <w:rPr>
          <w:rFonts w:ascii="Times" w:hAnsi="Times" w:cs="Arial"/>
          <w:b/>
          <w:color w:val="000000" w:themeColor="text1"/>
        </w:rPr>
        <w:t xml:space="preserve"> deficiency causes no obvious alterations in the cerebellum, in skeletal muscle tissue or in the muscle innervation</w:t>
      </w:r>
    </w:p>
    <w:p w14:paraId="588716F1" w14:textId="77777777" w:rsidR="0048687A" w:rsidRPr="00A6724D" w:rsidRDefault="0048687A" w:rsidP="0048687A">
      <w:pPr>
        <w:spacing w:line="360" w:lineRule="auto"/>
        <w:jc w:val="both"/>
        <w:rPr>
          <w:rFonts w:ascii="Times" w:hAnsi="Times" w:cs="Arial"/>
          <w:b/>
          <w:color w:val="000000" w:themeColor="text1"/>
        </w:rPr>
      </w:pPr>
      <w:r w:rsidRPr="00A6724D">
        <w:rPr>
          <w:rFonts w:ascii="Times" w:hAnsi="Times" w:cs="Arial"/>
          <w:color w:val="000000" w:themeColor="text1"/>
        </w:rPr>
        <w:t>(</w:t>
      </w:r>
      <w:r w:rsidRPr="00A6724D">
        <w:rPr>
          <w:rFonts w:ascii="Times" w:hAnsi="Times" w:cs="Arial"/>
          <w:b/>
          <w:color w:val="000000" w:themeColor="text1"/>
        </w:rPr>
        <w:t>a</w:t>
      </w:r>
      <w:r w:rsidRPr="00A6724D">
        <w:rPr>
          <w:rFonts w:ascii="Times" w:hAnsi="Times" w:cs="Arial"/>
          <w:color w:val="000000" w:themeColor="text1"/>
        </w:rPr>
        <w:t xml:space="preserve">, </w:t>
      </w:r>
      <w:r w:rsidRPr="00A6724D">
        <w:rPr>
          <w:rFonts w:ascii="Times" w:hAnsi="Times" w:cs="Arial"/>
          <w:b/>
          <w:color w:val="000000" w:themeColor="text1"/>
        </w:rPr>
        <w:t>b</w:t>
      </w:r>
      <w:r w:rsidRPr="00A6724D">
        <w:rPr>
          <w:rFonts w:ascii="Times" w:hAnsi="Times" w:cs="Arial"/>
          <w:color w:val="000000" w:themeColor="text1"/>
        </w:rPr>
        <w:t xml:space="preserve">) </w:t>
      </w:r>
      <w:r w:rsidRPr="00A6724D">
        <w:rPr>
          <w:rFonts w:ascii="Times" w:hAnsi="Times" w:cs="Arial"/>
          <w:i/>
          <w:color w:val="000000" w:themeColor="text1"/>
        </w:rPr>
        <w:t>In situ</w:t>
      </w:r>
      <w:r w:rsidRPr="00A6724D">
        <w:rPr>
          <w:rFonts w:ascii="Times" w:hAnsi="Times" w:cs="Arial"/>
          <w:color w:val="000000" w:themeColor="text1"/>
        </w:rPr>
        <w:t xml:space="preserve"> hybridization of sagittal sections of the cerebellum from C57B</w:t>
      </w:r>
      <w:r w:rsidR="00E14C7B" w:rsidRPr="00A6724D">
        <w:rPr>
          <w:rFonts w:ascii="Times" w:hAnsi="Times" w:cs="Arial"/>
          <w:color w:val="000000" w:themeColor="text1"/>
        </w:rPr>
        <w:t>L/</w:t>
      </w:r>
      <w:r w:rsidRPr="00A6724D">
        <w:rPr>
          <w:rFonts w:ascii="Times" w:hAnsi="Times" w:cs="Arial"/>
          <w:color w:val="000000" w:themeColor="text1"/>
        </w:rPr>
        <w:t xml:space="preserve">6 mice (3 months) using riboprobes directed against </w:t>
      </w:r>
      <w:r w:rsidRPr="00A6724D">
        <w:rPr>
          <w:rFonts w:ascii="Times" w:hAnsi="Times" w:cs="Arial"/>
          <w:i/>
          <w:color w:val="000000" w:themeColor="text1"/>
        </w:rPr>
        <w:t>Dnmt1</w:t>
      </w:r>
      <w:r w:rsidRPr="00A6724D">
        <w:rPr>
          <w:rFonts w:ascii="Times" w:hAnsi="Times" w:cs="Arial"/>
          <w:color w:val="000000" w:themeColor="text1"/>
        </w:rPr>
        <w:t xml:space="preserve"> (</w:t>
      </w:r>
      <w:r w:rsidRPr="00A6724D">
        <w:rPr>
          <w:rFonts w:ascii="Times" w:hAnsi="Times" w:cs="Arial"/>
          <w:b/>
          <w:color w:val="000000" w:themeColor="text1"/>
        </w:rPr>
        <w:t>a</w:t>
      </w:r>
      <w:r w:rsidRPr="00A6724D">
        <w:rPr>
          <w:rFonts w:ascii="Times" w:hAnsi="Times" w:cs="Arial"/>
          <w:color w:val="000000" w:themeColor="text1"/>
        </w:rPr>
        <w:t xml:space="preserve">) and </w:t>
      </w:r>
      <w:r w:rsidRPr="00A6724D">
        <w:rPr>
          <w:rFonts w:ascii="Times" w:hAnsi="Times" w:cs="Arial"/>
          <w:i/>
          <w:color w:val="000000" w:themeColor="text1"/>
        </w:rPr>
        <w:t>Pvalb</w:t>
      </w:r>
      <w:r w:rsidRPr="00A6724D">
        <w:rPr>
          <w:rFonts w:ascii="Times" w:hAnsi="Times" w:cs="Arial"/>
          <w:color w:val="000000" w:themeColor="text1"/>
        </w:rPr>
        <w:t xml:space="preserve"> (</w:t>
      </w:r>
      <w:r w:rsidRPr="00A6724D">
        <w:rPr>
          <w:rFonts w:ascii="Times" w:hAnsi="Times" w:cs="Arial"/>
          <w:b/>
          <w:color w:val="000000" w:themeColor="text1"/>
        </w:rPr>
        <w:t>b</w:t>
      </w:r>
      <w:r w:rsidRPr="00A6724D">
        <w:rPr>
          <w:rFonts w:ascii="Times" w:hAnsi="Times" w:cs="Arial"/>
          <w:color w:val="000000" w:themeColor="text1"/>
        </w:rPr>
        <w:t>) transcripts revealed expression of both transcripts in the Pu</w:t>
      </w:r>
      <w:r w:rsidR="00390DF2" w:rsidRPr="00A6724D">
        <w:rPr>
          <w:rFonts w:ascii="Times" w:hAnsi="Times" w:cs="Arial"/>
          <w:color w:val="000000" w:themeColor="text1"/>
        </w:rPr>
        <w:t>r</w:t>
      </w:r>
      <w:r w:rsidRPr="00A6724D">
        <w:rPr>
          <w:rFonts w:ascii="Times" w:hAnsi="Times" w:cs="Arial"/>
          <w:color w:val="000000" w:themeColor="text1"/>
        </w:rPr>
        <w:t>kinje cell layer of the cerebellum. (</w:t>
      </w:r>
      <w:r w:rsidRPr="00A6724D">
        <w:rPr>
          <w:rFonts w:ascii="Times" w:hAnsi="Times" w:cs="Arial"/>
          <w:b/>
          <w:color w:val="000000" w:themeColor="text1"/>
        </w:rPr>
        <w:t>c</w:t>
      </w:r>
      <w:r w:rsidRPr="00A6724D">
        <w:rPr>
          <w:rFonts w:ascii="Times" w:hAnsi="Times" w:cs="Arial"/>
          <w:color w:val="000000" w:themeColor="text1"/>
        </w:rPr>
        <w:t>) Schematic illustration of the location of microphotographs shown in (</w:t>
      </w:r>
      <w:r w:rsidRPr="00A6724D">
        <w:rPr>
          <w:rFonts w:ascii="Times" w:hAnsi="Times" w:cs="Arial"/>
          <w:b/>
          <w:color w:val="000000" w:themeColor="text1"/>
        </w:rPr>
        <w:t>d</w:t>
      </w:r>
      <w:r w:rsidRPr="00A6724D">
        <w:rPr>
          <w:rFonts w:ascii="Times" w:hAnsi="Times" w:cs="Arial"/>
          <w:color w:val="000000" w:themeColor="text1"/>
        </w:rPr>
        <w:t xml:space="preserve">, </w:t>
      </w:r>
      <w:r w:rsidRPr="00A6724D">
        <w:rPr>
          <w:rFonts w:ascii="Times" w:hAnsi="Times" w:cs="Arial"/>
          <w:b/>
          <w:color w:val="000000" w:themeColor="text1"/>
        </w:rPr>
        <w:t>e</w:t>
      </w:r>
      <w:r w:rsidRPr="00A6724D">
        <w:rPr>
          <w:rFonts w:ascii="Times" w:hAnsi="Times" w:cs="Arial"/>
          <w:color w:val="000000" w:themeColor="text1"/>
        </w:rPr>
        <w:t>) in the cerebellum of sagittal brain sections. (</w:t>
      </w:r>
      <w:r w:rsidRPr="00A6724D">
        <w:rPr>
          <w:rFonts w:ascii="Times" w:hAnsi="Times" w:cs="Arial"/>
          <w:b/>
          <w:color w:val="000000" w:themeColor="text1"/>
        </w:rPr>
        <w:t>d</w:t>
      </w:r>
      <w:r w:rsidRPr="00A6724D">
        <w:rPr>
          <w:rFonts w:ascii="Times" w:hAnsi="Times" w:cs="Arial"/>
          <w:color w:val="000000" w:themeColor="text1"/>
        </w:rPr>
        <w:t xml:space="preserve">, </w:t>
      </w:r>
      <w:r w:rsidRPr="00A6724D">
        <w:rPr>
          <w:rFonts w:ascii="Times" w:hAnsi="Times" w:cs="Arial"/>
          <w:b/>
          <w:color w:val="000000" w:themeColor="text1"/>
        </w:rPr>
        <w:t>e</w:t>
      </w:r>
      <w:r w:rsidRPr="00A6724D">
        <w:rPr>
          <w:rFonts w:ascii="Times" w:hAnsi="Times" w:cs="Arial"/>
          <w:color w:val="000000" w:themeColor="text1"/>
        </w:rPr>
        <w:t xml:space="preserve">) The analysis of </w:t>
      </w:r>
      <w:r w:rsidRPr="00A6724D">
        <w:rPr>
          <w:rFonts w:ascii="Times" w:hAnsi="Times" w:cs="Arial"/>
          <w:color w:val="000000" w:themeColor="text1"/>
        </w:rPr>
        <w:lastRenderedPageBreak/>
        <w:t xml:space="preserve">Purkinje cells labeled by tdTomato in </w:t>
      </w:r>
      <w:r w:rsidRPr="00A6724D">
        <w:rPr>
          <w:rFonts w:ascii="Times" w:hAnsi="Times" w:cs="Arial"/>
          <w:i/>
          <w:color w:val="000000" w:themeColor="text1"/>
        </w:rPr>
        <w:t>Pvalb</w:t>
      </w:r>
      <w:r w:rsidRPr="00A6724D">
        <w:rPr>
          <w:rFonts w:ascii="Times" w:hAnsi="Times" w:cs="Arial"/>
          <w:color w:val="000000" w:themeColor="text1"/>
        </w:rPr>
        <w:t>-</w:t>
      </w:r>
      <w:r w:rsidRPr="002942EB">
        <w:rPr>
          <w:rFonts w:ascii="Times" w:hAnsi="Times" w:cs="Arial"/>
          <w:i/>
          <w:color w:val="000000" w:themeColor="text1"/>
        </w:rPr>
        <w:t>Cre</w:t>
      </w:r>
      <w:r w:rsidRPr="00A6724D">
        <w:rPr>
          <w:rFonts w:ascii="Times" w:hAnsi="Times" w:cs="Arial"/>
          <w:color w:val="000000" w:themeColor="text1"/>
        </w:rPr>
        <w:t>/</w:t>
      </w:r>
      <w:r w:rsidRPr="002942EB">
        <w:rPr>
          <w:rFonts w:ascii="Times" w:hAnsi="Times" w:cs="Arial"/>
          <w:i/>
          <w:color w:val="000000" w:themeColor="text1"/>
        </w:rPr>
        <w:t>tdTomato</w:t>
      </w:r>
      <w:r w:rsidRPr="00A6724D">
        <w:rPr>
          <w:rFonts w:ascii="Times" w:hAnsi="Times" w:cs="Arial"/>
          <w:color w:val="000000" w:themeColor="text1"/>
        </w:rPr>
        <w:t>/</w:t>
      </w:r>
      <w:r w:rsidRPr="00A6724D">
        <w:rPr>
          <w:rFonts w:ascii="Times" w:hAnsi="Times" w:cs="Arial"/>
          <w:i/>
          <w:color w:val="000000" w:themeColor="text1"/>
        </w:rPr>
        <w:t>Dnmt1</w:t>
      </w:r>
      <w:r w:rsidRPr="00A6724D">
        <w:rPr>
          <w:rFonts w:ascii="Times" w:hAnsi="Times" w:cs="Arial"/>
          <w:color w:val="000000" w:themeColor="text1"/>
        </w:rPr>
        <w:t xml:space="preserve"> wild-type (WT) and knockout (KO) mice counted in the cerebellum of sagittal brain sections of young (6 months; n</w:t>
      </w:r>
      <w:r w:rsidR="00F161D3">
        <w:rPr>
          <w:rFonts w:ascii="Times" w:hAnsi="Times" w:cs="Arial"/>
          <w:color w:val="000000" w:themeColor="text1"/>
        </w:rPr>
        <w:t xml:space="preserve"> </w:t>
      </w:r>
      <w:r w:rsidRPr="00A6724D">
        <w:rPr>
          <w:rFonts w:ascii="Times" w:hAnsi="Times" w:cs="Arial"/>
          <w:color w:val="000000" w:themeColor="text1"/>
        </w:rPr>
        <w:t>=</w:t>
      </w:r>
      <w:r w:rsidR="00F161D3">
        <w:rPr>
          <w:rFonts w:ascii="Times" w:hAnsi="Times" w:cs="Arial"/>
          <w:color w:val="000000" w:themeColor="text1"/>
        </w:rPr>
        <w:t xml:space="preserve"> </w:t>
      </w:r>
      <w:r w:rsidRPr="00A6724D">
        <w:rPr>
          <w:rFonts w:ascii="Times" w:hAnsi="Times" w:cs="Arial"/>
          <w:color w:val="000000" w:themeColor="text1"/>
        </w:rPr>
        <w:t>3 mice per genotype) and aged (16 months, n</w:t>
      </w:r>
      <w:r w:rsidR="00F161D3">
        <w:rPr>
          <w:rFonts w:ascii="Times" w:hAnsi="Times" w:cs="Arial"/>
          <w:color w:val="000000" w:themeColor="text1"/>
        </w:rPr>
        <w:t xml:space="preserve"> </w:t>
      </w:r>
      <w:r w:rsidRPr="00A6724D">
        <w:rPr>
          <w:rFonts w:ascii="Times" w:hAnsi="Times" w:cs="Arial"/>
          <w:color w:val="000000" w:themeColor="text1"/>
        </w:rPr>
        <w:t>=</w:t>
      </w:r>
      <w:r w:rsidR="00F161D3">
        <w:rPr>
          <w:rFonts w:ascii="Times" w:hAnsi="Times" w:cs="Arial"/>
          <w:color w:val="000000" w:themeColor="text1"/>
        </w:rPr>
        <w:t xml:space="preserve"> </w:t>
      </w:r>
      <w:r w:rsidRPr="00A6724D">
        <w:rPr>
          <w:rFonts w:ascii="Times" w:hAnsi="Times" w:cs="Arial"/>
          <w:color w:val="000000" w:themeColor="text1"/>
        </w:rPr>
        <w:t>3 mice per genotype)  mice showed no differences in cell number (</w:t>
      </w:r>
      <w:r w:rsidRPr="00A6724D">
        <w:rPr>
          <w:rFonts w:ascii="Times" w:hAnsi="Times" w:cs="Arial"/>
          <w:b/>
          <w:color w:val="000000" w:themeColor="text1"/>
        </w:rPr>
        <w:t>e</w:t>
      </w:r>
      <w:r w:rsidRPr="00A6724D">
        <w:rPr>
          <w:rFonts w:ascii="Times" w:hAnsi="Times" w:cs="Arial"/>
          <w:color w:val="000000" w:themeColor="text1"/>
        </w:rPr>
        <w:t>) (</w:t>
      </w:r>
      <w:r w:rsidRPr="00A6724D">
        <w:rPr>
          <w:rFonts w:ascii="Times" w:hAnsi="Times" w:cs="Arial"/>
          <w:b/>
          <w:color w:val="000000" w:themeColor="text1"/>
        </w:rPr>
        <w:t>f</w:t>
      </w:r>
      <w:r w:rsidRPr="00A6724D">
        <w:rPr>
          <w:rFonts w:ascii="Times" w:hAnsi="Times" w:cs="Arial"/>
          <w:color w:val="000000" w:themeColor="text1"/>
        </w:rPr>
        <w:t xml:space="preserve">, </w:t>
      </w:r>
      <w:r w:rsidRPr="00A6724D">
        <w:rPr>
          <w:rFonts w:ascii="Times" w:hAnsi="Times" w:cs="Arial"/>
          <w:b/>
          <w:color w:val="000000" w:themeColor="text1"/>
        </w:rPr>
        <w:t>g</w:t>
      </w:r>
      <w:r w:rsidRPr="00A6724D">
        <w:rPr>
          <w:rFonts w:ascii="Times" w:hAnsi="Times" w:cs="Arial"/>
          <w:color w:val="000000" w:themeColor="text1"/>
        </w:rPr>
        <w:t>) Representative images of muscle cross-sections of the extensor digitorum longus (EDL) muscle (</w:t>
      </w:r>
      <w:r w:rsidRPr="00A6724D">
        <w:rPr>
          <w:rFonts w:ascii="Times" w:hAnsi="Times" w:cs="Arial"/>
          <w:b/>
          <w:color w:val="000000" w:themeColor="text1"/>
        </w:rPr>
        <w:t>f</w:t>
      </w:r>
      <w:r w:rsidRPr="00A6724D">
        <w:rPr>
          <w:rFonts w:ascii="Times" w:hAnsi="Times" w:cs="Arial"/>
          <w:color w:val="000000" w:themeColor="text1"/>
        </w:rPr>
        <w:t>) and the soleus muscle (</w:t>
      </w:r>
      <w:r w:rsidRPr="00A6724D">
        <w:rPr>
          <w:rFonts w:ascii="Times" w:hAnsi="Times" w:cs="Arial"/>
          <w:b/>
          <w:color w:val="000000" w:themeColor="text1"/>
        </w:rPr>
        <w:t>g</w:t>
      </w:r>
      <w:r w:rsidRPr="00A6724D">
        <w:rPr>
          <w:rFonts w:ascii="Times" w:hAnsi="Times" w:cs="Arial"/>
          <w:color w:val="000000" w:themeColor="text1"/>
        </w:rPr>
        <w:t xml:space="preserve">) of 6 and 16 months old </w:t>
      </w:r>
      <w:r w:rsidRPr="00A6724D">
        <w:rPr>
          <w:rFonts w:ascii="Times" w:hAnsi="Times" w:cs="Arial"/>
          <w:i/>
          <w:color w:val="000000" w:themeColor="text1"/>
        </w:rPr>
        <w:t>Pvalb</w:t>
      </w:r>
      <w:r w:rsidRPr="00A6724D">
        <w:rPr>
          <w:rFonts w:ascii="Times" w:hAnsi="Times" w:cs="Arial"/>
          <w:color w:val="000000" w:themeColor="text1"/>
        </w:rPr>
        <w:t>-</w:t>
      </w:r>
      <w:r w:rsidRPr="002942EB">
        <w:rPr>
          <w:rFonts w:ascii="Times" w:hAnsi="Times" w:cs="Arial"/>
          <w:i/>
          <w:color w:val="000000" w:themeColor="text1"/>
        </w:rPr>
        <w:t>Cre</w:t>
      </w:r>
      <w:r w:rsidRPr="00A6724D">
        <w:rPr>
          <w:rFonts w:ascii="Times" w:hAnsi="Times" w:cs="Arial"/>
          <w:color w:val="000000" w:themeColor="text1"/>
        </w:rPr>
        <w:t>/</w:t>
      </w:r>
      <w:r w:rsidRPr="002942EB">
        <w:rPr>
          <w:rFonts w:ascii="Times" w:hAnsi="Times" w:cs="Arial"/>
          <w:i/>
          <w:color w:val="000000" w:themeColor="text1"/>
        </w:rPr>
        <w:t>tdTomato</w:t>
      </w:r>
      <w:r w:rsidRPr="00A6724D">
        <w:rPr>
          <w:rFonts w:ascii="Times" w:hAnsi="Times" w:cs="Arial"/>
          <w:color w:val="000000" w:themeColor="text1"/>
        </w:rPr>
        <w:t>/</w:t>
      </w:r>
      <w:r w:rsidRPr="00A6724D">
        <w:rPr>
          <w:rFonts w:ascii="Times" w:hAnsi="Times" w:cs="Arial"/>
          <w:i/>
          <w:color w:val="000000" w:themeColor="text1"/>
        </w:rPr>
        <w:t>Dnmt1</w:t>
      </w:r>
      <w:r w:rsidRPr="00A6724D">
        <w:rPr>
          <w:rFonts w:ascii="Times" w:hAnsi="Times" w:cs="Arial"/>
          <w:color w:val="000000" w:themeColor="text1"/>
        </w:rPr>
        <w:t xml:space="preserve"> wild-type (WT) and knockout (KO) mice. Laminin (red) / DAPI (blue) staining showed no difference in mean fiber diameter quantified in (</w:t>
      </w:r>
      <w:r w:rsidRPr="00A6724D">
        <w:rPr>
          <w:rFonts w:ascii="Times" w:hAnsi="Times" w:cs="Arial"/>
          <w:b/>
          <w:color w:val="000000" w:themeColor="text1"/>
        </w:rPr>
        <w:t>h</w:t>
      </w:r>
      <w:r w:rsidRPr="00A6724D">
        <w:rPr>
          <w:rFonts w:ascii="Times" w:hAnsi="Times" w:cs="Arial"/>
          <w:color w:val="000000" w:themeColor="text1"/>
        </w:rPr>
        <w:t>) between WT and KO (6 months: n = 3 mice per genotype, 16 months: n = 4 mice for WT, 3 mice for KO). (</w:t>
      </w:r>
      <w:proofErr w:type="spellStart"/>
      <w:r w:rsidRPr="00A6724D">
        <w:rPr>
          <w:rFonts w:ascii="Times" w:hAnsi="Times" w:cs="Arial"/>
          <w:b/>
          <w:color w:val="000000" w:themeColor="text1"/>
        </w:rPr>
        <w:t>i</w:t>
      </w:r>
      <w:proofErr w:type="spellEnd"/>
      <w:r w:rsidRPr="00A6724D">
        <w:rPr>
          <w:rFonts w:ascii="Times" w:hAnsi="Times" w:cs="Arial"/>
          <w:color w:val="000000" w:themeColor="text1"/>
        </w:rPr>
        <w:t>,</w:t>
      </w:r>
      <w:r w:rsidRPr="00A6724D">
        <w:rPr>
          <w:rFonts w:ascii="Times" w:hAnsi="Times" w:cs="Arial"/>
          <w:b/>
          <w:color w:val="000000" w:themeColor="text1"/>
        </w:rPr>
        <w:t xml:space="preserve"> j</w:t>
      </w:r>
      <w:r w:rsidRPr="00A6724D">
        <w:rPr>
          <w:rFonts w:ascii="Times" w:hAnsi="Times" w:cs="Arial"/>
          <w:color w:val="000000" w:themeColor="text1"/>
        </w:rPr>
        <w:t>) Representative images of hematoxylin and eosin-stained muscle cross-sections of the EDL muscle (</w:t>
      </w:r>
      <w:proofErr w:type="spellStart"/>
      <w:r w:rsidRPr="00A6724D">
        <w:rPr>
          <w:rFonts w:ascii="Times" w:hAnsi="Times" w:cs="Arial"/>
          <w:b/>
          <w:color w:val="000000" w:themeColor="text1"/>
        </w:rPr>
        <w:t>i</w:t>
      </w:r>
      <w:proofErr w:type="spellEnd"/>
      <w:r w:rsidRPr="00A6724D">
        <w:rPr>
          <w:rFonts w:ascii="Times" w:hAnsi="Times" w:cs="Arial"/>
          <w:color w:val="000000" w:themeColor="text1"/>
        </w:rPr>
        <w:t>) and the soleus muscle (</w:t>
      </w:r>
      <w:r w:rsidRPr="00A6724D">
        <w:rPr>
          <w:rFonts w:ascii="Times" w:hAnsi="Times" w:cs="Arial"/>
          <w:b/>
          <w:color w:val="000000" w:themeColor="text1"/>
        </w:rPr>
        <w:t>h</w:t>
      </w:r>
      <w:r w:rsidRPr="00A6724D">
        <w:rPr>
          <w:rFonts w:ascii="Times" w:hAnsi="Times" w:cs="Arial"/>
          <w:color w:val="000000" w:themeColor="text1"/>
        </w:rPr>
        <w:t xml:space="preserve">) of 6 and 16 months old </w:t>
      </w:r>
      <w:r w:rsidRPr="00A6724D">
        <w:rPr>
          <w:rFonts w:ascii="Times" w:hAnsi="Times" w:cs="Arial"/>
          <w:i/>
          <w:color w:val="000000" w:themeColor="text1"/>
        </w:rPr>
        <w:t>Dnmt1</w:t>
      </w:r>
      <w:r w:rsidRPr="00A6724D">
        <w:rPr>
          <w:rFonts w:ascii="Times" w:hAnsi="Times" w:cs="Arial"/>
          <w:color w:val="000000" w:themeColor="text1"/>
        </w:rPr>
        <w:t xml:space="preserve"> WT and KO mice revealed no obvious muscle damage (6 months: n = 3 mice per genotype, 16 months: n = 4 mice for WT, 3 mice for KO). (</w:t>
      </w:r>
      <w:r w:rsidRPr="00A6724D">
        <w:rPr>
          <w:rFonts w:ascii="Times" w:hAnsi="Times" w:cs="Arial"/>
          <w:b/>
          <w:color w:val="000000" w:themeColor="text1"/>
        </w:rPr>
        <w:t>k</w:t>
      </w:r>
      <w:r w:rsidRPr="00A6724D">
        <w:rPr>
          <w:rFonts w:ascii="Times" w:hAnsi="Times" w:cs="Arial"/>
          <w:color w:val="000000" w:themeColor="text1"/>
        </w:rPr>
        <w:t xml:space="preserve">) Representative images of neuromuscular junctions from EDL muscle of 6 and 16 months old </w:t>
      </w:r>
      <w:r w:rsidRPr="00A6724D">
        <w:rPr>
          <w:rFonts w:ascii="Times" w:hAnsi="Times" w:cs="Arial"/>
          <w:i/>
          <w:color w:val="000000" w:themeColor="text1"/>
        </w:rPr>
        <w:t>Dnmt1</w:t>
      </w:r>
      <w:r w:rsidRPr="00A6724D">
        <w:rPr>
          <w:rFonts w:ascii="Times" w:hAnsi="Times" w:cs="Arial"/>
          <w:color w:val="000000" w:themeColor="text1"/>
        </w:rPr>
        <w:t xml:space="preserve"> WT and KO mice stained for nicotinic acetylcholine receptors (with bungarotoxin), neurofilaments (NF) and synaptic vesicle protein 2 (SV2) show the proper innervation of the neuromuscular junctions of WT and KO mice. (6 months: n = 3 mice per genotype, 16 months: n = 4 mice for WT, 3 mice for KO). Scale bars: 250 µm in (</w:t>
      </w:r>
      <w:r w:rsidRPr="00A6724D">
        <w:rPr>
          <w:rFonts w:ascii="Times" w:hAnsi="Times" w:cs="Arial"/>
          <w:b/>
          <w:color w:val="000000" w:themeColor="text1"/>
        </w:rPr>
        <w:t>a</w:t>
      </w:r>
      <w:r w:rsidRPr="00A6724D">
        <w:rPr>
          <w:rFonts w:ascii="Times" w:hAnsi="Times" w:cs="Arial"/>
          <w:color w:val="000000" w:themeColor="text1"/>
        </w:rPr>
        <w:t xml:space="preserve">, </w:t>
      </w:r>
      <w:r w:rsidRPr="00A6724D">
        <w:rPr>
          <w:rFonts w:ascii="Times" w:hAnsi="Times" w:cs="Arial"/>
          <w:b/>
          <w:color w:val="000000" w:themeColor="text1"/>
        </w:rPr>
        <w:t>b</w:t>
      </w:r>
      <w:r w:rsidRPr="00A6724D">
        <w:rPr>
          <w:rFonts w:ascii="Times" w:hAnsi="Times" w:cs="Arial"/>
          <w:color w:val="000000" w:themeColor="text1"/>
        </w:rPr>
        <w:t>); 50 µm in (</w:t>
      </w:r>
      <w:r w:rsidRPr="00A6724D">
        <w:rPr>
          <w:rFonts w:ascii="Times" w:hAnsi="Times" w:cs="Arial"/>
          <w:b/>
          <w:color w:val="000000" w:themeColor="text1"/>
        </w:rPr>
        <w:t>d</w:t>
      </w:r>
      <w:r w:rsidRPr="00A6724D">
        <w:rPr>
          <w:rFonts w:ascii="Times" w:hAnsi="Times" w:cs="Arial"/>
          <w:color w:val="000000" w:themeColor="text1"/>
        </w:rPr>
        <w:t>), 100 µm in (</w:t>
      </w:r>
      <w:r w:rsidRPr="00A6724D">
        <w:rPr>
          <w:rFonts w:ascii="Times" w:hAnsi="Times" w:cs="Arial"/>
          <w:b/>
          <w:color w:val="000000" w:themeColor="text1"/>
        </w:rPr>
        <w:t>f</w:t>
      </w:r>
      <w:r w:rsidRPr="00A6724D">
        <w:rPr>
          <w:rFonts w:ascii="Times" w:hAnsi="Times" w:cs="Arial"/>
          <w:color w:val="000000" w:themeColor="text1"/>
        </w:rPr>
        <w:t xml:space="preserve">, </w:t>
      </w:r>
      <w:r w:rsidRPr="00A6724D">
        <w:rPr>
          <w:rFonts w:ascii="Times" w:hAnsi="Times" w:cs="Arial"/>
          <w:b/>
          <w:color w:val="000000" w:themeColor="text1"/>
        </w:rPr>
        <w:t>g</w:t>
      </w:r>
      <w:r w:rsidRPr="00A6724D">
        <w:rPr>
          <w:rFonts w:ascii="Times" w:hAnsi="Times" w:cs="Arial"/>
          <w:color w:val="000000" w:themeColor="text1"/>
        </w:rPr>
        <w:t xml:space="preserve">, </w:t>
      </w:r>
      <w:proofErr w:type="spellStart"/>
      <w:r w:rsidRPr="00A6724D">
        <w:rPr>
          <w:rFonts w:ascii="Times" w:hAnsi="Times" w:cs="Arial"/>
          <w:b/>
          <w:color w:val="000000" w:themeColor="text1"/>
        </w:rPr>
        <w:t>i</w:t>
      </w:r>
      <w:proofErr w:type="spellEnd"/>
      <w:r w:rsidRPr="00A6724D">
        <w:rPr>
          <w:rFonts w:ascii="Times" w:hAnsi="Times" w:cs="Arial"/>
          <w:color w:val="000000" w:themeColor="text1"/>
        </w:rPr>
        <w:t xml:space="preserve">, </w:t>
      </w:r>
      <w:r w:rsidRPr="00A6724D">
        <w:rPr>
          <w:rFonts w:ascii="Times" w:hAnsi="Times" w:cs="Arial"/>
          <w:b/>
          <w:color w:val="000000" w:themeColor="text1"/>
        </w:rPr>
        <w:t>j</w:t>
      </w:r>
      <w:r w:rsidRPr="00A6724D">
        <w:rPr>
          <w:rFonts w:ascii="Times" w:hAnsi="Times" w:cs="Arial"/>
          <w:color w:val="000000" w:themeColor="text1"/>
        </w:rPr>
        <w:t>); 10 µm in (</w:t>
      </w:r>
      <w:r w:rsidRPr="00A6724D">
        <w:rPr>
          <w:rFonts w:ascii="Times" w:hAnsi="Times" w:cs="Arial"/>
          <w:b/>
          <w:color w:val="000000" w:themeColor="text1"/>
        </w:rPr>
        <w:t>k</w:t>
      </w:r>
      <w:r w:rsidRPr="00A6724D">
        <w:rPr>
          <w:rFonts w:ascii="Times" w:hAnsi="Times" w:cs="Arial"/>
          <w:color w:val="000000" w:themeColor="text1"/>
        </w:rPr>
        <w:t>)</w:t>
      </w:r>
    </w:p>
    <w:p w14:paraId="51880892" w14:textId="77777777" w:rsidR="0048687A" w:rsidRPr="00A6724D" w:rsidRDefault="0048687A" w:rsidP="0048687A">
      <w:pPr>
        <w:spacing w:line="360" w:lineRule="auto"/>
        <w:jc w:val="both"/>
        <w:outlineLvl w:val="0"/>
        <w:rPr>
          <w:rFonts w:ascii="Times" w:hAnsi="Times" w:cs="Arial"/>
          <w:b/>
          <w:color w:val="000000" w:themeColor="text1"/>
        </w:rPr>
      </w:pPr>
      <w:r w:rsidRPr="00A6724D">
        <w:rPr>
          <w:rFonts w:ascii="Times" w:hAnsi="Times" w:cs="Arial"/>
          <w:b/>
          <w:color w:val="000000" w:themeColor="text1"/>
        </w:rPr>
        <w:t>Supplementary Figure 3</w:t>
      </w:r>
    </w:p>
    <w:p w14:paraId="6ABDADE4" w14:textId="77777777" w:rsidR="00E87EAE" w:rsidRPr="00A6724D" w:rsidRDefault="00E87EAE" w:rsidP="00E87EAE">
      <w:pPr>
        <w:spacing w:line="360" w:lineRule="auto"/>
        <w:jc w:val="both"/>
        <w:rPr>
          <w:rFonts w:ascii="Times" w:hAnsi="Times" w:cs="Arial"/>
          <w:b/>
          <w:color w:val="000000" w:themeColor="text1"/>
        </w:rPr>
      </w:pPr>
      <w:r w:rsidRPr="00A6724D">
        <w:rPr>
          <w:rFonts w:ascii="Times" w:hAnsi="Times" w:cs="Arial"/>
          <w:b/>
          <w:color w:val="000000" w:themeColor="text1"/>
        </w:rPr>
        <w:t xml:space="preserve">Transcriptome and methylation analysis of FACS-enriched adult and aged </w:t>
      </w:r>
      <w:r w:rsidRPr="00A6724D">
        <w:rPr>
          <w:rFonts w:ascii="Times" w:hAnsi="Times" w:cs="Arial"/>
          <w:b/>
          <w:i/>
          <w:color w:val="000000" w:themeColor="text1"/>
        </w:rPr>
        <w:t>Dnmt1</w:t>
      </w:r>
      <w:r w:rsidRPr="00A6724D">
        <w:rPr>
          <w:rFonts w:ascii="Times" w:hAnsi="Times" w:cs="Arial"/>
          <w:b/>
          <w:color w:val="000000" w:themeColor="text1"/>
        </w:rPr>
        <w:t xml:space="preserve">-deficient and wild-type </w:t>
      </w:r>
      <w:r w:rsidRPr="00A6724D">
        <w:rPr>
          <w:rFonts w:ascii="Times" w:hAnsi="Times" w:cs="Arial"/>
          <w:b/>
          <w:i/>
          <w:color w:val="000000" w:themeColor="text1"/>
        </w:rPr>
        <w:t>Pvalb</w:t>
      </w:r>
      <w:r w:rsidRPr="00A6724D">
        <w:rPr>
          <w:rFonts w:ascii="Times" w:hAnsi="Times" w:cs="Arial"/>
          <w:b/>
          <w:color w:val="000000" w:themeColor="text1"/>
        </w:rPr>
        <w:t>-expressing cortical interneurons.</w:t>
      </w:r>
    </w:p>
    <w:p w14:paraId="09C4F067" w14:textId="194CD726" w:rsidR="00E87EAE" w:rsidRPr="00A6724D" w:rsidRDefault="00E87EAE" w:rsidP="00E87EAE">
      <w:pPr>
        <w:spacing w:line="360" w:lineRule="auto"/>
        <w:jc w:val="both"/>
        <w:rPr>
          <w:rFonts w:ascii="Times" w:hAnsi="Times" w:cs="Arial"/>
          <w:b/>
          <w:color w:val="000000" w:themeColor="text1"/>
        </w:rPr>
      </w:pPr>
      <w:r w:rsidRPr="00A6724D">
        <w:rPr>
          <w:rFonts w:ascii="Times" w:hAnsi="Times" w:cs="Arial"/>
          <w:color w:val="000000" w:themeColor="text1"/>
        </w:rPr>
        <w:t>(</w:t>
      </w:r>
      <w:r w:rsidRPr="00A6724D">
        <w:rPr>
          <w:rFonts w:ascii="Times" w:hAnsi="Times" w:cs="Arial"/>
          <w:b/>
          <w:color w:val="000000" w:themeColor="text1"/>
        </w:rPr>
        <w:t>a</w:t>
      </w:r>
      <w:r w:rsidRPr="00A6724D">
        <w:rPr>
          <w:rFonts w:ascii="Times" w:hAnsi="Times" w:cs="Arial"/>
          <w:color w:val="000000" w:themeColor="text1"/>
        </w:rPr>
        <w:t xml:space="preserve">) FACS-events determined per cortical hemisphere for young and old </w:t>
      </w:r>
      <w:r w:rsidRPr="00A6724D">
        <w:rPr>
          <w:rFonts w:ascii="Times" w:hAnsi="Times" w:cs="Arial"/>
          <w:i/>
          <w:color w:val="000000" w:themeColor="text1"/>
        </w:rPr>
        <w:t>Pvalb</w:t>
      </w:r>
      <w:r w:rsidRPr="00A6724D">
        <w:rPr>
          <w:rFonts w:ascii="Times" w:hAnsi="Times" w:cs="Arial"/>
          <w:color w:val="000000" w:themeColor="text1"/>
        </w:rPr>
        <w:t>-Cre/</w:t>
      </w:r>
      <w:r w:rsidRPr="00A6724D">
        <w:rPr>
          <w:rFonts w:ascii="Times" w:hAnsi="Times" w:cs="Arial"/>
          <w:i/>
          <w:color w:val="000000" w:themeColor="text1"/>
        </w:rPr>
        <w:t>tdTomato</w:t>
      </w:r>
      <w:r w:rsidRPr="00A6724D">
        <w:rPr>
          <w:rFonts w:ascii="Times" w:hAnsi="Times" w:cs="Arial"/>
          <w:color w:val="000000" w:themeColor="text1"/>
        </w:rPr>
        <w:t xml:space="preserve"> wild-type mice. (</w:t>
      </w:r>
      <w:r w:rsidRPr="00A6724D">
        <w:rPr>
          <w:rFonts w:ascii="Times" w:hAnsi="Times" w:cs="Arial"/>
          <w:b/>
          <w:color w:val="000000" w:themeColor="text1"/>
        </w:rPr>
        <w:t>b-d</w:t>
      </w:r>
      <w:r w:rsidRPr="00A6724D">
        <w:rPr>
          <w:rFonts w:ascii="Times" w:hAnsi="Times" w:cs="Arial"/>
          <w:color w:val="000000" w:themeColor="text1"/>
        </w:rPr>
        <w:t>)</w:t>
      </w:r>
      <w:r w:rsidRPr="00A6724D">
        <w:rPr>
          <w:rFonts w:ascii="Times" w:hAnsi="Times" w:cs="Arial"/>
          <w:b/>
          <w:color w:val="000000" w:themeColor="text1"/>
        </w:rPr>
        <w:t xml:space="preserve"> </w:t>
      </w:r>
      <w:r w:rsidRPr="00A6724D">
        <w:rPr>
          <w:rFonts w:ascii="Times" w:hAnsi="Times" w:cs="Arial"/>
          <w:color w:val="000000" w:themeColor="text1"/>
        </w:rPr>
        <w:t>Gene expression analysis</w:t>
      </w:r>
      <w:r w:rsidRPr="00A6724D">
        <w:rPr>
          <w:rFonts w:ascii="Times" w:hAnsi="Times" w:cs="Arial"/>
          <w:b/>
          <w:color w:val="000000" w:themeColor="text1"/>
        </w:rPr>
        <w:t xml:space="preserve"> </w:t>
      </w:r>
      <w:r w:rsidRPr="00A6724D">
        <w:rPr>
          <w:rFonts w:ascii="Times" w:hAnsi="Times" w:cs="Arial"/>
          <w:color w:val="000000" w:themeColor="text1"/>
        </w:rPr>
        <w:t>of</w:t>
      </w:r>
      <w:r w:rsidRPr="00A6724D">
        <w:rPr>
          <w:rFonts w:ascii="Times" w:hAnsi="Times" w:cs="Arial"/>
          <w:b/>
          <w:color w:val="000000" w:themeColor="text1"/>
        </w:rPr>
        <w:t xml:space="preserve"> </w:t>
      </w:r>
      <w:r w:rsidRPr="00A6724D">
        <w:rPr>
          <w:rFonts w:ascii="Times" w:hAnsi="Times" w:cs="Arial"/>
          <w:color w:val="000000" w:themeColor="text1"/>
        </w:rPr>
        <w:t>young (6 months) and old (18 months) FACS-enriched</w:t>
      </w:r>
      <w:r w:rsidRPr="00A6724D">
        <w:rPr>
          <w:rFonts w:ascii="Times" w:hAnsi="Times" w:cs="Arial"/>
          <w:i/>
          <w:color w:val="000000" w:themeColor="text1"/>
        </w:rPr>
        <w:t xml:space="preserve"> Pvalb</w:t>
      </w:r>
      <w:r w:rsidRPr="00A6724D">
        <w:rPr>
          <w:rFonts w:ascii="Times" w:hAnsi="Times" w:cs="Arial"/>
          <w:color w:val="000000" w:themeColor="text1"/>
        </w:rPr>
        <w:t>-Cre/</w:t>
      </w:r>
      <w:r w:rsidRPr="00A6724D">
        <w:rPr>
          <w:rFonts w:ascii="Times" w:hAnsi="Times" w:cs="Arial"/>
          <w:i/>
          <w:color w:val="000000" w:themeColor="text1"/>
        </w:rPr>
        <w:t>tdTomato</w:t>
      </w:r>
      <w:r w:rsidRPr="00A6724D">
        <w:rPr>
          <w:rFonts w:ascii="Times" w:hAnsi="Times" w:cs="Arial"/>
          <w:color w:val="000000" w:themeColor="text1"/>
        </w:rPr>
        <w:t xml:space="preserve"> wild-type (WT) and </w:t>
      </w:r>
      <w:r w:rsidRPr="00A6724D">
        <w:rPr>
          <w:rFonts w:eastAsia="Arial Unicode MS"/>
          <w:i/>
          <w:color w:val="000000" w:themeColor="text1"/>
        </w:rPr>
        <w:t>Pvalb</w:t>
      </w:r>
      <w:r w:rsidRPr="00A6724D">
        <w:rPr>
          <w:rFonts w:eastAsia="Arial Unicode MS"/>
          <w:color w:val="000000" w:themeColor="text1"/>
        </w:rPr>
        <w:t>-Cre/</w:t>
      </w:r>
      <w:r w:rsidRPr="00A6724D">
        <w:rPr>
          <w:rFonts w:eastAsia="Arial Unicode MS"/>
          <w:i/>
          <w:color w:val="000000" w:themeColor="text1"/>
        </w:rPr>
        <w:t>tdTomato</w:t>
      </w:r>
      <w:r w:rsidR="00E01A81">
        <w:rPr>
          <w:rFonts w:eastAsia="Arial Unicode MS"/>
          <w:i/>
          <w:color w:val="000000" w:themeColor="text1"/>
        </w:rPr>
        <w:t>/</w:t>
      </w:r>
      <w:r w:rsidRPr="00A6724D">
        <w:rPr>
          <w:rFonts w:eastAsia="Arial Unicode MS"/>
          <w:i/>
          <w:color w:val="000000" w:themeColor="text1"/>
        </w:rPr>
        <w:t>Dnmt1 loxP</w:t>
      </w:r>
      <w:r w:rsidRPr="00A6724D">
        <w:rPr>
          <w:rFonts w:eastAsia="Arial Unicode MS"/>
          <w:i/>
          <w:color w:val="000000" w:themeColor="text1"/>
          <w:vertAlign w:val="superscript"/>
        </w:rPr>
        <w:t>2</w:t>
      </w:r>
      <w:r w:rsidRPr="00A6724D">
        <w:rPr>
          <w:rFonts w:eastAsia="Arial Unicode MS"/>
          <w:color w:val="000000" w:themeColor="text1"/>
          <w:vertAlign w:val="superscript"/>
        </w:rPr>
        <w:t xml:space="preserve"> </w:t>
      </w:r>
      <w:r w:rsidRPr="00A6724D">
        <w:rPr>
          <w:rFonts w:ascii="Times" w:hAnsi="Times" w:cs="Arial"/>
          <w:color w:val="000000" w:themeColor="text1"/>
        </w:rPr>
        <w:t>(knockout, KO) cortical interneurons was performed by RNA-sequencing (</w:t>
      </w:r>
      <w:r w:rsidRPr="00A6724D">
        <w:rPr>
          <w:rFonts w:eastAsia="Arial Unicode MS"/>
          <w:color w:val="000000" w:themeColor="text1"/>
        </w:rPr>
        <w:t xml:space="preserve">pooled samples from </w:t>
      </w:r>
      <w:r w:rsidRPr="00A6724D">
        <w:rPr>
          <w:rFonts w:ascii="Times" w:hAnsi="Times" w:cs="Arial"/>
          <w:color w:val="000000" w:themeColor="text1"/>
        </w:rPr>
        <w:t xml:space="preserve">N = 6 WT and KO mice at 6 months; and N = 9 WT and N = 12 KO mice at 18 months </w:t>
      </w:r>
      <w:r w:rsidRPr="00A6724D">
        <w:rPr>
          <w:color w:val="000000" w:themeColor="text1"/>
        </w:rPr>
        <w:t>were analyzed in technical duplicates</w:t>
      </w:r>
      <w:r w:rsidRPr="00A6724D">
        <w:rPr>
          <w:rFonts w:ascii="Times" w:hAnsi="Times" w:cs="Arial"/>
          <w:color w:val="000000" w:themeColor="text1"/>
        </w:rPr>
        <w:t>). (</w:t>
      </w:r>
      <w:r w:rsidRPr="00A6724D">
        <w:rPr>
          <w:rFonts w:ascii="Times" w:hAnsi="Times" w:cs="Arial"/>
          <w:b/>
          <w:color w:val="000000" w:themeColor="text1"/>
        </w:rPr>
        <w:t>b</w:t>
      </w:r>
      <w:r w:rsidRPr="00A6724D">
        <w:rPr>
          <w:rFonts w:ascii="Times" w:hAnsi="Times" w:cs="Arial"/>
          <w:color w:val="000000" w:themeColor="text1"/>
        </w:rPr>
        <w:t>-</w:t>
      </w:r>
      <w:r w:rsidRPr="00A6724D">
        <w:rPr>
          <w:rFonts w:ascii="Times" w:hAnsi="Times" w:cs="Arial"/>
          <w:b/>
          <w:color w:val="000000" w:themeColor="text1"/>
        </w:rPr>
        <w:t>d</w:t>
      </w:r>
      <w:r w:rsidRPr="00A6724D">
        <w:rPr>
          <w:rFonts w:ascii="Times" w:hAnsi="Times" w:cs="Arial"/>
          <w:color w:val="000000" w:themeColor="text1"/>
        </w:rPr>
        <w:t>) Principal component analysis (PCA) illustrates the segregation of the different samples in the dendrogram (</w:t>
      </w:r>
      <w:r w:rsidRPr="00A6724D">
        <w:rPr>
          <w:rFonts w:ascii="Times" w:hAnsi="Times" w:cs="Arial"/>
          <w:b/>
          <w:color w:val="000000" w:themeColor="text1"/>
        </w:rPr>
        <w:t>b</w:t>
      </w:r>
      <w:r w:rsidRPr="00A6724D">
        <w:rPr>
          <w:rFonts w:ascii="Times" w:hAnsi="Times" w:cs="Arial"/>
          <w:color w:val="000000" w:themeColor="text1"/>
        </w:rPr>
        <w:t>) and the PCA plot (</w:t>
      </w:r>
      <w:r w:rsidRPr="00A6724D">
        <w:rPr>
          <w:rFonts w:ascii="Times" w:hAnsi="Times" w:cs="Arial"/>
          <w:b/>
          <w:color w:val="000000" w:themeColor="text1"/>
        </w:rPr>
        <w:t>d</w:t>
      </w:r>
      <w:r w:rsidRPr="00A6724D">
        <w:rPr>
          <w:rFonts w:ascii="Times" w:hAnsi="Times" w:cs="Arial"/>
          <w:color w:val="000000" w:themeColor="text1"/>
        </w:rPr>
        <w:t>), whereby the first PC is determined by more than 80% of the variance (</w:t>
      </w:r>
      <w:r w:rsidRPr="00A6724D">
        <w:rPr>
          <w:rFonts w:ascii="Times" w:hAnsi="Times" w:cs="Arial"/>
          <w:b/>
          <w:color w:val="000000" w:themeColor="text1"/>
        </w:rPr>
        <w:t>c</w:t>
      </w:r>
      <w:r w:rsidRPr="00A6724D">
        <w:rPr>
          <w:rFonts w:ascii="Times" w:hAnsi="Times" w:cs="Arial"/>
          <w:color w:val="000000" w:themeColor="text1"/>
        </w:rPr>
        <w:t xml:space="preserve">). </w:t>
      </w:r>
    </w:p>
    <w:p w14:paraId="63475A76" w14:textId="77777777" w:rsidR="00F43BC3" w:rsidRPr="00A6724D" w:rsidRDefault="00F43BC3" w:rsidP="0048687A">
      <w:pPr>
        <w:spacing w:line="360" w:lineRule="auto"/>
        <w:jc w:val="both"/>
        <w:outlineLvl w:val="0"/>
        <w:rPr>
          <w:rFonts w:ascii="Times" w:hAnsi="Times" w:cs="Arial"/>
          <w:b/>
          <w:color w:val="000000" w:themeColor="text1"/>
        </w:rPr>
      </w:pPr>
      <w:r w:rsidRPr="00A6724D">
        <w:rPr>
          <w:rFonts w:ascii="Times" w:hAnsi="Times" w:cs="Arial"/>
          <w:b/>
          <w:color w:val="000000" w:themeColor="text1"/>
        </w:rPr>
        <w:t>Supplementary Figure 4</w:t>
      </w:r>
    </w:p>
    <w:p w14:paraId="43663FCD" w14:textId="77777777" w:rsidR="0048687A" w:rsidRPr="00A6724D" w:rsidRDefault="0048687A" w:rsidP="0048687A">
      <w:pPr>
        <w:spacing w:line="360" w:lineRule="auto"/>
        <w:jc w:val="both"/>
        <w:outlineLvl w:val="0"/>
        <w:rPr>
          <w:rFonts w:ascii="Times" w:hAnsi="Times" w:cs="Arial"/>
          <w:b/>
          <w:color w:val="000000" w:themeColor="text1"/>
        </w:rPr>
      </w:pPr>
      <w:r w:rsidRPr="00A6724D">
        <w:rPr>
          <w:rFonts w:ascii="Times" w:hAnsi="Times" w:cs="Arial"/>
          <w:b/>
          <w:color w:val="000000" w:themeColor="text1"/>
        </w:rPr>
        <w:lastRenderedPageBreak/>
        <w:t>DNMT1 affects endocytic-based degradation</w:t>
      </w:r>
    </w:p>
    <w:p w14:paraId="44AA7AA2" w14:textId="33E698A2" w:rsidR="0048687A" w:rsidRPr="00A6724D" w:rsidRDefault="00777A6E" w:rsidP="0048687A">
      <w:pPr>
        <w:spacing w:line="360" w:lineRule="auto"/>
        <w:jc w:val="both"/>
        <w:rPr>
          <w:rFonts w:ascii="Times" w:hAnsi="Times" w:cs="Arial"/>
          <w:color w:val="000000" w:themeColor="text1"/>
        </w:rPr>
      </w:pPr>
      <w:r w:rsidRPr="00A6724D">
        <w:rPr>
          <w:color w:val="000000" w:themeColor="text1"/>
          <w:sz w:val="22"/>
        </w:rPr>
        <w:t>(</w:t>
      </w:r>
      <w:r w:rsidRPr="00A6724D">
        <w:rPr>
          <w:b/>
          <w:color w:val="000000" w:themeColor="text1"/>
          <w:sz w:val="22"/>
        </w:rPr>
        <w:t>A</w:t>
      </w:r>
      <w:r w:rsidRPr="00A6724D">
        <w:rPr>
          <w:color w:val="000000" w:themeColor="text1"/>
          <w:sz w:val="22"/>
        </w:rPr>
        <w:t xml:space="preserve">) Verification of </w:t>
      </w:r>
      <w:r w:rsidRPr="00A6724D">
        <w:rPr>
          <w:i/>
          <w:color w:val="000000" w:themeColor="text1"/>
          <w:sz w:val="22"/>
        </w:rPr>
        <w:t>Dnmt1</w:t>
      </w:r>
      <w:r w:rsidRPr="00A6724D">
        <w:rPr>
          <w:color w:val="000000" w:themeColor="text1"/>
          <w:sz w:val="22"/>
        </w:rPr>
        <w:t xml:space="preserve"> and </w:t>
      </w:r>
      <w:r w:rsidRPr="00A6724D">
        <w:rPr>
          <w:i/>
          <w:color w:val="000000" w:themeColor="text1"/>
          <w:sz w:val="22"/>
        </w:rPr>
        <w:t>Rab7</w:t>
      </w:r>
      <w:r w:rsidRPr="00A6724D">
        <w:rPr>
          <w:color w:val="000000" w:themeColor="text1"/>
          <w:sz w:val="22"/>
        </w:rPr>
        <w:t xml:space="preserve"> siRNA efficiency in N2a cells measuring the expression levels by quantitative RT-PCR after 24 h of siRNA or control siRNA treatment </w:t>
      </w:r>
      <w:r w:rsidRPr="00A6724D">
        <w:rPr>
          <w:rStyle w:val="Ohne"/>
          <w:color w:val="000000" w:themeColor="text1"/>
          <w:sz w:val="22"/>
        </w:rPr>
        <w:t xml:space="preserve">(normalized to </w:t>
      </w:r>
      <w:r w:rsidRPr="00A6724D">
        <w:rPr>
          <w:rStyle w:val="Ohne"/>
          <w:i/>
          <w:iCs/>
          <w:color w:val="000000" w:themeColor="text1"/>
          <w:sz w:val="22"/>
        </w:rPr>
        <w:t>Rps29</w:t>
      </w:r>
      <w:r w:rsidRPr="00A6724D">
        <w:rPr>
          <w:rStyle w:val="Ohne"/>
          <w:color w:val="000000" w:themeColor="text1"/>
          <w:sz w:val="22"/>
        </w:rPr>
        <w:t>).</w:t>
      </w:r>
      <w:r w:rsidRPr="00A6724D">
        <w:rPr>
          <w:rFonts w:ascii="Times" w:hAnsi="Times" w:cs="Arial"/>
          <w:color w:val="000000" w:themeColor="text1"/>
        </w:rPr>
        <w:t xml:space="preserve"> </w:t>
      </w:r>
      <w:r w:rsidR="0048687A" w:rsidRPr="00A6724D">
        <w:rPr>
          <w:rFonts w:ascii="Times" w:hAnsi="Times" w:cs="Arial"/>
          <w:color w:val="000000" w:themeColor="text1"/>
        </w:rPr>
        <w:t>(</w:t>
      </w:r>
      <w:r w:rsidRPr="00A6724D">
        <w:rPr>
          <w:rFonts w:ascii="Times" w:hAnsi="Times" w:cs="Arial"/>
          <w:b/>
          <w:color w:val="000000" w:themeColor="text1"/>
        </w:rPr>
        <w:t>b</w:t>
      </w:r>
      <w:r w:rsidR="0048687A" w:rsidRPr="00A6724D">
        <w:rPr>
          <w:rFonts w:ascii="Times" w:hAnsi="Times" w:cs="Arial"/>
          <w:color w:val="000000" w:themeColor="text1"/>
        </w:rPr>
        <w:t>-</w:t>
      </w:r>
      <w:r w:rsidRPr="00A6724D">
        <w:rPr>
          <w:rFonts w:ascii="Times" w:hAnsi="Times" w:cs="Arial"/>
          <w:b/>
          <w:color w:val="000000" w:themeColor="text1"/>
        </w:rPr>
        <w:t>d</w:t>
      </w:r>
      <w:r w:rsidR="0048687A" w:rsidRPr="00A6724D">
        <w:rPr>
          <w:rFonts w:ascii="Times" w:hAnsi="Times" w:cs="Arial"/>
          <w:color w:val="000000" w:themeColor="text1"/>
        </w:rPr>
        <w:t>)</w:t>
      </w:r>
      <w:r w:rsidR="0048687A" w:rsidRPr="00A6724D">
        <w:rPr>
          <w:rFonts w:ascii="Times" w:hAnsi="Times" w:cs="Arial"/>
          <w:b/>
          <w:color w:val="000000" w:themeColor="text1"/>
        </w:rPr>
        <w:t xml:space="preserve"> </w:t>
      </w:r>
      <w:r w:rsidR="0048687A" w:rsidRPr="00A6724D">
        <w:rPr>
          <w:rFonts w:ascii="Times" w:hAnsi="Times" w:cs="Arial"/>
          <w:color w:val="000000" w:themeColor="text1"/>
        </w:rPr>
        <w:t>CD63 (magenta) and LAMP1 (green) antibody staining</w:t>
      </w:r>
      <w:r w:rsidR="0048687A" w:rsidRPr="00A6724D">
        <w:rPr>
          <w:rFonts w:ascii="Times" w:hAnsi="Times" w:cs="Arial"/>
          <w:i/>
          <w:color w:val="000000" w:themeColor="text1"/>
        </w:rPr>
        <w:t xml:space="preserve"> </w:t>
      </w:r>
      <w:r w:rsidR="0048687A" w:rsidRPr="00A6724D">
        <w:rPr>
          <w:rFonts w:ascii="Times" w:hAnsi="Times" w:cs="Arial"/>
          <w:color w:val="000000" w:themeColor="text1"/>
        </w:rPr>
        <w:t>in CB cells (</w:t>
      </w:r>
      <w:r w:rsidRPr="00A6724D">
        <w:rPr>
          <w:rFonts w:ascii="Times" w:hAnsi="Times" w:cs="Arial"/>
          <w:b/>
          <w:color w:val="000000" w:themeColor="text1"/>
        </w:rPr>
        <w:t>b</w:t>
      </w:r>
      <w:r w:rsidR="0048687A" w:rsidRPr="00A6724D">
        <w:rPr>
          <w:rFonts w:ascii="Times" w:hAnsi="Times" w:cs="Arial"/>
          <w:color w:val="000000" w:themeColor="text1"/>
        </w:rPr>
        <w:t>) and N2a cells (</w:t>
      </w:r>
      <w:r w:rsidRPr="00A6724D">
        <w:rPr>
          <w:rFonts w:ascii="Times" w:hAnsi="Times" w:cs="Arial"/>
          <w:b/>
          <w:color w:val="000000" w:themeColor="text1"/>
        </w:rPr>
        <w:t>c</w:t>
      </w:r>
      <w:r w:rsidR="0048687A" w:rsidRPr="00A6724D">
        <w:rPr>
          <w:rFonts w:ascii="Times" w:hAnsi="Times" w:cs="Arial"/>
          <w:color w:val="000000" w:themeColor="text1"/>
        </w:rPr>
        <w:t xml:space="preserve">) after control and </w:t>
      </w:r>
      <w:r w:rsidR="0048687A" w:rsidRPr="00A6724D">
        <w:rPr>
          <w:rFonts w:ascii="Times" w:hAnsi="Times" w:cs="Arial"/>
          <w:i/>
          <w:color w:val="000000" w:themeColor="text1"/>
        </w:rPr>
        <w:t xml:space="preserve">Dnmt1 </w:t>
      </w:r>
      <w:r w:rsidR="0048687A" w:rsidRPr="00A6724D">
        <w:rPr>
          <w:rFonts w:ascii="Times" w:hAnsi="Times" w:cs="Arial"/>
          <w:color w:val="000000" w:themeColor="text1"/>
        </w:rPr>
        <w:t>siRNA treatment for 1 div. The white rectangles illustrate the locations of the magnified</w:t>
      </w:r>
      <w:r w:rsidR="0048687A" w:rsidRPr="00A6724D">
        <w:rPr>
          <w:rFonts w:ascii="Times" w:hAnsi="Times" w:cs="Arial"/>
          <w:i/>
          <w:color w:val="000000" w:themeColor="text1"/>
        </w:rPr>
        <w:t xml:space="preserve"> </w:t>
      </w:r>
      <w:r w:rsidR="0048687A" w:rsidRPr="00A6724D">
        <w:rPr>
          <w:rFonts w:ascii="Times" w:hAnsi="Times" w:cs="Arial"/>
          <w:color w:val="000000" w:themeColor="text1"/>
        </w:rPr>
        <w:t>parts of the processes. Quantification of fluorescence intensities is shown in (</w:t>
      </w:r>
      <w:r w:rsidRPr="00A6724D">
        <w:rPr>
          <w:rFonts w:ascii="Times" w:hAnsi="Times" w:cs="Arial"/>
          <w:b/>
          <w:color w:val="000000" w:themeColor="text1"/>
        </w:rPr>
        <w:t>d</w:t>
      </w:r>
      <w:r w:rsidR="0048687A" w:rsidRPr="00A6724D">
        <w:rPr>
          <w:rFonts w:ascii="Times" w:hAnsi="Times" w:cs="Arial"/>
          <w:color w:val="000000" w:themeColor="text1"/>
        </w:rPr>
        <w:t>) for all cell types. (</w:t>
      </w:r>
      <w:r w:rsidRPr="00A6724D">
        <w:rPr>
          <w:rFonts w:ascii="Times" w:hAnsi="Times" w:cs="Arial"/>
          <w:b/>
          <w:color w:val="000000" w:themeColor="text1"/>
        </w:rPr>
        <w:t>e</w:t>
      </w:r>
      <w:r w:rsidR="0048687A" w:rsidRPr="00A6724D">
        <w:rPr>
          <w:rFonts w:ascii="Times" w:hAnsi="Times" w:cs="Arial"/>
          <w:color w:val="000000" w:themeColor="text1"/>
        </w:rPr>
        <w:t xml:space="preserve">, </w:t>
      </w:r>
      <w:r w:rsidRPr="00A6724D">
        <w:rPr>
          <w:rFonts w:ascii="Times" w:hAnsi="Times" w:cs="Arial"/>
          <w:b/>
          <w:color w:val="000000" w:themeColor="text1"/>
        </w:rPr>
        <w:t>f</w:t>
      </w:r>
      <w:r w:rsidR="0048687A" w:rsidRPr="00A6724D">
        <w:rPr>
          <w:rFonts w:ascii="Times" w:hAnsi="Times" w:cs="Arial"/>
          <w:color w:val="000000" w:themeColor="text1"/>
        </w:rPr>
        <w:t xml:space="preserve">) Ubiquitin immunostaining in the motor cortex of sagittal brain sections of 6 months old </w:t>
      </w:r>
      <w:r w:rsidR="0048687A" w:rsidRPr="00A6724D">
        <w:rPr>
          <w:rFonts w:ascii="Times" w:hAnsi="Times" w:cs="Arial"/>
          <w:i/>
          <w:color w:val="000000" w:themeColor="text1"/>
        </w:rPr>
        <w:t>Pvalb</w:t>
      </w:r>
      <w:r w:rsidR="0048687A" w:rsidRPr="00A6724D">
        <w:rPr>
          <w:rFonts w:ascii="Times" w:hAnsi="Times" w:cs="Arial"/>
          <w:color w:val="000000" w:themeColor="text1"/>
        </w:rPr>
        <w:t>-</w:t>
      </w:r>
      <w:r w:rsidR="0048687A" w:rsidRPr="002942EB">
        <w:rPr>
          <w:rFonts w:ascii="Times" w:hAnsi="Times" w:cs="Arial"/>
          <w:i/>
          <w:color w:val="000000" w:themeColor="text1"/>
        </w:rPr>
        <w:t>Cre</w:t>
      </w:r>
      <w:r w:rsidR="0048687A" w:rsidRPr="00A6724D">
        <w:rPr>
          <w:rFonts w:ascii="Times" w:hAnsi="Times" w:cs="Arial"/>
          <w:color w:val="000000" w:themeColor="text1"/>
        </w:rPr>
        <w:t>/</w:t>
      </w:r>
      <w:r w:rsidR="0048687A" w:rsidRPr="002942EB">
        <w:rPr>
          <w:rFonts w:ascii="Times" w:hAnsi="Times" w:cs="Arial"/>
          <w:i/>
          <w:color w:val="000000" w:themeColor="text1"/>
        </w:rPr>
        <w:t>tdTomato</w:t>
      </w:r>
      <w:r w:rsidR="00E01A81">
        <w:rPr>
          <w:rFonts w:ascii="Times" w:hAnsi="Times" w:cs="Arial"/>
          <w:color w:val="000000" w:themeColor="text1"/>
        </w:rPr>
        <w:t>/</w:t>
      </w:r>
      <w:r w:rsidR="0048687A" w:rsidRPr="00A6724D">
        <w:rPr>
          <w:rFonts w:ascii="Times" w:hAnsi="Times" w:cs="Arial"/>
          <w:i/>
          <w:color w:val="000000" w:themeColor="text1"/>
        </w:rPr>
        <w:t>Dnmt1</w:t>
      </w:r>
      <w:r w:rsidR="0048687A" w:rsidRPr="00A6724D">
        <w:rPr>
          <w:rFonts w:ascii="Times" w:hAnsi="Times" w:cs="Arial"/>
          <w:color w:val="000000" w:themeColor="text1"/>
        </w:rPr>
        <w:t xml:space="preserve"> wild-type (WT) and knockout mice (KO; tdTomato in red, Ubiquitin in green). </w:t>
      </w:r>
      <w:proofErr w:type="spellStart"/>
      <w:r w:rsidR="0048687A" w:rsidRPr="00A6724D">
        <w:rPr>
          <w:rFonts w:ascii="Times" w:hAnsi="Times" w:cs="Arial"/>
          <w:color w:val="000000" w:themeColor="text1"/>
        </w:rPr>
        <w:t>dtTom</w:t>
      </w:r>
      <w:proofErr w:type="spellEnd"/>
      <w:r w:rsidR="0048687A" w:rsidRPr="00A6724D">
        <w:rPr>
          <w:rFonts w:ascii="Times" w:hAnsi="Times" w:cs="Arial"/>
          <w:color w:val="000000" w:themeColor="text1"/>
        </w:rPr>
        <w:t xml:space="preserve"> = tdTomato, </w:t>
      </w:r>
      <w:proofErr w:type="spellStart"/>
      <w:r w:rsidR="0048687A" w:rsidRPr="00A6724D">
        <w:rPr>
          <w:rFonts w:ascii="Times" w:hAnsi="Times" w:cs="Arial"/>
          <w:color w:val="000000" w:themeColor="text1"/>
        </w:rPr>
        <w:t>Ub</w:t>
      </w:r>
      <w:proofErr w:type="spellEnd"/>
      <w:r w:rsidR="0048687A" w:rsidRPr="00A6724D">
        <w:rPr>
          <w:rFonts w:ascii="Times" w:hAnsi="Times" w:cs="Arial"/>
          <w:color w:val="000000" w:themeColor="text1"/>
        </w:rPr>
        <w:t xml:space="preserve"> = Ubiquitin. Scale bars: 20 µm in (</w:t>
      </w:r>
      <w:r w:rsidRPr="00A6724D">
        <w:rPr>
          <w:rFonts w:ascii="Times" w:hAnsi="Times" w:cs="Arial"/>
          <w:b/>
          <w:color w:val="000000" w:themeColor="text1"/>
        </w:rPr>
        <w:t>b</w:t>
      </w:r>
      <w:r w:rsidR="0048687A" w:rsidRPr="00A6724D">
        <w:rPr>
          <w:rFonts w:ascii="Times" w:hAnsi="Times" w:cs="Arial"/>
          <w:b/>
          <w:color w:val="000000" w:themeColor="text1"/>
        </w:rPr>
        <w:t xml:space="preserve">, </w:t>
      </w:r>
      <w:r w:rsidRPr="00A6724D">
        <w:rPr>
          <w:rFonts w:ascii="Times" w:hAnsi="Times" w:cs="Arial"/>
          <w:b/>
          <w:color w:val="000000" w:themeColor="text1"/>
        </w:rPr>
        <w:t>e</w:t>
      </w:r>
      <w:r w:rsidR="0048687A" w:rsidRPr="00A6724D">
        <w:rPr>
          <w:rFonts w:ascii="Times" w:hAnsi="Times" w:cs="Arial"/>
          <w:b/>
          <w:color w:val="000000" w:themeColor="text1"/>
        </w:rPr>
        <w:t xml:space="preserve">, </w:t>
      </w:r>
      <w:r w:rsidRPr="00A6724D">
        <w:rPr>
          <w:rFonts w:ascii="Times" w:hAnsi="Times" w:cs="Arial"/>
          <w:b/>
          <w:color w:val="000000" w:themeColor="text1"/>
        </w:rPr>
        <w:t>f</w:t>
      </w:r>
      <w:r w:rsidR="0048687A" w:rsidRPr="00A6724D">
        <w:rPr>
          <w:rFonts w:ascii="Times" w:hAnsi="Times" w:cs="Arial"/>
          <w:color w:val="000000" w:themeColor="text1"/>
        </w:rPr>
        <w:t>); 10 µm in (</w:t>
      </w:r>
      <w:r w:rsidRPr="00A6724D">
        <w:rPr>
          <w:rFonts w:ascii="Times" w:hAnsi="Times" w:cs="Arial"/>
          <w:b/>
          <w:color w:val="000000" w:themeColor="text1"/>
        </w:rPr>
        <w:t>c</w:t>
      </w:r>
      <w:r w:rsidR="0048687A" w:rsidRPr="00A6724D">
        <w:rPr>
          <w:rFonts w:ascii="Times" w:hAnsi="Times" w:cs="Arial"/>
          <w:color w:val="000000" w:themeColor="text1"/>
        </w:rPr>
        <w:t>).</w:t>
      </w:r>
    </w:p>
    <w:p w14:paraId="5B2F668D" w14:textId="77777777" w:rsidR="0048687A" w:rsidRPr="00A6724D" w:rsidRDefault="0048687A" w:rsidP="0048687A">
      <w:pPr>
        <w:spacing w:line="360" w:lineRule="auto"/>
        <w:jc w:val="both"/>
        <w:rPr>
          <w:rFonts w:eastAsia="Arial"/>
          <w:b/>
          <w:color w:val="000000" w:themeColor="text1"/>
        </w:rPr>
      </w:pPr>
    </w:p>
    <w:p w14:paraId="447E16EC" w14:textId="77777777" w:rsidR="00D258A6" w:rsidRPr="00A6724D" w:rsidRDefault="0048687A" w:rsidP="00D258A6">
      <w:pPr>
        <w:spacing w:line="360" w:lineRule="auto"/>
        <w:jc w:val="both"/>
        <w:rPr>
          <w:rFonts w:eastAsia="Arial"/>
          <w:b/>
          <w:color w:val="000000" w:themeColor="text1"/>
        </w:rPr>
      </w:pPr>
      <w:r w:rsidRPr="00A6724D">
        <w:rPr>
          <w:rFonts w:eastAsia="Arial"/>
          <w:b/>
          <w:color w:val="000000" w:themeColor="text1"/>
        </w:rPr>
        <w:t>Legend for supplementary tables and movies</w:t>
      </w:r>
      <w:r w:rsidR="00D258A6" w:rsidRPr="00A6724D">
        <w:rPr>
          <w:rFonts w:eastAsia="Arial"/>
          <w:b/>
          <w:color w:val="000000" w:themeColor="text1"/>
        </w:rPr>
        <w:t>:</w:t>
      </w:r>
    </w:p>
    <w:p w14:paraId="3442448F" w14:textId="77777777" w:rsidR="00D258A6" w:rsidRPr="00A6724D" w:rsidRDefault="00D258A6" w:rsidP="00D258A6">
      <w:pPr>
        <w:spacing w:before="0" w:after="0" w:line="360" w:lineRule="auto"/>
        <w:jc w:val="both"/>
        <w:rPr>
          <w:rFonts w:eastAsia="Arial" w:cs="Times New Roman"/>
          <w:b/>
          <w:color w:val="000000" w:themeColor="text1"/>
          <w:szCs w:val="24"/>
        </w:rPr>
      </w:pPr>
      <w:r w:rsidRPr="00A6724D">
        <w:rPr>
          <w:rFonts w:eastAsia="Times New Roman" w:cs="Times New Roman"/>
          <w:b/>
          <w:bCs/>
          <w:color w:val="000000" w:themeColor="text1"/>
          <w:szCs w:val="24"/>
          <w:lang w:eastAsia="de-DE"/>
        </w:rPr>
        <w:t>Supplementary Movies 1a, b and 2a, b:</w:t>
      </w:r>
    </w:p>
    <w:p w14:paraId="6D4D0035" w14:textId="307A51CC" w:rsidR="00D258A6" w:rsidRPr="00A6724D" w:rsidRDefault="00D258A6" w:rsidP="00D258A6">
      <w:pPr>
        <w:spacing w:before="0" w:after="0" w:line="360" w:lineRule="auto"/>
        <w:rPr>
          <w:rFonts w:eastAsia="Times New Roman" w:cs="Times New Roman"/>
          <w:color w:val="000000" w:themeColor="text1"/>
          <w:szCs w:val="24"/>
          <w:lang w:eastAsia="de-DE"/>
        </w:rPr>
      </w:pPr>
      <w:r w:rsidRPr="00A6724D">
        <w:rPr>
          <w:rFonts w:eastAsia="Times New Roman" w:cs="Times New Roman"/>
          <w:b/>
          <w:bCs/>
          <w:color w:val="000000" w:themeColor="text1"/>
          <w:szCs w:val="24"/>
          <w:lang w:eastAsia="de-DE"/>
        </w:rPr>
        <w:t>DNMT1 influences endosomal tran</w:t>
      </w:r>
      <w:r w:rsidR="00300011" w:rsidRPr="00A6724D">
        <w:rPr>
          <w:rFonts w:eastAsia="Times New Roman" w:cs="Times New Roman"/>
          <w:b/>
          <w:bCs/>
          <w:color w:val="000000" w:themeColor="text1"/>
          <w:szCs w:val="24"/>
          <w:lang w:eastAsia="de-DE"/>
        </w:rPr>
        <w:t>sportation in cerebellar granul</w:t>
      </w:r>
      <w:r w:rsidR="00E01A81">
        <w:rPr>
          <w:rFonts w:eastAsia="Times New Roman" w:cs="Times New Roman"/>
          <w:b/>
          <w:bCs/>
          <w:color w:val="000000" w:themeColor="text1"/>
          <w:szCs w:val="24"/>
          <w:lang w:eastAsia="de-DE"/>
        </w:rPr>
        <w:t>e</w:t>
      </w:r>
      <w:r w:rsidRPr="00A6724D">
        <w:rPr>
          <w:rFonts w:eastAsia="Times New Roman" w:cs="Times New Roman"/>
          <w:b/>
          <w:bCs/>
          <w:color w:val="000000" w:themeColor="text1"/>
          <w:szCs w:val="24"/>
          <w:lang w:eastAsia="de-DE"/>
        </w:rPr>
        <w:t xml:space="preserve"> (CB) cells. </w:t>
      </w:r>
    </w:p>
    <w:p w14:paraId="3E0DDE6D" w14:textId="78FBD8D8" w:rsidR="00D258A6" w:rsidRPr="00A6724D" w:rsidRDefault="00D258A6" w:rsidP="00D258A6">
      <w:pPr>
        <w:spacing w:before="0" w:after="0" w:line="360" w:lineRule="auto"/>
        <w:jc w:val="both"/>
        <w:rPr>
          <w:rFonts w:eastAsia="Times New Roman" w:cs="Times New Roman"/>
          <w:color w:val="000000" w:themeColor="text1"/>
          <w:szCs w:val="24"/>
          <w:lang w:eastAsia="de-DE"/>
        </w:rPr>
      </w:pPr>
      <w:r w:rsidRPr="00A6724D">
        <w:rPr>
          <w:rFonts w:eastAsia="Times New Roman" w:cs="Times New Roman"/>
          <w:color w:val="000000" w:themeColor="text1"/>
          <w:szCs w:val="24"/>
          <w:lang w:eastAsia="de-DE"/>
        </w:rPr>
        <w:t xml:space="preserve">Live cell imaging of CB cells with a CD63-GFP overexpression revealed a significantly faster rate of retrograde transport in the </w:t>
      </w:r>
      <w:r w:rsidRPr="002942EB">
        <w:rPr>
          <w:rFonts w:eastAsia="Times New Roman" w:cs="Times New Roman"/>
          <w:i/>
          <w:color w:val="000000" w:themeColor="text1"/>
          <w:szCs w:val="24"/>
          <w:lang w:eastAsia="de-DE"/>
        </w:rPr>
        <w:t>D</w:t>
      </w:r>
      <w:r w:rsidR="00E01A81" w:rsidRPr="002942EB">
        <w:rPr>
          <w:rFonts w:eastAsia="Times New Roman" w:cs="Times New Roman"/>
          <w:i/>
          <w:color w:val="000000" w:themeColor="text1"/>
          <w:szCs w:val="24"/>
          <w:lang w:eastAsia="de-DE"/>
        </w:rPr>
        <w:t>nmt1</w:t>
      </w:r>
      <w:r w:rsidRPr="00A6724D">
        <w:rPr>
          <w:rFonts w:eastAsia="Times New Roman" w:cs="Times New Roman"/>
          <w:color w:val="000000" w:themeColor="text1"/>
          <w:szCs w:val="24"/>
          <w:lang w:eastAsia="de-DE"/>
        </w:rPr>
        <w:t xml:space="preserve"> knockdown cells (Movie </w:t>
      </w:r>
      <w:r w:rsidR="00753EA5">
        <w:rPr>
          <w:rFonts w:eastAsia="Times New Roman" w:cs="Times New Roman"/>
          <w:color w:val="000000" w:themeColor="text1"/>
          <w:szCs w:val="24"/>
          <w:lang w:eastAsia="de-DE"/>
        </w:rPr>
        <w:t>2</w:t>
      </w:r>
      <w:r w:rsidRPr="00A6724D">
        <w:rPr>
          <w:rFonts w:eastAsia="Times New Roman" w:cs="Times New Roman"/>
          <w:color w:val="000000" w:themeColor="text1"/>
          <w:szCs w:val="24"/>
          <w:lang w:eastAsia="de-DE"/>
        </w:rPr>
        <w:t xml:space="preserve">a, b) compared to control cells (Movie </w:t>
      </w:r>
      <w:r w:rsidR="00753EA5">
        <w:rPr>
          <w:rFonts w:eastAsia="Times New Roman" w:cs="Times New Roman"/>
          <w:color w:val="000000" w:themeColor="text1"/>
          <w:szCs w:val="24"/>
          <w:lang w:eastAsia="de-DE"/>
        </w:rPr>
        <w:t>1</w:t>
      </w:r>
      <w:bookmarkStart w:id="0" w:name="_GoBack"/>
      <w:bookmarkEnd w:id="0"/>
      <w:r w:rsidRPr="00A6724D">
        <w:rPr>
          <w:rFonts w:eastAsia="Times New Roman" w:cs="Times New Roman"/>
          <w:color w:val="000000" w:themeColor="text1"/>
          <w:szCs w:val="24"/>
          <w:lang w:eastAsia="de-DE"/>
        </w:rPr>
        <w:t>a, b). CB cells were imaged every 5 min for 20 mins, video is produced with 3 frames per sec</w:t>
      </w:r>
      <w:r w:rsidR="003B722F">
        <w:rPr>
          <w:rFonts w:eastAsia="Times New Roman" w:cs="Times New Roman"/>
          <w:color w:val="000000" w:themeColor="text1"/>
          <w:szCs w:val="24"/>
          <w:lang w:eastAsia="de-DE"/>
        </w:rPr>
        <w:t>ond</w:t>
      </w:r>
      <w:r w:rsidRPr="00A6724D">
        <w:rPr>
          <w:rFonts w:eastAsia="Times New Roman" w:cs="Times New Roman"/>
          <w:color w:val="000000" w:themeColor="text1"/>
          <w:szCs w:val="24"/>
          <w:lang w:eastAsia="de-DE"/>
        </w:rPr>
        <w:t>. </w:t>
      </w:r>
      <w:r w:rsidR="00E01A81" w:rsidRPr="00A6724D">
        <w:rPr>
          <w:rFonts w:eastAsia="Times New Roman" w:cs="Times New Roman"/>
          <w:color w:val="000000" w:themeColor="text1"/>
          <w:szCs w:val="24"/>
          <w:lang w:eastAsia="de-DE"/>
        </w:rPr>
        <w:t>Scale bar</w:t>
      </w:r>
      <w:r w:rsidR="00E01A81">
        <w:rPr>
          <w:rFonts w:eastAsia="Times New Roman" w:cs="Times New Roman"/>
          <w:color w:val="000000" w:themeColor="text1"/>
          <w:szCs w:val="24"/>
          <w:lang w:eastAsia="de-DE"/>
        </w:rPr>
        <w:t>:</w:t>
      </w:r>
      <w:r w:rsidR="00E01A81" w:rsidRPr="00A6724D">
        <w:rPr>
          <w:rFonts w:eastAsia="Times New Roman" w:cs="Times New Roman"/>
          <w:color w:val="000000" w:themeColor="text1"/>
          <w:szCs w:val="24"/>
          <w:lang w:eastAsia="de-DE"/>
        </w:rPr>
        <w:t xml:space="preserve"> 10 µm.</w:t>
      </w:r>
    </w:p>
    <w:p w14:paraId="351AC81A" w14:textId="77777777" w:rsidR="0048687A" w:rsidRPr="00A6724D" w:rsidRDefault="0048687A" w:rsidP="0048687A">
      <w:pPr>
        <w:rPr>
          <w:color w:val="000000" w:themeColor="text1"/>
          <w:szCs w:val="24"/>
        </w:rPr>
      </w:pPr>
    </w:p>
    <w:p w14:paraId="5F7B5261" w14:textId="77777777" w:rsidR="00994A3D" w:rsidRPr="00A6724D" w:rsidRDefault="00994A3D" w:rsidP="008D2AC1">
      <w:pPr>
        <w:pStyle w:val="berschrift2"/>
        <w:numPr>
          <w:ilvl w:val="0"/>
          <w:numId w:val="0"/>
        </w:numPr>
        <w:ind w:left="567" w:hanging="567"/>
        <w:rPr>
          <w:color w:val="000000" w:themeColor="text1"/>
        </w:rPr>
      </w:pPr>
      <w:r w:rsidRPr="00A6724D">
        <w:rPr>
          <w:color w:val="000000" w:themeColor="text1"/>
        </w:rPr>
        <w:t xml:space="preserve">Supplementary </w:t>
      </w:r>
      <w:r w:rsidR="008D2AC1" w:rsidRPr="00A6724D">
        <w:rPr>
          <w:color w:val="000000" w:themeColor="text1"/>
        </w:rPr>
        <w:t>Tables:</w:t>
      </w:r>
    </w:p>
    <w:p w14:paraId="19143147" w14:textId="77777777" w:rsidR="008D2AC1" w:rsidRPr="00A6724D" w:rsidRDefault="008D2AC1" w:rsidP="008D2AC1">
      <w:pPr>
        <w:rPr>
          <w:b/>
          <w:color w:val="000000" w:themeColor="text1"/>
          <w:szCs w:val="24"/>
        </w:rPr>
      </w:pPr>
      <w:r w:rsidRPr="00A6724D">
        <w:rPr>
          <w:b/>
          <w:color w:val="000000" w:themeColor="text1"/>
          <w:szCs w:val="24"/>
        </w:rPr>
        <w:t>Supplementary Table S1 (Table S1_DEG aging in WT):</w:t>
      </w:r>
    </w:p>
    <w:p w14:paraId="36B322B2" w14:textId="77777777" w:rsidR="008D2AC1" w:rsidRPr="00A6724D" w:rsidRDefault="008D2AC1" w:rsidP="008D2AC1">
      <w:pPr>
        <w:spacing w:before="0" w:after="0" w:line="360" w:lineRule="auto"/>
        <w:rPr>
          <w:rFonts w:cs="Times New Roman"/>
          <w:color w:val="000000" w:themeColor="text1"/>
          <w:szCs w:val="24"/>
        </w:rPr>
      </w:pPr>
      <w:r w:rsidRPr="00A6724D">
        <w:rPr>
          <w:b/>
          <w:color w:val="000000" w:themeColor="text1"/>
          <w:szCs w:val="24"/>
        </w:rPr>
        <w:t xml:space="preserve">Differential gene expression analysis between young and old </w:t>
      </w:r>
      <w:r w:rsidRPr="00A6724D">
        <w:rPr>
          <w:rFonts w:eastAsia="Arial Unicode MS"/>
          <w:b/>
          <w:i/>
          <w:color w:val="000000" w:themeColor="text1"/>
          <w:szCs w:val="24"/>
          <w:lang w:eastAsia="de-DE"/>
        </w:rPr>
        <w:t>Pvalb</w:t>
      </w:r>
      <w:r w:rsidRPr="00A6724D">
        <w:rPr>
          <w:rFonts w:eastAsia="Arial Unicode MS"/>
          <w:b/>
          <w:color w:val="000000" w:themeColor="text1"/>
          <w:szCs w:val="24"/>
          <w:lang w:eastAsia="de-DE"/>
        </w:rPr>
        <w:t>-</w:t>
      </w:r>
      <w:r w:rsidRPr="00A6724D">
        <w:rPr>
          <w:rFonts w:eastAsia="Arial Unicode MS"/>
          <w:b/>
          <w:i/>
          <w:color w:val="000000" w:themeColor="text1"/>
          <w:szCs w:val="24"/>
          <w:lang w:eastAsia="de-DE"/>
        </w:rPr>
        <w:t>Cre/tdTomato</w:t>
      </w:r>
      <w:r w:rsidRPr="00A6724D">
        <w:rPr>
          <w:rFonts w:eastAsia="Arial Unicode MS"/>
          <w:b/>
          <w:color w:val="000000" w:themeColor="text1"/>
          <w:szCs w:val="24"/>
          <w:lang w:eastAsia="de-DE"/>
        </w:rPr>
        <w:t xml:space="preserve"> </w:t>
      </w:r>
      <w:r w:rsidRPr="00A6724D">
        <w:rPr>
          <w:b/>
          <w:color w:val="000000" w:themeColor="text1"/>
          <w:szCs w:val="24"/>
        </w:rPr>
        <w:t>wild-type interneurons</w:t>
      </w:r>
      <w:r w:rsidRPr="00A6724D">
        <w:rPr>
          <w:rFonts w:cs="Times New Roman"/>
          <w:color w:val="000000" w:themeColor="text1"/>
          <w:szCs w:val="24"/>
        </w:rPr>
        <w:t xml:space="preserve">. </w:t>
      </w:r>
    </w:p>
    <w:p w14:paraId="1146DF75" w14:textId="14516C68" w:rsidR="008D2AC1" w:rsidRPr="00A6724D" w:rsidRDefault="008D2AC1" w:rsidP="00BF1ADA">
      <w:pPr>
        <w:spacing w:before="0" w:after="0" w:line="360" w:lineRule="auto"/>
        <w:jc w:val="both"/>
        <w:rPr>
          <w:rFonts w:cs="Times New Roman"/>
          <w:color w:val="000000" w:themeColor="text1"/>
          <w:szCs w:val="24"/>
        </w:rPr>
      </w:pPr>
      <w:r w:rsidRPr="00A6724D">
        <w:rPr>
          <w:rFonts w:eastAsia="Arial Unicode MS"/>
          <w:color w:val="000000" w:themeColor="text1"/>
          <w:szCs w:val="24"/>
          <w:lang w:eastAsia="de-DE"/>
        </w:rPr>
        <w:t xml:space="preserve">RNA sequencing of 6 months old and 18 months old </w:t>
      </w:r>
      <w:r w:rsidRPr="002942EB">
        <w:rPr>
          <w:rFonts w:eastAsia="Arial Unicode MS"/>
          <w:i/>
          <w:color w:val="000000" w:themeColor="text1"/>
          <w:szCs w:val="24"/>
          <w:lang w:eastAsia="de-DE"/>
        </w:rPr>
        <w:t>Pvalb-Cre</w:t>
      </w:r>
      <w:r w:rsidRPr="003B722F">
        <w:rPr>
          <w:rFonts w:eastAsia="Arial Unicode MS"/>
          <w:color w:val="000000" w:themeColor="text1"/>
          <w:szCs w:val="24"/>
          <w:lang w:eastAsia="de-DE"/>
        </w:rPr>
        <w:t>/</w:t>
      </w:r>
      <w:r w:rsidRPr="002942EB">
        <w:rPr>
          <w:rFonts w:eastAsia="Arial Unicode MS"/>
          <w:i/>
          <w:color w:val="000000" w:themeColor="text1"/>
          <w:szCs w:val="24"/>
          <w:lang w:eastAsia="de-DE"/>
        </w:rPr>
        <w:t>tdTomato</w:t>
      </w:r>
      <w:r w:rsidRPr="00A6724D">
        <w:rPr>
          <w:rFonts w:eastAsia="Arial Unicode MS"/>
          <w:color w:val="000000" w:themeColor="text1"/>
          <w:szCs w:val="24"/>
          <w:lang w:eastAsia="de-DE"/>
        </w:rPr>
        <w:t xml:space="preserve"> wild-type interneurons of the cerebral cortex was performed. Differentially expressed genes (DEG) are listed in sheet 1-1. Gene ontology </w:t>
      </w:r>
      <w:r w:rsidR="00BF1ADA" w:rsidRPr="00A6724D">
        <w:rPr>
          <w:rFonts w:eastAsia="Arial Unicode MS"/>
          <w:color w:val="000000" w:themeColor="text1"/>
          <w:szCs w:val="24"/>
          <w:lang w:eastAsia="de-DE"/>
        </w:rPr>
        <w:t xml:space="preserve">(GO) </w:t>
      </w:r>
      <w:r w:rsidRPr="00A6724D">
        <w:rPr>
          <w:rFonts w:eastAsia="Arial Unicode MS"/>
          <w:color w:val="000000" w:themeColor="text1"/>
          <w:szCs w:val="24"/>
          <w:lang w:eastAsia="de-DE"/>
        </w:rPr>
        <w:t xml:space="preserve">analysis </w:t>
      </w:r>
      <w:r w:rsidR="00BF1ADA" w:rsidRPr="00A6724D">
        <w:rPr>
          <w:rFonts w:eastAsia="Arial Unicode MS"/>
          <w:color w:val="000000" w:themeColor="text1"/>
          <w:szCs w:val="24"/>
          <w:lang w:eastAsia="de-DE"/>
        </w:rPr>
        <w:t>was performed with DAVID. S</w:t>
      </w:r>
      <w:r w:rsidRPr="00A6724D">
        <w:rPr>
          <w:rFonts w:eastAsia="Arial Unicode MS"/>
          <w:color w:val="000000" w:themeColor="text1"/>
          <w:szCs w:val="24"/>
          <w:lang w:eastAsia="de-DE"/>
        </w:rPr>
        <w:t>heet 1-2</w:t>
      </w:r>
      <w:r w:rsidR="00BF1ADA" w:rsidRPr="00A6724D">
        <w:rPr>
          <w:rFonts w:eastAsia="Arial Unicode MS"/>
          <w:color w:val="000000" w:themeColor="text1"/>
          <w:szCs w:val="24"/>
          <w:lang w:eastAsia="de-DE"/>
        </w:rPr>
        <w:t xml:space="preserve"> provides an overview of GO-terms found for upregulated genes in aged wild-type interneurons, while sheet </w:t>
      </w:r>
      <w:r w:rsidRPr="00A6724D">
        <w:rPr>
          <w:rFonts w:eastAsia="Arial Unicode MS"/>
          <w:color w:val="000000" w:themeColor="text1"/>
          <w:szCs w:val="24"/>
          <w:lang w:eastAsia="de-DE"/>
        </w:rPr>
        <w:t>1-3</w:t>
      </w:r>
      <w:r w:rsidR="00BF1ADA" w:rsidRPr="00A6724D">
        <w:rPr>
          <w:rFonts w:eastAsia="Arial Unicode MS"/>
          <w:color w:val="000000" w:themeColor="text1"/>
          <w:szCs w:val="24"/>
          <w:lang w:eastAsia="de-DE"/>
        </w:rPr>
        <w:t xml:space="preserve"> collects the GO-terms for down-regulated genes in aged wild-type interneurons. </w:t>
      </w:r>
    </w:p>
    <w:p w14:paraId="66F74858" w14:textId="77777777" w:rsidR="00BF1ADA" w:rsidRPr="00A6724D" w:rsidRDefault="00BF1ADA" w:rsidP="00BF1ADA">
      <w:pPr>
        <w:rPr>
          <w:b/>
          <w:color w:val="000000" w:themeColor="text1"/>
          <w:szCs w:val="24"/>
        </w:rPr>
      </w:pPr>
    </w:p>
    <w:p w14:paraId="379F44B1" w14:textId="77777777" w:rsidR="00BF1ADA" w:rsidRPr="00A6724D" w:rsidRDefault="00BF1ADA" w:rsidP="00BF1ADA">
      <w:pPr>
        <w:rPr>
          <w:b/>
          <w:color w:val="000000" w:themeColor="text1"/>
          <w:szCs w:val="24"/>
        </w:rPr>
      </w:pPr>
      <w:r w:rsidRPr="00A6724D">
        <w:rPr>
          <w:b/>
          <w:color w:val="000000" w:themeColor="text1"/>
          <w:szCs w:val="24"/>
        </w:rPr>
        <w:lastRenderedPageBreak/>
        <w:t>Supplementary Table S2 (Table S1_DEG aging in KO):</w:t>
      </w:r>
    </w:p>
    <w:p w14:paraId="741B0347" w14:textId="77777777" w:rsidR="00BF1ADA" w:rsidRPr="00A6724D" w:rsidRDefault="00BF1ADA" w:rsidP="00BF1ADA">
      <w:pPr>
        <w:spacing w:before="0" w:after="0" w:line="360" w:lineRule="auto"/>
        <w:rPr>
          <w:rFonts w:cs="Times New Roman"/>
          <w:color w:val="000000" w:themeColor="text1"/>
          <w:szCs w:val="24"/>
        </w:rPr>
      </w:pPr>
      <w:r w:rsidRPr="00A6724D">
        <w:rPr>
          <w:b/>
          <w:color w:val="000000" w:themeColor="text1"/>
          <w:szCs w:val="24"/>
        </w:rPr>
        <w:t xml:space="preserve">Differential gene expression analysis between young and old </w:t>
      </w:r>
      <w:r w:rsidRPr="00A6724D">
        <w:rPr>
          <w:rFonts w:eastAsia="Arial Unicode MS"/>
          <w:b/>
          <w:i/>
          <w:color w:val="000000" w:themeColor="text1"/>
          <w:szCs w:val="24"/>
          <w:lang w:eastAsia="de-DE"/>
        </w:rPr>
        <w:t>Pvalb</w:t>
      </w:r>
      <w:r w:rsidRPr="00A6724D">
        <w:rPr>
          <w:rFonts w:eastAsia="Arial Unicode MS"/>
          <w:b/>
          <w:color w:val="000000" w:themeColor="text1"/>
          <w:szCs w:val="24"/>
          <w:lang w:eastAsia="de-DE"/>
        </w:rPr>
        <w:t>-</w:t>
      </w:r>
      <w:r w:rsidRPr="00A6724D">
        <w:rPr>
          <w:rFonts w:eastAsia="Arial Unicode MS"/>
          <w:b/>
          <w:i/>
          <w:color w:val="000000" w:themeColor="text1"/>
          <w:szCs w:val="24"/>
          <w:lang w:eastAsia="de-DE"/>
        </w:rPr>
        <w:t>Cre/tdTomato/Dnmt1 loxP</w:t>
      </w:r>
      <w:r w:rsidRPr="00A6724D">
        <w:rPr>
          <w:rFonts w:eastAsia="Arial Unicode MS"/>
          <w:b/>
          <w:i/>
          <w:color w:val="000000" w:themeColor="text1"/>
          <w:szCs w:val="24"/>
          <w:vertAlign w:val="superscript"/>
          <w:lang w:eastAsia="de-DE"/>
        </w:rPr>
        <w:t>2</w:t>
      </w:r>
      <w:r w:rsidRPr="00A6724D">
        <w:rPr>
          <w:rFonts w:eastAsia="Arial Unicode MS"/>
          <w:b/>
          <w:color w:val="000000" w:themeColor="text1"/>
          <w:szCs w:val="24"/>
          <w:lang w:eastAsia="de-DE"/>
        </w:rPr>
        <w:t xml:space="preserve"> </w:t>
      </w:r>
      <w:r w:rsidRPr="00A6724D">
        <w:rPr>
          <w:b/>
          <w:color w:val="000000" w:themeColor="text1"/>
          <w:szCs w:val="24"/>
        </w:rPr>
        <w:t>interneurons</w:t>
      </w:r>
      <w:r w:rsidRPr="00A6724D">
        <w:rPr>
          <w:rFonts w:cs="Times New Roman"/>
          <w:color w:val="000000" w:themeColor="text1"/>
          <w:szCs w:val="24"/>
        </w:rPr>
        <w:t xml:space="preserve">. </w:t>
      </w:r>
    </w:p>
    <w:p w14:paraId="4B59B7D9" w14:textId="77777777" w:rsidR="00BF1ADA" w:rsidRPr="00A6724D" w:rsidRDefault="00BF1ADA" w:rsidP="00BF1ADA">
      <w:pPr>
        <w:spacing w:before="0" w:after="0" w:line="360" w:lineRule="auto"/>
        <w:jc w:val="both"/>
        <w:rPr>
          <w:rFonts w:eastAsia="Arial Unicode MS"/>
          <w:color w:val="000000" w:themeColor="text1"/>
          <w:szCs w:val="24"/>
          <w:lang w:eastAsia="de-DE"/>
        </w:rPr>
      </w:pPr>
      <w:r w:rsidRPr="00A6724D">
        <w:rPr>
          <w:rFonts w:eastAsia="Arial Unicode MS"/>
          <w:color w:val="000000" w:themeColor="text1"/>
          <w:szCs w:val="24"/>
          <w:lang w:eastAsia="de-DE"/>
        </w:rPr>
        <w:t xml:space="preserve">RNA sequencing of 6 months old and 18 months old </w:t>
      </w:r>
      <w:r w:rsidRPr="00A6724D">
        <w:rPr>
          <w:rFonts w:eastAsia="Arial Unicode MS"/>
          <w:i/>
          <w:color w:val="000000" w:themeColor="text1"/>
          <w:szCs w:val="24"/>
          <w:lang w:eastAsia="de-DE"/>
        </w:rPr>
        <w:t>Pvalb-Cre</w:t>
      </w:r>
      <w:r w:rsidRPr="003B722F">
        <w:rPr>
          <w:rFonts w:eastAsia="Arial Unicode MS"/>
          <w:color w:val="000000" w:themeColor="text1"/>
          <w:szCs w:val="24"/>
          <w:lang w:eastAsia="de-DE"/>
        </w:rPr>
        <w:t>/</w:t>
      </w:r>
      <w:r w:rsidRPr="00A6724D">
        <w:rPr>
          <w:rFonts w:eastAsia="Arial Unicode MS"/>
          <w:i/>
          <w:color w:val="000000" w:themeColor="text1"/>
          <w:szCs w:val="24"/>
          <w:lang w:eastAsia="de-DE"/>
        </w:rPr>
        <w:t>tdTomato</w:t>
      </w:r>
      <w:r w:rsidRPr="003B722F">
        <w:rPr>
          <w:rFonts w:eastAsia="Arial Unicode MS"/>
          <w:color w:val="000000" w:themeColor="text1"/>
          <w:szCs w:val="24"/>
          <w:lang w:eastAsia="de-DE"/>
        </w:rPr>
        <w:t>/</w:t>
      </w:r>
      <w:r w:rsidRPr="00A6724D">
        <w:rPr>
          <w:rFonts w:eastAsia="Arial Unicode MS"/>
          <w:i/>
          <w:color w:val="000000" w:themeColor="text1"/>
          <w:szCs w:val="24"/>
          <w:lang w:eastAsia="de-DE"/>
        </w:rPr>
        <w:t>Dnmt1 loxP</w:t>
      </w:r>
      <w:r w:rsidRPr="00A6724D">
        <w:rPr>
          <w:rFonts w:eastAsia="Arial Unicode MS"/>
          <w:i/>
          <w:color w:val="000000" w:themeColor="text1"/>
          <w:szCs w:val="24"/>
          <w:vertAlign w:val="superscript"/>
          <w:lang w:eastAsia="de-DE"/>
        </w:rPr>
        <w:t>2</w:t>
      </w:r>
      <w:r w:rsidRPr="00A6724D">
        <w:rPr>
          <w:rFonts w:eastAsia="Arial Unicode MS"/>
          <w:color w:val="000000" w:themeColor="text1"/>
          <w:szCs w:val="24"/>
          <w:lang w:eastAsia="de-DE"/>
        </w:rPr>
        <w:t xml:space="preserve"> interneurons of the cerebral cortex was performed. Differentially expressed genes (DEG</w:t>
      </w:r>
      <w:r w:rsidR="001A334A" w:rsidRPr="00A6724D">
        <w:rPr>
          <w:rFonts w:eastAsia="Arial Unicode MS"/>
          <w:color w:val="000000" w:themeColor="text1"/>
          <w:szCs w:val="24"/>
          <w:lang w:eastAsia="de-DE"/>
        </w:rPr>
        <w:t xml:space="preserve">; </w:t>
      </w:r>
      <w:proofErr w:type="spellStart"/>
      <w:r w:rsidR="001A334A" w:rsidRPr="00A6724D">
        <w:rPr>
          <w:rFonts w:eastAsia="Arial Unicode MS"/>
          <w:color w:val="000000" w:themeColor="text1"/>
          <w:szCs w:val="24"/>
          <w:lang w:eastAsia="de-DE"/>
        </w:rPr>
        <w:t>Benjamini</w:t>
      </w:r>
      <w:proofErr w:type="spellEnd"/>
      <w:r w:rsidR="001A334A" w:rsidRPr="00A6724D">
        <w:rPr>
          <w:rFonts w:eastAsia="Arial Unicode MS"/>
          <w:color w:val="000000" w:themeColor="text1"/>
          <w:szCs w:val="24"/>
          <w:lang w:eastAsia="de-DE"/>
        </w:rPr>
        <w:t xml:space="preserve"> </w:t>
      </w:r>
      <w:r w:rsidR="001A334A" w:rsidRPr="00A6724D">
        <w:rPr>
          <w:rFonts w:cs="Times New Roman"/>
          <w:color w:val="000000" w:themeColor="text1"/>
          <w:szCs w:val="24"/>
        </w:rPr>
        <w:t xml:space="preserve">adjusted p&lt;0.05; </w:t>
      </w:r>
      <w:r w:rsidR="001A334A" w:rsidRPr="00A6724D">
        <w:rPr>
          <w:rFonts w:cs="Times New Roman"/>
          <w:color w:val="000000" w:themeColor="text1"/>
          <w:szCs w:val="24"/>
        </w:rPr>
        <w:sym w:font="Symbol" w:char="F0E7"/>
      </w:r>
      <w:r w:rsidR="001A334A" w:rsidRPr="00A6724D">
        <w:rPr>
          <w:rFonts w:cs="Times New Roman"/>
          <w:color w:val="000000" w:themeColor="text1"/>
          <w:szCs w:val="24"/>
        </w:rPr>
        <w:t xml:space="preserve">log2fc </w:t>
      </w:r>
      <w:r w:rsidR="001A334A" w:rsidRPr="00A6724D">
        <w:rPr>
          <w:rFonts w:cs="Times New Roman"/>
          <w:color w:val="000000" w:themeColor="text1"/>
          <w:szCs w:val="24"/>
        </w:rPr>
        <w:sym w:font="Symbol" w:char="F0E7"/>
      </w:r>
      <w:r w:rsidR="001A334A" w:rsidRPr="00A6724D">
        <w:rPr>
          <w:rFonts w:cs="Times New Roman"/>
          <w:color w:val="000000" w:themeColor="text1"/>
          <w:szCs w:val="24"/>
        </w:rPr>
        <w:t>&gt;1</w:t>
      </w:r>
      <w:r w:rsidRPr="00A6724D">
        <w:rPr>
          <w:rFonts w:eastAsia="Arial Unicode MS"/>
          <w:color w:val="000000" w:themeColor="text1"/>
          <w:szCs w:val="24"/>
          <w:lang w:eastAsia="de-DE"/>
        </w:rPr>
        <w:t xml:space="preserve">) are listed in sheet 2-1. Gene ontology (GO) analysis was performed with DAVID. Sheet 2-2 provides an overview of GO-terms found </w:t>
      </w:r>
      <w:r w:rsidR="003B722F">
        <w:rPr>
          <w:rFonts w:eastAsia="Arial Unicode MS"/>
          <w:color w:val="000000" w:themeColor="text1"/>
          <w:szCs w:val="24"/>
          <w:lang w:eastAsia="de-DE"/>
        </w:rPr>
        <w:t xml:space="preserve">for </w:t>
      </w:r>
      <w:r w:rsidRPr="00A6724D">
        <w:rPr>
          <w:rFonts w:eastAsia="Arial Unicode MS"/>
          <w:color w:val="000000" w:themeColor="text1"/>
          <w:szCs w:val="24"/>
          <w:lang w:eastAsia="de-DE"/>
        </w:rPr>
        <w:t xml:space="preserve">down-regulated genes in aged </w:t>
      </w:r>
      <w:r w:rsidRPr="00A6724D">
        <w:rPr>
          <w:rFonts w:eastAsia="Arial Unicode MS"/>
          <w:i/>
          <w:color w:val="000000" w:themeColor="text1"/>
          <w:szCs w:val="24"/>
          <w:lang w:eastAsia="de-DE"/>
        </w:rPr>
        <w:t>Dnmt1</w:t>
      </w:r>
      <w:r w:rsidRPr="00A6724D">
        <w:rPr>
          <w:rFonts w:eastAsia="Arial Unicode MS"/>
          <w:color w:val="000000" w:themeColor="text1"/>
          <w:szCs w:val="24"/>
          <w:lang w:eastAsia="de-DE"/>
        </w:rPr>
        <w:t>- deficient</w:t>
      </w:r>
      <w:r w:rsidRPr="00A6724D">
        <w:rPr>
          <w:rFonts w:eastAsia="Arial Unicode MS"/>
          <w:i/>
          <w:color w:val="000000" w:themeColor="text1"/>
          <w:szCs w:val="24"/>
          <w:lang w:eastAsia="de-DE"/>
        </w:rPr>
        <w:t xml:space="preserve"> </w:t>
      </w:r>
      <w:r w:rsidRPr="00A6724D">
        <w:rPr>
          <w:rFonts w:eastAsia="Arial Unicode MS"/>
          <w:color w:val="000000" w:themeColor="text1"/>
          <w:szCs w:val="24"/>
          <w:lang w:eastAsia="de-DE"/>
        </w:rPr>
        <w:t xml:space="preserve">interneurons. As only very few genes were found up-regulated upon aging in </w:t>
      </w:r>
    </w:p>
    <w:p w14:paraId="4BEEDFD1" w14:textId="77777777" w:rsidR="00BF1ADA" w:rsidRPr="00A6724D" w:rsidRDefault="00BF1ADA" w:rsidP="00BF1ADA">
      <w:pPr>
        <w:spacing w:before="0" w:after="0" w:line="360" w:lineRule="auto"/>
        <w:jc w:val="both"/>
        <w:rPr>
          <w:rFonts w:eastAsia="Arial Unicode MS"/>
          <w:color w:val="000000" w:themeColor="text1"/>
          <w:szCs w:val="24"/>
          <w:lang w:eastAsia="de-DE"/>
        </w:rPr>
      </w:pPr>
      <w:r w:rsidRPr="00A6724D">
        <w:rPr>
          <w:rFonts w:eastAsia="Arial Unicode MS"/>
          <w:i/>
          <w:color w:val="000000" w:themeColor="text1"/>
          <w:szCs w:val="24"/>
          <w:lang w:eastAsia="de-DE"/>
        </w:rPr>
        <w:t>Pvalb-Cre</w:t>
      </w:r>
      <w:r w:rsidRPr="003B722F">
        <w:rPr>
          <w:rFonts w:eastAsia="Arial Unicode MS"/>
          <w:color w:val="000000" w:themeColor="text1"/>
          <w:szCs w:val="24"/>
          <w:lang w:eastAsia="de-DE"/>
        </w:rPr>
        <w:t>/</w:t>
      </w:r>
      <w:r w:rsidRPr="00A6724D">
        <w:rPr>
          <w:rFonts w:eastAsia="Arial Unicode MS"/>
          <w:i/>
          <w:color w:val="000000" w:themeColor="text1"/>
          <w:szCs w:val="24"/>
          <w:lang w:eastAsia="de-DE"/>
        </w:rPr>
        <w:t>tdTomato</w:t>
      </w:r>
      <w:r w:rsidRPr="003B722F">
        <w:rPr>
          <w:rFonts w:eastAsia="Arial Unicode MS"/>
          <w:color w:val="000000" w:themeColor="text1"/>
          <w:szCs w:val="24"/>
          <w:lang w:eastAsia="de-DE"/>
        </w:rPr>
        <w:t>/</w:t>
      </w:r>
      <w:r w:rsidRPr="00A6724D">
        <w:rPr>
          <w:rFonts w:eastAsia="Arial Unicode MS"/>
          <w:i/>
          <w:color w:val="000000" w:themeColor="text1"/>
          <w:szCs w:val="24"/>
          <w:lang w:eastAsia="de-DE"/>
        </w:rPr>
        <w:t>Dnmt1 loxP</w:t>
      </w:r>
      <w:r w:rsidRPr="00A6724D">
        <w:rPr>
          <w:rFonts w:eastAsia="Arial Unicode MS"/>
          <w:i/>
          <w:color w:val="000000" w:themeColor="text1"/>
          <w:szCs w:val="24"/>
          <w:vertAlign w:val="superscript"/>
          <w:lang w:eastAsia="de-DE"/>
        </w:rPr>
        <w:t>2</w:t>
      </w:r>
      <w:r w:rsidRPr="00A6724D">
        <w:rPr>
          <w:rFonts w:eastAsia="Arial Unicode MS"/>
          <w:color w:val="000000" w:themeColor="text1"/>
          <w:szCs w:val="24"/>
          <w:lang w:eastAsia="de-DE"/>
        </w:rPr>
        <w:t xml:space="preserve"> interneurons, GO-analysis was not applicable.</w:t>
      </w:r>
    </w:p>
    <w:p w14:paraId="260D228E" w14:textId="77777777" w:rsidR="00BF1ADA" w:rsidRPr="00A6724D" w:rsidRDefault="00BF1ADA" w:rsidP="00BF1ADA">
      <w:pPr>
        <w:spacing w:before="0" w:after="0" w:line="360" w:lineRule="auto"/>
        <w:jc w:val="both"/>
        <w:rPr>
          <w:rFonts w:eastAsia="Arial Unicode MS"/>
          <w:color w:val="000000" w:themeColor="text1"/>
          <w:szCs w:val="24"/>
          <w:lang w:eastAsia="de-DE"/>
        </w:rPr>
      </w:pPr>
    </w:p>
    <w:p w14:paraId="60F35BF4" w14:textId="77777777" w:rsidR="00BF1ADA" w:rsidRPr="00A6724D" w:rsidRDefault="00BF1ADA" w:rsidP="001A334A">
      <w:pPr>
        <w:spacing w:before="0" w:after="0" w:line="360" w:lineRule="auto"/>
        <w:jc w:val="both"/>
        <w:rPr>
          <w:b/>
          <w:color w:val="000000" w:themeColor="text1"/>
          <w:szCs w:val="24"/>
        </w:rPr>
      </w:pPr>
      <w:r w:rsidRPr="00A6724D">
        <w:rPr>
          <w:b/>
          <w:color w:val="000000" w:themeColor="text1"/>
          <w:szCs w:val="24"/>
        </w:rPr>
        <w:t>Supplementary Table S</w:t>
      </w:r>
      <w:r w:rsidR="0064655C" w:rsidRPr="00A6724D">
        <w:rPr>
          <w:b/>
          <w:color w:val="000000" w:themeColor="text1"/>
          <w:szCs w:val="24"/>
        </w:rPr>
        <w:t>3</w:t>
      </w:r>
      <w:r w:rsidRPr="00A6724D">
        <w:rPr>
          <w:b/>
          <w:color w:val="000000" w:themeColor="text1"/>
          <w:szCs w:val="24"/>
        </w:rPr>
        <w:t xml:space="preserve"> (Table S3 DEG DMG OL </w:t>
      </w:r>
      <w:proofErr w:type="spellStart"/>
      <w:r w:rsidRPr="00A6724D">
        <w:rPr>
          <w:b/>
          <w:color w:val="000000" w:themeColor="text1"/>
          <w:szCs w:val="24"/>
        </w:rPr>
        <w:t>yng</w:t>
      </w:r>
      <w:proofErr w:type="spellEnd"/>
      <w:r w:rsidRPr="00A6724D">
        <w:rPr>
          <w:b/>
          <w:color w:val="000000" w:themeColor="text1"/>
          <w:szCs w:val="24"/>
        </w:rPr>
        <w:t xml:space="preserve"> WT old WT_DEG </w:t>
      </w:r>
      <w:r w:rsidR="0064655C" w:rsidRPr="00A6724D">
        <w:rPr>
          <w:b/>
          <w:color w:val="000000" w:themeColor="text1"/>
          <w:szCs w:val="24"/>
        </w:rPr>
        <w:t>with GO</w:t>
      </w:r>
      <w:r w:rsidRPr="00A6724D">
        <w:rPr>
          <w:b/>
          <w:color w:val="000000" w:themeColor="text1"/>
          <w:szCs w:val="24"/>
        </w:rPr>
        <w:t>):</w:t>
      </w:r>
    </w:p>
    <w:p w14:paraId="731B8C95" w14:textId="77777777" w:rsidR="00BF1ADA" w:rsidRPr="00A6724D" w:rsidRDefault="00BF1ADA" w:rsidP="001A334A">
      <w:pPr>
        <w:spacing w:before="0" w:after="0" w:line="360" w:lineRule="auto"/>
        <w:jc w:val="both"/>
        <w:rPr>
          <w:rFonts w:cs="Times New Roman"/>
          <w:color w:val="000000" w:themeColor="text1"/>
          <w:szCs w:val="24"/>
        </w:rPr>
      </w:pPr>
      <w:r w:rsidRPr="00A6724D">
        <w:rPr>
          <w:rFonts w:eastAsia="Arial Unicode MS"/>
          <w:b/>
          <w:color w:val="000000" w:themeColor="text1"/>
          <w:szCs w:val="24"/>
          <w:lang w:eastAsia="de-DE"/>
        </w:rPr>
        <w:t>Analysis of genes</w:t>
      </w:r>
      <w:r w:rsidR="003B722F">
        <w:rPr>
          <w:rFonts w:eastAsia="Arial Unicode MS"/>
          <w:b/>
          <w:color w:val="000000" w:themeColor="text1"/>
          <w:szCs w:val="24"/>
          <w:lang w:eastAsia="de-DE"/>
        </w:rPr>
        <w:t>,</w:t>
      </w:r>
      <w:r w:rsidRPr="00A6724D">
        <w:rPr>
          <w:rFonts w:eastAsia="Arial Unicode MS"/>
          <w:b/>
          <w:color w:val="000000" w:themeColor="text1"/>
          <w:szCs w:val="24"/>
          <w:lang w:eastAsia="de-DE"/>
        </w:rPr>
        <w:t xml:space="preserve"> which were changed in gene expression and DNA methylation levels </w:t>
      </w:r>
      <w:r w:rsidRPr="00A6724D">
        <w:rPr>
          <w:rFonts w:eastAsia="Arial Unicode MS"/>
          <w:color w:val="000000" w:themeColor="text1"/>
          <w:szCs w:val="24"/>
          <w:lang w:eastAsia="de-DE"/>
        </w:rPr>
        <w:t xml:space="preserve">between tdTomato-positive interneurons of the cerebral cortex of 6 months old and 18 months old </w:t>
      </w:r>
      <w:r w:rsidRPr="00A6724D">
        <w:rPr>
          <w:rFonts w:eastAsia="Arial Unicode MS"/>
          <w:i/>
          <w:color w:val="000000" w:themeColor="text1"/>
          <w:szCs w:val="24"/>
          <w:lang w:eastAsia="de-DE"/>
        </w:rPr>
        <w:t>Pvalb-Cre/tdTomato</w:t>
      </w:r>
      <w:r w:rsidRPr="00A6724D">
        <w:rPr>
          <w:rFonts w:eastAsia="Arial Unicode MS"/>
          <w:color w:val="000000" w:themeColor="text1"/>
          <w:szCs w:val="24"/>
          <w:lang w:eastAsia="de-DE"/>
        </w:rPr>
        <w:t xml:space="preserve"> wild-type</w:t>
      </w:r>
      <w:r w:rsidRPr="00A6724D">
        <w:rPr>
          <w:rFonts w:eastAsia="Arial Unicode MS"/>
          <w:color w:val="000000" w:themeColor="text1"/>
          <w:szCs w:val="24"/>
          <w:vertAlign w:val="superscript"/>
          <w:lang w:eastAsia="de-DE"/>
        </w:rPr>
        <w:t xml:space="preserve"> </w:t>
      </w:r>
      <w:r w:rsidRPr="00A6724D">
        <w:rPr>
          <w:rFonts w:eastAsia="Arial Unicode MS"/>
          <w:color w:val="000000" w:themeColor="text1"/>
          <w:szCs w:val="24"/>
          <w:lang w:eastAsia="de-DE"/>
        </w:rPr>
        <w:t xml:space="preserve">mice as revealed by RNA sequencing and MeDIP sequencing. Sheet </w:t>
      </w:r>
      <w:r w:rsidR="001A334A" w:rsidRPr="00A6724D">
        <w:rPr>
          <w:rFonts w:eastAsia="Arial Unicode MS"/>
          <w:color w:val="000000" w:themeColor="text1"/>
          <w:szCs w:val="24"/>
          <w:lang w:eastAsia="de-DE"/>
        </w:rPr>
        <w:t>3</w:t>
      </w:r>
      <w:r w:rsidRPr="00A6724D">
        <w:rPr>
          <w:rFonts w:eastAsia="Arial Unicode MS"/>
          <w:color w:val="000000" w:themeColor="text1"/>
          <w:szCs w:val="24"/>
          <w:lang w:eastAsia="de-DE"/>
        </w:rPr>
        <w:t>-</w:t>
      </w:r>
      <w:r w:rsidR="001A334A" w:rsidRPr="00A6724D">
        <w:rPr>
          <w:rFonts w:eastAsia="Arial Unicode MS"/>
          <w:color w:val="000000" w:themeColor="text1"/>
          <w:szCs w:val="24"/>
          <w:lang w:eastAsia="de-DE"/>
        </w:rPr>
        <w:t>1</w:t>
      </w:r>
      <w:r w:rsidRPr="00A6724D">
        <w:rPr>
          <w:rFonts w:eastAsia="Arial Unicode MS"/>
          <w:color w:val="000000" w:themeColor="text1"/>
          <w:szCs w:val="24"/>
          <w:lang w:eastAsia="de-DE"/>
        </w:rPr>
        <w:t xml:space="preserve"> provides an overview of</w:t>
      </w:r>
      <w:r w:rsidR="001A334A" w:rsidRPr="00A6724D">
        <w:rPr>
          <w:rFonts w:eastAsia="Arial Unicode MS"/>
          <w:color w:val="000000" w:themeColor="text1"/>
          <w:szCs w:val="24"/>
          <w:lang w:eastAsia="de-DE"/>
        </w:rPr>
        <w:t xml:space="preserve"> genes</w:t>
      </w:r>
      <w:r w:rsidR="003B722F">
        <w:rPr>
          <w:rFonts w:eastAsia="Arial Unicode MS"/>
          <w:color w:val="000000" w:themeColor="text1"/>
          <w:szCs w:val="24"/>
          <w:lang w:eastAsia="de-DE"/>
        </w:rPr>
        <w:t>,</w:t>
      </w:r>
      <w:r w:rsidR="001A334A" w:rsidRPr="00A6724D">
        <w:rPr>
          <w:rFonts w:eastAsia="Arial Unicode MS"/>
          <w:color w:val="000000" w:themeColor="text1"/>
          <w:szCs w:val="24"/>
          <w:lang w:eastAsia="de-DE"/>
        </w:rPr>
        <w:t xml:space="preserve"> which were significantly changed in expression</w:t>
      </w:r>
      <w:r w:rsidR="001A334A" w:rsidRPr="00A6724D">
        <w:rPr>
          <w:b/>
          <w:color w:val="000000" w:themeColor="text1"/>
          <w:szCs w:val="24"/>
        </w:rPr>
        <w:t xml:space="preserve"> (</w:t>
      </w:r>
      <w:proofErr w:type="spellStart"/>
      <w:r w:rsidR="001A334A" w:rsidRPr="00A6724D">
        <w:rPr>
          <w:rFonts w:eastAsia="Arial Unicode MS"/>
          <w:color w:val="000000" w:themeColor="text1"/>
          <w:szCs w:val="24"/>
          <w:lang w:eastAsia="de-DE"/>
        </w:rPr>
        <w:t>Benjamini</w:t>
      </w:r>
      <w:proofErr w:type="spellEnd"/>
      <w:r w:rsidR="001A334A" w:rsidRPr="00A6724D">
        <w:rPr>
          <w:rFonts w:eastAsia="Arial Unicode MS"/>
          <w:color w:val="000000" w:themeColor="text1"/>
          <w:szCs w:val="24"/>
          <w:lang w:eastAsia="de-DE"/>
        </w:rPr>
        <w:t xml:space="preserve"> </w:t>
      </w:r>
      <w:r w:rsidR="001A334A" w:rsidRPr="00A6724D">
        <w:rPr>
          <w:rFonts w:cs="Times New Roman"/>
          <w:color w:val="000000" w:themeColor="text1"/>
          <w:szCs w:val="24"/>
        </w:rPr>
        <w:t>adjusted p</w:t>
      </w:r>
      <w:r w:rsidR="003B722F">
        <w:rPr>
          <w:rFonts w:cs="Times New Roman"/>
          <w:color w:val="000000" w:themeColor="text1"/>
          <w:szCs w:val="24"/>
        </w:rPr>
        <w:t> </w:t>
      </w:r>
      <w:r w:rsidR="001A334A" w:rsidRPr="00A6724D">
        <w:rPr>
          <w:rFonts w:cs="Times New Roman"/>
          <w:color w:val="000000" w:themeColor="text1"/>
          <w:szCs w:val="24"/>
        </w:rPr>
        <w:t>&lt;</w:t>
      </w:r>
      <w:r w:rsidR="003B722F">
        <w:rPr>
          <w:rFonts w:cs="Times New Roman"/>
          <w:color w:val="000000" w:themeColor="text1"/>
          <w:szCs w:val="24"/>
        </w:rPr>
        <w:t> </w:t>
      </w:r>
      <w:r w:rsidR="001A334A" w:rsidRPr="00A6724D">
        <w:rPr>
          <w:rFonts w:cs="Times New Roman"/>
          <w:color w:val="000000" w:themeColor="text1"/>
          <w:szCs w:val="24"/>
        </w:rPr>
        <w:t>0.05) and DNA methylation level (adjusted p</w:t>
      </w:r>
      <w:r w:rsidR="003B722F">
        <w:rPr>
          <w:rFonts w:cs="Times New Roman"/>
          <w:color w:val="000000" w:themeColor="text1"/>
          <w:szCs w:val="24"/>
        </w:rPr>
        <w:t xml:space="preserve"> </w:t>
      </w:r>
      <w:r w:rsidR="001A334A" w:rsidRPr="00A6724D">
        <w:rPr>
          <w:rFonts w:cs="Times New Roman"/>
          <w:color w:val="000000" w:themeColor="text1"/>
          <w:szCs w:val="24"/>
        </w:rPr>
        <w:t>&lt;</w:t>
      </w:r>
      <w:r w:rsidR="003B722F">
        <w:rPr>
          <w:rFonts w:cs="Times New Roman"/>
          <w:color w:val="000000" w:themeColor="text1"/>
          <w:szCs w:val="24"/>
        </w:rPr>
        <w:t xml:space="preserve"> </w:t>
      </w:r>
      <w:r w:rsidR="001A334A" w:rsidRPr="00A6724D">
        <w:rPr>
          <w:rFonts w:cs="Times New Roman"/>
          <w:color w:val="000000" w:themeColor="text1"/>
          <w:szCs w:val="24"/>
        </w:rPr>
        <w:t xml:space="preserve">0.05) between young and aged wild-type interneurons. </w:t>
      </w:r>
      <w:r w:rsidR="001A334A" w:rsidRPr="00A6724D">
        <w:rPr>
          <w:rFonts w:eastAsia="Arial Unicode MS"/>
          <w:color w:val="000000" w:themeColor="text1"/>
          <w:szCs w:val="24"/>
          <w:lang w:eastAsia="de-DE"/>
        </w:rPr>
        <w:t>Gene ontology (GO) analysis performed with DAVID is collected in sheet 3_2.</w:t>
      </w:r>
      <w:r w:rsidR="0064655C" w:rsidRPr="00A6724D">
        <w:rPr>
          <w:rFonts w:eastAsia="Arial Unicode MS"/>
          <w:color w:val="000000" w:themeColor="text1"/>
          <w:szCs w:val="24"/>
          <w:lang w:eastAsia="de-DE"/>
        </w:rPr>
        <w:t xml:space="preserve"> Sheet 3_3 depicts the unmapped genes.</w:t>
      </w:r>
    </w:p>
    <w:p w14:paraId="02ED3462" w14:textId="77777777" w:rsidR="00BF1ADA" w:rsidRPr="00A6724D" w:rsidRDefault="00BF1ADA" w:rsidP="00BF1ADA">
      <w:pPr>
        <w:spacing w:before="0" w:after="0" w:line="360" w:lineRule="auto"/>
        <w:jc w:val="both"/>
        <w:rPr>
          <w:rFonts w:eastAsia="Arial Unicode MS"/>
          <w:color w:val="000000" w:themeColor="text1"/>
          <w:sz w:val="22"/>
          <w:lang w:eastAsia="de-DE"/>
        </w:rPr>
      </w:pPr>
    </w:p>
    <w:p w14:paraId="60FF37A4" w14:textId="180DFE0F" w:rsidR="0064655C" w:rsidRPr="00A6724D" w:rsidRDefault="0064655C" w:rsidP="0064655C">
      <w:pPr>
        <w:spacing w:before="0" w:after="0" w:line="360" w:lineRule="auto"/>
        <w:jc w:val="both"/>
        <w:rPr>
          <w:b/>
          <w:color w:val="000000" w:themeColor="text1"/>
          <w:szCs w:val="24"/>
        </w:rPr>
      </w:pPr>
      <w:r w:rsidRPr="00A6724D">
        <w:rPr>
          <w:b/>
          <w:color w:val="000000" w:themeColor="text1"/>
          <w:szCs w:val="24"/>
        </w:rPr>
        <w:t xml:space="preserve">Supplementary Table S4 (Table S4 DEG DMG OL </w:t>
      </w:r>
      <w:r w:rsidR="003B722F">
        <w:rPr>
          <w:b/>
          <w:color w:val="000000" w:themeColor="text1"/>
          <w:szCs w:val="24"/>
        </w:rPr>
        <w:t>o</w:t>
      </w:r>
      <w:r w:rsidRPr="00A6724D">
        <w:rPr>
          <w:b/>
          <w:color w:val="000000" w:themeColor="text1"/>
          <w:szCs w:val="24"/>
        </w:rPr>
        <w:t xml:space="preserve">ld WT </w:t>
      </w:r>
      <w:r w:rsidR="003B722F">
        <w:rPr>
          <w:b/>
          <w:color w:val="000000" w:themeColor="text1"/>
          <w:szCs w:val="24"/>
        </w:rPr>
        <w:t>o</w:t>
      </w:r>
      <w:r w:rsidRPr="00A6724D">
        <w:rPr>
          <w:b/>
          <w:color w:val="000000" w:themeColor="text1"/>
          <w:szCs w:val="24"/>
        </w:rPr>
        <w:t>ld KO</w:t>
      </w:r>
      <w:r w:rsidR="003B722F">
        <w:rPr>
          <w:b/>
          <w:color w:val="000000" w:themeColor="text1"/>
          <w:szCs w:val="24"/>
        </w:rPr>
        <w:t>_</w:t>
      </w:r>
      <w:r w:rsidRPr="00A6724D">
        <w:rPr>
          <w:b/>
          <w:color w:val="000000" w:themeColor="text1"/>
          <w:szCs w:val="24"/>
        </w:rPr>
        <w:t>DEG with GO):</w:t>
      </w:r>
    </w:p>
    <w:p w14:paraId="3A067695" w14:textId="6BD84356" w:rsidR="0064655C" w:rsidRPr="00A6724D" w:rsidRDefault="0064655C" w:rsidP="0064655C">
      <w:pPr>
        <w:spacing w:before="0" w:after="0" w:line="360" w:lineRule="auto"/>
        <w:jc w:val="both"/>
        <w:rPr>
          <w:rFonts w:eastAsia="Arial Unicode MS"/>
          <w:color w:val="000000" w:themeColor="text1"/>
          <w:szCs w:val="24"/>
          <w:lang w:eastAsia="de-DE"/>
        </w:rPr>
      </w:pPr>
      <w:r w:rsidRPr="00A6724D">
        <w:rPr>
          <w:rFonts w:eastAsia="Arial Unicode MS"/>
          <w:b/>
          <w:color w:val="000000" w:themeColor="text1"/>
          <w:szCs w:val="24"/>
          <w:lang w:eastAsia="de-DE"/>
        </w:rPr>
        <w:t>Analysis of genes</w:t>
      </w:r>
      <w:r w:rsidR="003B722F">
        <w:rPr>
          <w:rFonts w:eastAsia="Arial Unicode MS"/>
          <w:b/>
          <w:color w:val="000000" w:themeColor="text1"/>
          <w:szCs w:val="24"/>
          <w:lang w:eastAsia="de-DE"/>
        </w:rPr>
        <w:t>,</w:t>
      </w:r>
      <w:r w:rsidRPr="00A6724D">
        <w:rPr>
          <w:rFonts w:eastAsia="Arial Unicode MS"/>
          <w:b/>
          <w:color w:val="000000" w:themeColor="text1"/>
          <w:szCs w:val="24"/>
          <w:lang w:eastAsia="de-DE"/>
        </w:rPr>
        <w:t xml:space="preserve"> which were changed in gene expression and DNA methylation levels </w:t>
      </w:r>
      <w:r w:rsidRPr="00A6724D">
        <w:rPr>
          <w:rFonts w:eastAsia="Arial Unicode MS"/>
          <w:color w:val="000000" w:themeColor="text1"/>
          <w:szCs w:val="24"/>
          <w:lang w:eastAsia="de-DE"/>
        </w:rPr>
        <w:t xml:space="preserve">between tdTomato-positive interneurons of the cerebral cortex of aged (18 months) </w:t>
      </w:r>
      <w:r w:rsidRPr="00A6724D">
        <w:rPr>
          <w:rFonts w:eastAsia="Arial Unicode MS"/>
          <w:i/>
          <w:color w:val="000000" w:themeColor="text1"/>
          <w:szCs w:val="24"/>
          <w:lang w:eastAsia="de-DE"/>
        </w:rPr>
        <w:t>Pvalb-Cre/tdTomato</w:t>
      </w:r>
      <w:r w:rsidRPr="00A6724D">
        <w:rPr>
          <w:rFonts w:eastAsia="Arial Unicode MS"/>
          <w:color w:val="000000" w:themeColor="text1"/>
          <w:szCs w:val="24"/>
          <w:lang w:eastAsia="de-DE"/>
        </w:rPr>
        <w:t xml:space="preserve"> wild-type</w:t>
      </w:r>
      <w:r w:rsidRPr="00A6724D">
        <w:rPr>
          <w:rFonts w:eastAsia="Arial Unicode MS"/>
          <w:color w:val="000000" w:themeColor="text1"/>
          <w:szCs w:val="24"/>
          <w:vertAlign w:val="superscript"/>
          <w:lang w:eastAsia="de-DE"/>
        </w:rPr>
        <w:t xml:space="preserve"> </w:t>
      </w:r>
      <w:r w:rsidRPr="00A6724D">
        <w:rPr>
          <w:rFonts w:eastAsia="Arial Unicode MS"/>
          <w:color w:val="000000" w:themeColor="text1"/>
          <w:szCs w:val="24"/>
          <w:lang w:eastAsia="de-DE"/>
        </w:rPr>
        <w:t>and</w:t>
      </w:r>
      <w:r w:rsidRPr="00A6724D">
        <w:rPr>
          <w:rFonts w:eastAsia="Arial Unicode MS"/>
          <w:color w:val="000000" w:themeColor="text1"/>
          <w:szCs w:val="24"/>
          <w:vertAlign w:val="superscript"/>
          <w:lang w:eastAsia="de-DE"/>
        </w:rPr>
        <w:t xml:space="preserve"> </w:t>
      </w:r>
      <w:r w:rsidRPr="00A6724D">
        <w:rPr>
          <w:rFonts w:eastAsia="Arial Unicode MS"/>
          <w:i/>
          <w:color w:val="000000" w:themeColor="text1"/>
          <w:szCs w:val="24"/>
          <w:lang w:eastAsia="de-DE"/>
        </w:rPr>
        <w:t>Pvalb-Cre/tdTomato/Dnmt1 loxP</w:t>
      </w:r>
      <w:r w:rsidRPr="00A6724D">
        <w:rPr>
          <w:rFonts w:eastAsia="Arial Unicode MS"/>
          <w:i/>
          <w:color w:val="000000" w:themeColor="text1"/>
          <w:szCs w:val="24"/>
          <w:vertAlign w:val="superscript"/>
          <w:lang w:eastAsia="de-DE"/>
        </w:rPr>
        <w:t>2</w:t>
      </w:r>
      <w:r w:rsidRPr="00A6724D">
        <w:rPr>
          <w:rFonts w:eastAsia="Arial Unicode MS"/>
          <w:color w:val="000000" w:themeColor="text1"/>
          <w:szCs w:val="24"/>
          <w:lang w:eastAsia="de-DE"/>
        </w:rPr>
        <w:t xml:space="preserve"> knockout mice as revealed by RNA sequencing and MeDIP sequencing. Sheet 4-1 provides an overview of genes</w:t>
      </w:r>
      <w:r w:rsidR="003B722F">
        <w:rPr>
          <w:rFonts w:eastAsia="Arial Unicode MS"/>
          <w:color w:val="000000" w:themeColor="text1"/>
          <w:szCs w:val="24"/>
          <w:lang w:eastAsia="de-DE"/>
        </w:rPr>
        <w:t>,</w:t>
      </w:r>
      <w:r w:rsidRPr="00A6724D">
        <w:rPr>
          <w:rFonts w:eastAsia="Arial Unicode MS"/>
          <w:color w:val="000000" w:themeColor="text1"/>
          <w:szCs w:val="24"/>
          <w:lang w:eastAsia="de-DE"/>
        </w:rPr>
        <w:t xml:space="preserve"> which were significantly changed in expression</w:t>
      </w:r>
      <w:r w:rsidRPr="00A6724D">
        <w:rPr>
          <w:b/>
          <w:color w:val="000000" w:themeColor="text1"/>
          <w:szCs w:val="24"/>
        </w:rPr>
        <w:t xml:space="preserve"> (</w:t>
      </w:r>
      <w:proofErr w:type="spellStart"/>
      <w:r w:rsidRPr="00A6724D">
        <w:rPr>
          <w:rFonts w:eastAsia="Arial Unicode MS"/>
          <w:color w:val="000000" w:themeColor="text1"/>
          <w:szCs w:val="24"/>
          <w:lang w:eastAsia="de-DE"/>
        </w:rPr>
        <w:t>Benjamini</w:t>
      </w:r>
      <w:proofErr w:type="spellEnd"/>
      <w:r w:rsidRPr="00A6724D">
        <w:rPr>
          <w:rFonts w:eastAsia="Arial Unicode MS"/>
          <w:color w:val="000000" w:themeColor="text1"/>
          <w:szCs w:val="24"/>
          <w:lang w:eastAsia="de-DE"/>
        </w:rPr>
        <w:t xml:space="preserve"> </w:t>
      </w:r>
      <w:r w:rsidRPr="00A6724D">
        <w:rPr>
          <w:rFonts w:cs="Times New Roman"/>
          <w:color w:val="000000" w:themeColor="text1"/>
          <w:szCs w:val="24"/>
        </w:rPr>
        <w:t xml:space="preserve">adjusted p&lt;0.05) and DNA methylation level (adjusted p&lt;0.05) between aged wild-type and </w:t>
      </w:r>
      <w:r w:rsidRPr="00A6724D">
        <w:rPr>
          <w:rFonts w:cs="Times New Roman"/>
          <w:i/>
          <w:color w:val="000000" w:themeColor="text1"/>
          <w:szCs w:val="24"/>
        </w:rPr>
        <w:t>Dnmt1</w:t>
      </w:r>
      <w:r w:rsidRPr="00A6724D">
        <w:rPr>
          <w:rFonts w:cs="Times New Roman"/>
          <w:color w:val="000000" w:themeColor="text1"/>
          <w:szCs w:val="24"/>
        </w:rPr>
        <w:t xml:space="preserve">-knockout interneurons. </w:t>
      </w:r>
      <w:r w:rsidRPr="00A6724D">
        <w:rPr>
          <w:rFonts w:eastAsia="Arial Unicode MS"/>
          <w:color w:val="000000" w:themeColor="text1"/>
          <w:szCs w:val="24"/>
          <w:lang w:eastAsia="de-DE"/>
        </w:rPr>
        <w:t>Gene ontology (GO) analysis performed with DAVID is collected in sheet 4_2. Sheet 4_3 depicts the unmapped genes.</w:t>
      </w:r>
    </w:p>
    <w:p w14:paraId="2500011B" w14:textId="644F7D92" w:rsidR="0064655C" w:rsidRDefault="0064655C" w:rsidP="0064655C">
      <w:pPr>
        <w:spacing w:before="0" w:after="0" w:line="360" w:lineRule="auto"/>
        <w:jc w:val="both"/>
        <w:rPr>
          <w:rFonts w:eastAsia="Arial Unicode MS"/>
          <w:color w:val="000000" w:themeColor="text1"/>
          <w:szCs w:val="24"/>
          <w:lang w:eastAsia="de-DE"/>
        </w:rPr>
      </w:pPr>
    </w:p>
    <w:p w14:paraId="5891473E" w14:textId="5867035E" w:rsidR="00EE72AA" w:rsidRDefault="00EE72AA" w:rsidP="0064655C">
      <w:pPr>
        <w:spacing w:before="0" w:after="0" w:line="360" w:lineRule="auto"/>
        <w:jc w:val="both"/>
        <w:rPr>
          <w:rFonts w:eastAsia="Arial Unicode MS"/>
          <w:color w:val="000000" w:themeColor="text1"/>
          <w:szCs w:val="24"/>
          <w:lang w:eastAsia="de-DE"/>
        </w:rPr>
      </w:pPr>
    </w:p>
    <w:p w14:paraId="02F911EE" w14:textId="4BEFAC49" w:rsidR="00EE72AA" w:rsidRDefault="00EE72AA" w:rsidP="0064655C">
      <w:pPr>
        <w:spacing w:before="0" w:after="0" w:line="360" w:lineRule="auto"/>
        <w:jc w:val="both"/>
        <w:rPr>
          <w:rFonts w:eastAsia="Arial Unicode MS"/>
          <w:b/>
          <w:color w:val="000000" w:themeColor="text1"/>
          <w:szCs w:val="24"/>
          <w:lang w:eastAsia="de-DE"/>
        </w:rPr>
      </w:pPr>
      <w:proofErr w:type="spellStart"/>
      <w:r>
        <w:rPr>
          <w:rFonts w:eastAsia="Arial Unicode MS"/>
          <w:b/>
          <w:color w:val="000000" w:themeColor="text1"/>
          <w:szCs w:val="24"/>
          <w:lang w:eastAsia="de-DE"/>
        </w:rPr>
        <w:t>Supplementery</w:t>
      </w:r>
      <w:proofErr w:type="spellEnd"/>
      <w:r>
        <w:rPr>
          <w:rFonts w:eastAsia="Arial Unicode MS"/>
          <w:b/>
          <w:color w:val="000000" w:themeColor="text1"/>
          <w:szCs w:val="24"/>
          <w:lang w:eastAsia="de-DE"/>
        </w:rPr>
        <w:t xml:space="preserve"> </w:t>
      </w:r>
      <w:proofErr w:type="spellStart"/>
      <w:r>
        <w:rPr>
          <w:rFonts w:eastAsia="Arial Unicode MS"/>
          <w:b/>
          <w:color w:val="000000" w:themeColor="text1"/>
          <w:szCs w:val="24"/>
          <w:lang w:eastAsia="de-DE"/>
        </w:rPr>
        <w:t>Refernces</w:t>
      </w:r>
      <w:proofErr w:type="spellEnd"/>
    </w:p>
    <w:p w14:paraId="5C5A8F6D" w14:textId="5F62779A" w:rsidR="00EE72AA" w:rsidRPr="007C047D" w:rsidRDefault="00EE72AA" w:rsidP="00EE72AA">
      <w:pPr>
        <w:widowControl w:val="0"/>
        <w:autoSpaceDE w:val="0"/>
        <w:autoSpaceDN w:val="0"/>
        <w:adjustRightInd w:val="0"/>
        <w:spacing w:before="0" w:after="0" w:line="360" w:lineRule="auto"/>
        <w:ind w:left="480" w:hanging="480"/>
        <w:rPr>
          <w:rFonts w:cs="Times New Roman"/>
          <w:noProof/>
          <w:color w:val="000000" w:themeColor="text1"/>
        </w:rPr>
      </w:pPr>
      <w:r w:rsidRPr="007C047D">
        <w:rPr>
          <w:rFonts w:eastAsia="Arial Unicode MS"/>
          <w:color w:val="000000" w:themeColor="text1"/>
          <w:szCs w:val="24"/>
          <w:lang w:eastAsia="de-DE"/>
        </w:rPr>
        <w:fldChar w:fldCharType="begin" w:fldLock="1"/>
      </w:r>
      <w:r w:rsidRPr="00753EA5">
        <w:rPr>
          <w:rFonts w:eastAsia="Arial Unicode MS"/>
          <w:color w:val="000000" w:themeColor="text1"/>
          <w:szCs w:val="24"/>
          <w:lang w:eastAsia="de-DE"/>
        </w:rPr>
        <w:instrText xml:space="preserve">ADDIN Mendeley Bibliography CSL_BIBLIOGRAPHY </w:instrText>
      </w:r>
      <w:r w:rsidRPr="007C047D">
        <w:rPr>
          <w:rFonts w:eastAsia="Arial Unicode MS"/>
          <w:color w:val="000000" w:themeColor="text1"/>
          <w:szCs w:val="24"/>
          <w:lang w:eastAsia="de-DE"/>
        </w:rPr>
        <w:fldChar w:fldCharType="separate"/>
      </w:r>
      <w:r w:rsidRPr="00753EA5">
        <w:rPr>
          <w:rFonts w:cs="Times New Roman"/>
          <w:noProof/>
          <w:color w:val="000000" w:themeColor="text1"/>
          <w:szCs w:val="24"/>
        </w:rPr>
        <w:t xml:space="preserve">Zimmer, G., Rudolph, J., Landmann, J., Gerstmann, K., Steinecke, A., Gampe, C., &amp; Bolz, J. (2011). </w:t>
      </w:r>
      <w:r w:rsidRPr="007C047D">
        <w:rPr>
          <w:rFonts w:cs="Times New Roman"/>
          <w:noProof/>
          <w:color w:val="000000" w:themeColor="text1"/>
          <w:szCs w:val="24"/>
        </w:rPr>
        <w:lastRenderedPageBreak/>
        <w:t xml:space="preserve">Bidirectional EphrinB3/EphA4 signaling mediates the segregation of medial ganglionic eminence-and preoptic area-derived interneurons in the deep and superficial migratory stream. </w:t>
      </w:r>
      <w:r w:rsidRPr="007C047D">
        <w:rPr>
          <w:rFonts w:cs="Times New Roman"/>
          <w:i/>
          <w:iCs/>
          <w:noProof/>
          <w:color w:val="000000" w:themeColor="text1"/>
          <w:szCs w:val="24"/>
        </w:rPr>
        <w:t>Journal of Neuroscience</w:t>
      </w:r>
      <w:r w:rsidRPr="007C047D">
        <w:rPr>
          <w:rFonts w:cs="Times New Roman"/>
          <w:noProof/>
          <w:color w:val="000000" w:themeColor="text1"/>
          <w:szCs w:val="24"/>
        </w:rPr>
        <w:t xml:space="preserve">, </w:t>
      </w:r>
      <w:r w:rsidRPr="007C047D">
        <w:rPr>
          <w:rFonts w:cs="Times New Roman"/>
          <w:i/>
          <w:iCs/>
          <w:noProof/>
          <w:color w:val="000000" w:themeColor="text1"/>
          <w:szCs w:val="24"/>
        </w:rPr>
        <w:t>31</w:t>
      </w:r>
      <w:r w:rsidRPr="007C047D">
        <w:rPr>
          <w:rFonts w:cs="Times New Roman"/>
          <w:noProof/>
          <w:color w:val="000000" w:themeColor="text1"/>
          <w:szCs w:val="24"/>
        </w:rPr>
        <w:t>(50), 18364–18380. https://doi.org/10.1523/JNEUROSCI.4690-11.2011</w:t>
      </w:r>
    </w:p>
    <w:p w14:paraId="44B15B6A" w14:textId="5CFC8AB7" w:rsidR="00EE72AA" w:rsidRPr="007C047D" w:rsidRDefault="00EE72AA" w:rsidP="0064655C">
      <w:pPr>
        <w:spacing w:before="0" w:after="0" w:line="360" w:lineRule="auto"/>
        <w:jc w:val="both"/>
        <w:rPr>
          <w:rFonts w:eastAsia="Arial Unicode MS"/>
          <w:color w:val="000000" w:themeColor="text1"/>
          <w:szCs w:val="24"/>
          <w:lang w:eastAsia="de-DE"/>
        </w:rPr>
      </w:pPr>
      <w:r w:rsidRPr="007C047D">
        <w:rPr>
          <w:rFonts w:eastAsia="Arial Unicode MS"/>
          <w:color w:val="000000" w:themeColor="text1"/>
          <w:szCs w:val="24"/>
          <w:lang w:eastAsia="de-DE"/>
        </w:rPr>
        <w:fldChar w:fldCharType="end"/>
      </w:r>
    </w:p>
    <w:p w14:paraId="0C372D85" w14:textId="77777777" w:rsidR="00994A3D" w:rsidRPr="00A6724D" w:rsidRDefault="00994A3D" w:rsidP="00994A3D">
      <w:pPr>
        <w:keepNext/>
        <w:rPr>
          <w:rFonts w:cs="Times New Roman"/>
          <w:color w:val="000000" w:themeColor="text1"/>
          <w:szCs w:val="24"/>
        </w:rPr>
      </w:pPr>
    </w:p>
    <w:p w14:paraId="3BDA1072" w14:textId="77777777" w:rsidR="00994A3D" w:rsidRPr="00A6724D" w:rsidRDefault="00994A3D" w:rsidP="00994A3D">
      <w:pPr>
        <w:keepNext/>
        <w:jc w:val="center"/>
        <w:rPr>
          <w:rFonts w:cs="Times New Roman"/>
          <w:color w:val="000000" w:themeColor="text1"/>
          <w:szCs w:val="24"/>
        </w:rPr>
      </w:pPr>
      <w:r w:rsidRPr="00A6724D">
        <w:rPr>
          <w:b/>
          <w:noProof/>
          <w:color w:val="000000" w:themeColor="text1"/>
          <w:lang w:eastAsia="de-DE"/>
        </w:rPr>
        <w:drawing>
          <wp:inline distT="0" distB="0" distL="0" distR="0" wp14:anchorId="30DF1586" wp14:editId="7949883F">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37B5CA0B" w14:textId="77777777" w:rsidR="00DE23E8" w:rsidRPr="00A6724D" w:rsidRDefault="00DE23E8" w:rsidP="00654E8F">
      <w:pPr>
        <w:spacing w:before="240"/>
        <w:rPr>
          <w:color w:val="000000" w:themeColor="text1"/>
        </w:rPr>
      </w:pPr>
    </w:p>
    <w:sectPr w:rsidR="00DE23E8" w:rsidRPr="00A6724D"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E7B98" w14:textId="77777777" w:rsidR="00340898" w:rsidRDefault="00340898" w:rsidP="00117666">
      <w:pPr>
        <w:spacing w:after="0"/>
      </w:pPr>
      <w:r>
        <w:separator/>
      </w:r>
    </w:p>
  </w:endnote>
  <w:endnote w:type="continuationSeparator" w:id="0">
    <w:p w14:paraId="3A78E427" w14:textId="77777777" w:rsidR="00340898" w:rsidRDefault="0034089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A9E1" w14:textId="77777777" w:rsidR="00995F6A" w:rsidRPr="00577C4C" w:rsidRDefault="00C52A7B">
    <w:pPr>
      <w:rPr>
        <w:color w:val="C00000"/>
        <w:szCs w:val="24"/>
      </w:rPr>
    </w:pPr>
    <w:r>
      <w:rPr>
        <w:noProof/>
        <w:lang w:val="de-DE" w:eastAsia="de-DE"/>
      </w:rPr>
      <mc:AlternateContent>
        <mc:Choice Requires="wps">
          <w:drawing>
            <wp:anchor distT="0" distB="0" distL="114300" distR="114300" simplePos="0" relativeHeight="251659264" behindDoc="0" locked="0" layoutInCell="1" allowOverlap="1" wp14:anchorId="3632B995" wp14:editId="5306642A">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DE7E31A"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72716">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32B995"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2DE7E31A"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72716">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E541" w14:textId="77777777" w:rsidR="00995F6A" w:rsidRPr="00577C4C" w:rsidRDefault="00C52A7B">
    <w:pPr>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373D93B2" wp14:editId="5057F7D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7016244"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72716">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3D93B2"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7016244"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72716">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4A56B" w14:textId="77777777" w:rsidR="00340898" w:rsidRDefault="00340898" w:rsidP="00117666">
      <w:pPr>
        <w:spacing w:after="0"/>
      </w:pPr>
      <w:r>
        <w:separator/>
      </w:r>
    </w:p>
  </w:footnote>
  <w:footnote w:type="continuationSeparator" w:id="0">
    <w:p w14:paraId="3AAFB79B" w14:textId="77777777" w:rsidR="00340898" w:rsidRDefault="0034089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9D6E"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4269" w14:textId="77777777" w:rsidR="00995F6A" w:rsidRDefault="0093429D" w:rsidP="0093429D">
    <w:r w:rsidRPr="005A1D84">
      <w:rPr>
        <w:b/>
        <w:noProof/>
        <w:color w:val="A6A6A6" w:themeColor="background1" w:themeShade="A6"/>
        <w:lang w:val="de-DE" w:eastAsia="de-DE"/>
      </w:rPr>
      <w:drawing>
        <wp:inline distT="0" distB="0" distL="0" distR="0" wp14:anchorId="59CBEDB0" wp14:editId="7F6A5911">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14FA3"/>
    <w:rsid w:val="00033E5F"/>
    <w:rsid w:val="00034304"/>
    <w:rsid w:val="00035434"/>
    <w:rsid w:val="00052A14"/>
    <w:rsid w:val="0007159B"/>
    <w:rsid w:val="00077306"/>
    <w:rsid w:val="00077D53"/>
    <w:rsid w:val="000C3F44"/>
    <w:rsid w:val="00105FD9"/>
    <w:rsid w:val="00117666"/>
    <w:rsid w:val="001549D3"/>
    <w:rsid w:val="00160065"/>
    <w:rsid w:val="00177D84"/>
    <w:rsid w:val="001A334A"/>
    <w:rsid w:val="001C06CB"/>
    <w:rsid w:val="001D4753"/>
    <w:rsid w:val="001F05C3"/>
    <w:rsid w:val="00250275"/>
    <w:rsid w:val="00267D18"/>
    <w:rsid w:val="00274347"/>
    <w:rsid w:val="002771BB"/>
    <w:rsid w:val="002868E2"/>
    <w:rsid w:val="002869C3"/>
    <w:rsid w:val="0029087C"/>
    <w:rsid w:val="002936E4"/>
    <w:rsid w:val="002942EB"/>
    <w:rsid w:val="002B4A57"/>
    <w:rsid w:val="002C74CA"/>
    <w:rsid w:val="00300011"/>
    <w:rsid w:val="003123F4"/>
    <w:rsid w:val="0033358C"/>
    <w:rsid w:val="00333795"/>
    <w:rsid w:val="00340898"/>
    <w:rsid w:val="003544FB"/>
    <w:rsid w:val="0037292B"/>
    <w:rsid w:val="00390DF2"/>
    <w:rsid w:val="003A0B17"/>
    <w:rsid w:val="003B722F"/>
    <w:rsid w:val="003D2F2D"/>
    <w:rsid w:val="00401590"/>
    <w:rsid w:val="00404376"/>
    <w:rsid w:val="00407C38"/>
    <w:rsid w:val="00447801"/>
    <w:rsid w:val="00452E9C"/>
    <w:rsid w:val="004735C8"/>
    <w:rsid w:val="0048687A"/>
    <w:rsid w:val="004911BB"/>
    <w:rsid w:val="004947A6"/>
    <w:rsid w:val="004961FF"/>
    <w:rsid w:val="005100CF"/>
    <w:rsid w:val="00517A89"/>
    <w:rsid w:val="005250F2"/>
    <w:rsid w:val="005860C0"/>
    <w:rsid w:val="005918BE"/>
    <w:rsid w:val="00593EEA"/>
    <w:rsid w:val="005A5EEE"/>
    <w:rsid w:val="005B1F8A"/>
    <w:rsid w:val="005F6D96"/>
    <w:rsid w:val="0063161F"/>
    <w:rsid w:val="00633C0A"/>
    <w:rsid w:val="006375C7"/>
    <w:rsid w:val="0064655C"/>
    <w:rsid w:val="00654E8F"/>
    <w:rsid w:val="00660D05"/>
    <w:rsid w:val="006820B1"/>
    <w:rsid w:val="006A359C"/>
    <w:rsid w:val="006B7D14"/>
    <w:rsid w:val="00701727"/>
    <w:rsid w:val="0070566C"/>
    <w:rsid w:val="00714C50"/>
    <w:rsid w:val="00725A7D"/>
    <w:rsid w:val="007501BE"/>
    <w:rsid w:val="00753EA5"/>
    <w:rsid w:val="00777A6E"/>
    <w:rsid w:val="00790BB3"/>
    <w:rsid w:val="007C047D"/>
    <w:rsid w:val="007C206C"/>
    <w:rsid w:val="007D1EE9"/>
    <w:rsid w:val="00817DD6"/>
    <w:rsid w:val="0083759F"/>
    <w:rsid w:val="008632BC"/>
    <w:rsid w:val="00872716"/>
    <w:rsid w:val="00885156"/>
    <w:rsid w:val="008D2AC1"/>
    <w:rsid w:val="008E24F7"/>
    <w:rsid w:val="009151AA"/>
    <w:rsid w:val="0093429D"/>
    <w:rsid w:val="00943573"/>
    <w:rsid w:val="00964134"/>
    <w:rsid w:val="00970F7D"/>
    <w:rsid w:val="00990CC1"/>
    <w:rsid w:val="00994A3D"/>
    <w:rsid w:val="009A3128"/>
    <w:rsid w:val="009B5051"/>
    <w:rsid w:val="009C2B12"/>
    <w:rsid w:val="00A174D9"/>
    <w:rsid w:val="00A43F57"/>
    <w:rsid w:val="00A6724D"/>
    <w:rsid w:val="00AA36C3"/>
    <w:rsid w:val="00AA4D24"/>
    <w:rsid w:val="00AB6715"/>
    <w:rsid w:val="00AE6A1A"/>
    <w:rsid w:val="00B1671E"/>
    <w:rsid w:val="00B25EB8"/>
    <w:rsid w:val="00B32047"/>
    <w:rsid w:val="00B37F4D"/>
    <w:rsid w:val="00BA5BC5"/>
    <w:rsid w:val="00BF1ADA"/>
    <w:rsid w:val="00C52A7B"/>
    <w:rsid w:val="00C56BAF"/>
    <w:rsid w:val="00C679AA"/>
    <w:rsid w:val="00C75972"/>
    <w:rsid w:val="00C91412"/>
    <w:rsid w:val="00CC4FDC"/>
    <w:rsid w:val="00CD066B"/>
    <w:rsid w:val="00CE4FEE"/>
    <w:rsid w:val="00D060CF"/>
    <w:rsid w:val="00D258A6"/>
    <w:rsid w:val="00D94171"/>
    <w:rsid w:val="00DB59C3"/>
    <w:rsid w:val="00DC259A"/>
    <w:rsid w:val="00DE23E8"/>
    <w:rsid w:val="00E01A81"/>
    <w:rsid w:val="00E14C7B"/>
    <w:rsid w:val="00E52377"/>
    <w:rsid w:val="00E537AD"/>
    <w:rsid w:val="00E64E17"/>
    <w:rsid w:val="00E866C9"/>
    <w:rsid w:val="00E87EAE"/>
    <w:rsid w:val="00E91463"/>
    <w:rsid w:val="00EA3D3C"/>
    <w:rsid w:val="00EC090A"/>
    <w:rsid w:val="00ED20B5"/>
    <w:rsid w:val="00EE2750"/>
    <w:rsid w:val="00EE72AA"/>
    <w:rsid w:val="00F161D3"/>
    <w:rsid w:val="00F20CB1"/>
    <w:rsid w:val="00F43BC3"/>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5A429"/>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unhideWhenUsed/>
    <w:rsid w:val="00AB6715"/>
    <w:rPr>
      <w:sz w:val="20"/>
      <w:szCs w:val="20"/>
    </w:rPr>
  </w:style>
  <w:style w:type="character" w:customStyle="1" w:styleId="KommentartextZchn">
    <w:name w:val="Kommentartext Zchn"/>
    <w:basedOn w:val="Absatz-Standardschriftart"/>
    <w:link w:val="Kommentartext"/>
    <w:uiPriority w:val="99"/>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character" w:customStyle="1" w:styleId="Ohne">
    <w:name w:val="Ohne"/>
    <w:rsid w:val="0048687A"/>
    <w:rPr>
      <w:lang w:val="en-US"/>
    </w:rPr>
  </w:style>
  <w:style w:type="character" w:customStyle="1" w:styleId="apple-converted-space">
    <w:name w:val="apple-converted-space"/>
    <w:basedOn w:val="Absatz-Standardschriftart"/>
    <w:rsid w:val="00D2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815995689">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7C0FCF-B8F7-814A-BD1F-2D43F7D6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0</TotalTime>
  <Pages>7</Pages>
  <Words>2952</Words>
  <Characters>18598</Characters>
  <Application>Microsoft Office Word</Application>
  <DocSecurity>0</DocSecurity>
  <Lines>154</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 Media SA</dc:creator>
  <cp:lastModifiedBy>Microsoft Office User</cp:lastModifiedBy>
  <cp:revision>3</cp:revision>
  <cp:lastPrinted>2013-10-03T12:51:00Z</cp:lastPrinted>
  <dcterms:created xsi:type="dcterms:W3CDTF">2020-05-15T10:59:00Z</dcterms:created>
  <dcterms:modified xsi:type="dcterms:W3CDTF">2020-05-19T16:42:00Z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076c23ea-c48e-3794-a36a-530e7510203e</vt:lpwstr>
  </property>
  <property fmtid="{D5CDD505-2E9C-101B-9397-08002B2CF9AE}" pid="24" name="Mendeley Citation Style_1">
    <vt:lpwstr>http://www.zotero.org/styles/apa</vt:lpwstr>
  </property>
</Properties>
</file>