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3BD5A427" w14:textId="11252157" w:rsidR="00EA3D3C" w:rsidRDefault="00654E8F" w:rsidP="0001436A">
      <w:pPr>
        <w:pStyle w:val="Heading1"/>
      </w:pPr>
      <w:r w:rsidRPr="00994A3D">
        <w:t xml:space="preserve">Supplementary </w:t>
      </w:r>
      <w:r w:rsidR="00E863DF">
        <w:t>Text</w:t>
      </w:r>
    </w:p>
    <w:p w14:paraId="1CFFB394" w14:textId="77777777" w:rsidR="00E863DF" w:rsidRPr="00EA1C09" w:rsidRDefault="00E863DF" w:rsidP="00E863DF">
      <w:pPr>
        <w:spacing w:before="0" w:after="0"/>
        <w:textAlignment w:val="baseline"/>
        <w:rPr>
          <w:rFonts w:eastAsia="Times New Roman" w:cs="Times New Roman"/>
          <w:color w:val="000000"/>
          <w:szCs w:val="24"/>
        </w:rPr>
      </w:pPr>
      <w:r w:rsidRPr="00EA1C09">
        <w:rPr>
          <w:rFonts w:eastAsia="Times New Roman" w:cs="Times New Roman"/>
          <w:color w:val="000000"/>
          <w:szCs w:val="24"/>
        </w:rPr>
        <w:t>Salience of a model is multi-faceted. Elements of salience are derived from model relevance</w:t>
      </w:r>
    </w:p>
    <w:p w14:paraId="54658205" w14:textId="54B7F7A4" w:rsidR="00E863DF" w:rsidRPr="00EA1C09" w:rsidRDefault="00E863DF" w:rsidP="00C36427">
      <w:pPr>
        <w:spacing w:before="0" w:after="0"/>
        <w:textAlignment w:val="baseline"/>
        <w:rPr>
          <w:rFonts w:eastAsia="Times New Roman" w:cs="Times New Roman"/>
          <w:color w:val="000000"/>
          <w:szCs w:val="24"/>
        </w:rPr>
      </w:pPr>
      <w:r w:rsidRPr="00EA1C09">
        <w:rPr>
          <w:rFonts w:eastAsia="Times New Roman" w:cs="Times New Roman"/>
          <w:color w:val="000000"/>
          <w:szCs w:val="24"/>
        </w:rPr>
        <w:t>(i.e., is the informa</w:t>
      </w:r>
      <w:bookmarkStart w:id="0" w:name="_GoBack"/>
      <w:bookmarkEnd w:id="0"/>
      <w:r w:rsidRPr="00EA1C09">
        <w:rPr>
          <w:rFonts w:eastAsia="Times New Roman" w:cs="Times New Roman"/>
          <w:color w:val="000000"/>
          <w:szCs w:val="24"/>
        </w:rPr>
        <w:t>tion useful for responding to the problem) (Wilson</w:t>
      </w:r>
      <w:r w:rsidRPr="00EA1C09">
        <w:rPr>
          <w:rFonts w:eastAsia="Times New Roman" w:cs="Times New Roman"/>
          <w:color w:val="000000"/>
          <w:szCs w:val="24"/>
        </w:rPr>
        <w:t xml:space="preserve"> 2009). Further, the context of </w:t>
      </w:r>
      <w:r w:rsidRPr="00EA1C09">
        <w:rPr>
          <w:rFonts w:eastAsia="Times New Roman" w:cs="Times New Roman"/>
          <w:color w:val="000000"/>
          <w:szCs w:val="24"/>
        </w:rPr>
        <w:t>knowledge is key in determining model salience; if stakeholders don’t</w:t>
      </w:r>
      <w:r w:rsidRPr="00EA1C09">
        <w:rPr>
          <w:rFonts w:eastAsia="Times New Roman" w:cs="Times New Roman"/>
          <w:color w:val="000000"/>
          <w:szCs w:val="24"/>
        </w:rPr>
        <w:t xml:space="preserve"> see the model as important for </w:t>
      </w:r>
      <w:r w:rsidRPr="00EA1C09">
        <w:rPr>
          <w:rFonts w:eastAsia="Times New Roman" w:cs="Times New Roman"/>
          <w:color w:val="000000"/>
          <w:szCs w:val="24"/>
        </w:rPr>
        <w:t xml:space="preserve">“understanding and solving the policy issue at hand” (i.e., they have to </w:t>
      </w:r>
      <w:r w:rsidRPr="00EA1C09">
        <w:rPr>
          <w:rFonts w:eastAsia="Times New Roman" w:cs="Times New Roman"/>
          <w:color w:val="000000"/>
          <w:szCs w:val="24"/>
        </w:rPr>
        <w:t xml:space="preserve">know that it is relevant), then </w:t>
      </w:r>
      <w:r w:rsidRPr="00EA1C09">
        <w:rPr>
          <w:rFonts w:eastAsia="Times New Roman" w:cs="Times New Roman"/>
          <w:color w:val="000000"/>
          <w:szCs w:val="24"/>
        </w:rPr>
        <w:t>the model lacks salience (van Voorn et al. 2016 p. 225). The credibility</w:t>
      </w:r>
      <w:r w:rsidRPr="00EA1C09">
        <w:rPr>
          <w:rFonts w:eastAsia="Times New Roman" w:cs="Times New Roman"/>
          <w:color w:val="000000"/>
          <w:szCs w:val="24"/>
        </w:rPr>
        <w:t xml:space="preserve"> of the model concerns the </w:t>
      </w:r>
      <w:r w:rsidRPr="00EA1C09">
        <w:rPr>
          <w:rFonts w:eastAsia="Times New Roman" w:cs="Times New Roman"/>
          <w:color w:val="000000"/>
          <w:szCs w:val="24"/>
        </w:rPr>
        <w:t>logic and soundness of the model’s construction and outpu</w:t>
      </w:r>
      <w:r w:rsidRPr="00EA1C09">
        <w:rPr>
          <w:rFonts w:eastAsia="Times New Roman" w:cs="Times New Roman"/>
          <w:color w:val="000000"/>
          <w:szCs w:val="24"/>
        </w:rPr>
        <w:t xml:space="preserve">t (van Voorn et al. 2016). When </w:t>
      </w:r>
      <w:r w:rsidRPr="00EA1C09">
        <w:rPr>
          <w:rFonts w:eastAsia="Times New Roman" w:cs="Times New Roman"/>
          <w:color w:val="000000"/>
          <w:szCs w:val="24"/>
        </w:rPr>
        <w:t>considering model credibility, stakeholders will evaluate if the m</w:t>
      </w:r>
      <w:r w:rsidRPr="00EA1C09">
        <w:rPr>
          <w:rFonts w:eastAsia="Times New Roman" w:cs="Times New Roman"/>
          <w:color w:val="000000"/>
          <w:szCs w:val="24"/>
        </w:rPr>
        <w:t xml:space="preserve">odel concepts and processes are </w:t>
      </w:r>
      <w:r w:rsidRPr="00EA1C09">
        <w:rPr>
          <w:rFonts w:eastAsia="Times New Roman" w:cs="Times New Roman"/>
          <w:color w:val="000000"/>
          <w:szCs w:val="24"/>
        </w:rPr>
        <w:t>technically adequate and meet their standards for a reliable representa</w:t>
      </w:r>
      <w:r w:rsidRPr="00EA1C09">
        <w:rPr>
          <w:rFonts w:eastAsia="Times New Roman" w:cs="Times New Roman"/>
          <w:color w:val="000000"/>
          <w:szCs w:val="24"/>
        </w:rPr>
        <w:t xml:space="preserve">tion of the system. Lastly, the </w:t>
      </w:r>
      <w:r w:rsidRPr="00EA1C09">
        <w:rPr>
          <w:rFonts w:eastAsia="Times New Roman" w:cs="Times New Roman"/>
          <w:color w:val="000000"/>
          <w:szCs w:val="24"/>
        </w:rPr>
        <w:t>legitimacy of the model stems from the stakeholders’ perception of th</w:t>
      </w:r>
      <w:r w:rsidRPr="00EA1C09">
        <w:rPr>
          <w:rFonts w:eastAsia="Times New Roman" w:cs="Times New Roman"/>
          <w:color w:val="000000"/>
          <w:szCs w:val="24"/>
        </w:rPr>
        <w:t xml:space="preserve">e model fairness and its use in </w:t>
      </w:r>
      <w:r w:rsidRPr="00EA1C09">
        <w:rPr>
          <w:rFonts w:eastAsia="Times New Roman" w:cs="Times New Roman"/>
          <w:color w:val="000000"/>
          <w:szCs w:val="24"/>
        </w:rPr>
        <w:t>decision making (Cash et al. 2003, Wilson 2009, White et al. 2010). Legitimacy of the model wi</w:t>
      </w:r>
      <w:r w:rsidRPr="00EA1C09">
        <w:rPr>
          <w:rFonts w:eastAsia="Times New Roman" w:cs="Times New Roman"/>
          <w:color w:val="000000"/>
          <w:szCs w:val="24"/>
        </w:rPr>
        <w:t xml:space="preserve">ll be </w:t>
      </w:r>
      <w:r w:rsidRPr="00EA1C09">
        <w:rPr>
          <w:rFonts w:eastAsia="Times New Roman" w:cs="Times New Roman"/>
          <w:color w:val="000000"/>
          <w:szCs w:val="24"/>
        </w:rPr>
        <w:t>determined by each stakeholder’s belief about what cons</w:t>
      </w:r>
      <w:r w:rsidR="00C36427" w:rsidRPr="00EA1C09">
        <w:rPr>
          <w:rFonts w:eastAsia="Times New Roman" w:cs="Times New Roman"/>
          <w:color w:val="000000"/>
          <w:szCs w:val="24"/>
        </w:rPr>
        <w:t xml:space="preserve">titutes fairness (Wilson 2009). </w:t>
      </w:r>
      <w:r w:rsidRPr="00EA1C09">
        <w:rPr>
          <w:rFonts w:eastAsia="Times New Roman" w:cs="Times New Roman"/>
          <w:color w:val="000000"/>
          <w:szCs w:val="24"/>
        </w:rPr>
        <w:t>Using this SCL analytical framework, we can measure stakeholder’s attitudes towards models</w:t>
      </w:r>
    </w:p>
    <w:p w14:paraId="5539DBAC" w14:textId="77777777" w:rsidR="00E863DF" w:rsidRPr="00EA1C09" w:rsidRDefault="00E863DF" w:rsidP="00E863DF">
      <w:pPr>
        <w:spacing w:before="0" w:after="0"/>
        <w:textAlignment w:val="baseline"/>
        <w:rPr>
          <w:rFonts w:eastAsia="Times New Roman" w:cs="Times New Roman"/>
          <w:color w:val="000000"/>
          <w:szCs w:val="24"/>
        </w:rPr>
      </w:pPr>
      <w:r w:rsidRPr="00EA1C09">
        <w:rPr>
          <w:rFonts w:eastAsia="Times New Roman" w:cs="Times New Roman"/>
          <w:color w:val="000000"/>
          <w:szCs w:val="24"/>
        </w:rPr>
        <w:t>during a participatory modeling process. Some work has been done to understand process impacts on</w:t>
      </w:r>
    </w:p>
    <w:p w14:paraId="27AD37DE" w14:textId="77777777" w:rsidR="00E863DF" w:rsidRPr="00EA1C09" w:rsidRDefault="00E863DF" w:rsidP="00E863DF">
      <w:pPr>
        <w:spacing w:before="0" w:after="0"/>
        <w:textAlignment w:val="baseline"/>
        <w:rPr>
          <w:rFonts w:eastAsia="Times New Roman" w:cs="Times New Roman"/>
          <w:color w:val="000000"/>
          <w:szCs w:val="24"/>
        </w:rPr>
      </w:pPr>
      <w:r w:rsidRPr="00EA1C09">
        <w:rPr>
          <w:rFonts w:eastAsia="Times New Roman" w:cs="Times New Roman"/>
          <w:color w:val="000000"/>
          <w:szCs w:val="24"/>
        </w:rPr>
        <w:t>participants (Pahl-Wostl 2002, Rouwette et al. 2002, 2011). Even more limited has been attempts to</w:t>
      </w:r>
    </w:p>
    <w:p w14:paraId="3B450615" w14:textId="77777777" w:rsidR="00E863DF" w:rsidRPr="00EA1C09" w:rsidRDefault="00E863DF" w:rsidP="00E863DF">
      <w:pPr>
        <w:spacing w:before="0" w:after="0"/>
        <w:textAlignment w:val="baseline"/>
        <w:rPr>
          <w:rFonts w:eastAsia="Times New Roman" w:cs="Times New Roman"/>
          <w:color w:val="000000"/>
          <w:szCs w:val="24"/>
        </w:rPr>
      </w:pPr>
      <w:r w:rsidRPr="00EA1C09">
        <w:rPr>
          <w:rFonts w:eastAsia="Times New Roman" w:cs="Times New Roman"/>
          <w:color w:val="000000"/>
          <w:szCs w:val="24"/>
        </w:rPr>
        <w:t>understand longitudinal changes in stakeholders due to these processes (Rouwette et al. 2002, 2011).</w:t>
      </w:r>
    </w:p>
    <w:p w14:paraId="46930B09" w14:textId="77777777" w:rsidR="00E863DF" w:rsidRPr="00EA1C09" w:rsidRDefault="00E863DF" w:rsidP="00E863DF">
      <w:pPr>
        <w:spacing w:before="0" w:after="0"/>
        <w:textAlignment w:val="baseline"/>
        <w:rPr>
          <w:rFonts w:ascii="Arial" w:eastAsia="Times New Roman" w:hAnsi="Arial" w:cs="Arial"/>
          <w:color w:val="000000"/>
          <w:szCs w:val="24"/>
          <w:u w:val="single"/>
        </w:rPr>
      </w:pPr>
    </w:p>
    <w:p w14:paraId="0DB33AB2" w14:textId="772E4ED4" w:rsidR="00E863DF" w:rsidRPr="00E863DF" w:rsidRDefault="00E863DF" w:rsidP="00E863DF">
      <w:pPr>
        <w:spacing w:before="0" w:after="0"/>
        <w:textAlignment w:val="baseline"/>
        <w:rPr>
          <w:rFonts w:eastAsia="Times New Roman" w:cs="Times New Roman"/>
          <w:color w:val="000000"/>
          <w:szCs w:val="24"/>
          <w:u w:val="single"/>
        </w:rPr>
      </w:pPr>
      <w:r w:rsidRPr="00E863DF">
        <w:rPr>
          <w:rFonts w:eastAsia="Times New Roman" w:cs="Times New Roman"/>
          <w:color w:val="000000"/>
          <w:szCs w:val="24"/>
          <w:u w:val="single"/>
        </w:rPr>
        <w:t>Factors Impacting the Formation of Attitudes - The Role of the Participatory Process and Social Network factors</w:t>
      </w:r>
    </w:p>
    <w:p w14:paraId="2FDF7ECE"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t>Research into how individuals form their attitudes spans many disciplines, ranging from marketing (Bottomley and Doyle 1996), to psychology (Addison and Thorpe 2004), education (Stenseth et al. 2016), and issues of climate change and individuals’ connection to nature (Happer and Philo 2016). Within a participatory modeling process, the study of attitudes can provide insight into the impact or effectiveness of these processes overall and the tools, like models, they utilize. Interest, concern or worry surrounding a topic, like scientific modeling, can led to an active response by way of behavioral changes (Moser and Dilling 2010). Some work has examined the impact of group model building and the overall process on attitudes (Rouwette et al. 2011). No work, however, has examined attitude formation in relation to the models themselves. Studying attitudes towards models is crucial to understanding what role models play within participatory modeling processes and if these processes can accomplish their goals (i.e., consensus). To determine what impacts changes in attitudes towards models, we focused on factors related to the participatory process itself and the stakeholders’ social network. </w:t>
      </w:r>
    </w:p>
    <w:p w14:paraId="04F6832E" w14:textId="77777777" w:rsidR="00E863DF" w:rsidRPr="00EA1C09" w:rsidRDefault="00E863DF" w:rsidP="00E863DF">
      <w:pPr>
        <w:spacing w:before="0" w:after="0"/>
        <w:textAlignment w:val="baseline"/>
        <w:rPr>
          <w:rFonts w:eastAsia="Times New Roman" w:cs="Times New Roman"/>
          <w:color w:val="000000"/>
          <w:szCs w:val="24"/>
          <w:u w:val="single"/>
        </w:rPr>
      </w:pPr>
    </w:p>
    <w:p w14:paraId="2C106AE5" w14:textId="2E476B92" w:rsidR="00E863DF" w:rsidRPr="00E863DF" w:rsidRDefault="00E863DF" w:rsidP="00E863DF">
      <w:pPr>
        <w:spacing w:before="0" w:after="0"/>
        <w:textAlignment w:val="baseline"/>
        <w:rPr>
          <w:rFonts w:eastAsia="Times New Roman" w:cs="Times New Roman"/>
          <w:color w:val="000000"/>
          <w:szCs w:val="24"/>
          <w:u w:val="single"/>
        </w:rPr>
      </w:pPr>
      <w:r w:rsidRPr="00E863DF">
        <w:rPr>
          <w:rFonts w:eastAsia="Times New Roman" w:cs="Times New Roman"/>
          <w:color w:val="000000"/>
          <w:szCs w:val="24"/>
          <w:u w:val="single"/>
        </w:rPr>
        <w:t>Participatory Modeling Process Design and Stakeholder Characteristics – Impact on Attitudes Towards Models</w:t>
      </w:r>
    </w:p>
    <w:p w14:paraId="0CE1A6AA"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t xml:space="preserve">Despite the diversity in the design and organization of participatory modeling processes (Reed 2008, Voinov and Gaddis 2008, Falconi and Palmer 2017), there exist some universal factors that can be used to broadly understand their impact on stakeholders’ attitudes towards models. By investigating what factors of participatory modeling practices influence stakeholder’s attitudes towards models and </w:t>
      </w:r>
      <w:r w:rsidRPr="00E863DF">
        <w:rPr>
          <w:rFonts w:eastAsia="Times New Roman" w:cs="Times New Roman"/>
          <w:i/>
          <w:iCs/>
          <w:color w:val="000000"/>
          <w:szCs w:val="24"/>
        </w:rPr>
        <w:t>how</w:t>
      </w:r>
      <w:r w:rsidRPr="00E863DF">
        <w:rPr>
          <w:rFonts w:eastAsia="Times New Roman" w:cs="Times New Roman"/>
          <w:color w:val="000000"/>
          <w:szCs w:val="24"/>
        </w:rPr>
        <w:t>, we can better understand the role that the scientific models play during participatory modeling processes. </w:t>
      </w:r>
    </w:p>
    <w:p w14:paraId="47C38892"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lastRenderedPageBreak/>
        <w:t>The selection of stakeholders and the representativeness of different stakeholder groups is a critical element of participatory modeling processes. The literature emphasizes the importance of who sits around the table, suggesting that individual characteristics and overall group composition can have a meaningful influence on group dynamics, model goals, formation and presentation, and the individuals themselves (Reed 2008, Voinov et al. 2014). The group of participating stakeholders dictates the knowledge available to the process. In terms of the model and impacts on the process overall, increasing the diversity of knowledge sources could enhance the ability of the model to represent the system in question by accounting for multiple perspectives (Duncan 2016). However, within the larger group, there exist natural sub-groups representing the different stakeholder groups within the process. These sub-groups represent pockets of knowledge and information. The availability of this group-specific information to the overall group has been suggested to foster innovation in decision-making processes (Fischer and Jasny 2017). </w:t>
      </w:r>
    </w:p>
    <w:p w14:paraId="335B2773"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t>Individuals within the same stakeholder sub-group have similar life experiences that facilitate increased communication and ease the development of trust (Yuan and Gay 2006). Oftentimes this results in individuals reflecting and reinforcing the views of their sub-group, leading to the creation and reinforcement of echo-chambers of group-specific attitudes (Long et al. 2013). Paolisso and Dery (2010) noted differences in opinions on management options for oysters within the Chesapeake Bay based on stakeholder group affiliation. The increased level of familiarity and understanding with those in the same stakeholder sub-group can influence attitude formation.  </w:t>
      </w:r>
    </w:p>
    <w:p w14:paraId="4B053B85"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t>Individual-level stakeholder characteristics other than sub-group membership can also impact attitudes. Along with ones’ sub-group association, years of experience speaks to different ways of knowing among stakeholders (Lejano and Ingram 2009). Learning and understanding begin with what individuals “already know and have experienced in everyday life” (Barnhardt and Kawagley 2005 p. 12). Different amounts of experience in one’s field influences how stakeholders see and experience the world, including their assessment of the validity of knowledge, how knowledge is produced, and the assumptions inherent in the production of knowledge (Miller et al. 2008). </w:t>
      </w:r>
    </w:p>
    <w:p w14:paraId="22C947DE"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t>Since the early 2000’s, scientific models have become much more common in natural resource management (Shenk and Franklin 2001). During this time period, stakeholders involved with or exposed to natural resources management decisions are therefore necessarily interacting with scientific models. Stakeholders’ views on models could be impacted by different familiarity with scientific models and years of experience within their field. For example, stakeholders with more experience are likely more familiar with the benefits and limitations of models within natural resources management (e.g., when it is or is not appropriate to use models). However, different ways of knowing inherent within different stakeholder sub-groups (e.g., watermen’s experiential way of knowing versus scientists’ more standardized, quantifiable way of knowing) could lead to inter-group differences in attitudes (Berkes 2009, Duncan 2016). </w:t>
      </w:r>
    </w:p>
    <w:p w14:paraId="1ED6CE5E"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t xml:space="preserve">The literature also emphasizes the impact of stakeholder participation during participatory modeling processes. Different levels or degrees of participation, whether through process design or stakeholder attendance, has been cited as influencing the process itself and the results (Reed 2008). Increased participation can lead to the development of shared concepts and ideas through social learning, promoting the likelihood of actors continuing to work together (Reed 2008, Scholz et al. 2014). The inclusion of models in the participatory process is thought to further enhance these positive results. Participation in participatory modeling processes takes place through model building. The model acts as a boundary object (White et al. 2010, Henly-Shepard et al. 2015), helping to facilitate the discussion between stakeholders, allowing them to better recognize their implicit assumptions (Andersen et al. 1997), refine and alter their mental models (Rouwette et al. 2011), and generalize knowledge that can be used or applied later or in a different scenario (Lane </w:t>
      </w:r>
      <w:r w:rsidRPr="00E863DF">
        <w:rPr>
          <w:rFonts w:eastAsia="Times New Roman" w:cs="Times New Roman"/>
          <w:color w:val="000000"/>
          <w:szCs w:val="24"/>
        </w:rPr>
        <w:lastRenderedPageBreak/>
        <w:t>1994). Through experience with model building, stakeholders can better understand the strengths and limitations of the model for decision-making. </w:t>
      </w:r>
    </w:p>
    <w:p w14:paraId="31B7A0E6"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t>However, the theorized positive impacts from participation and engagement in participatory processes aren’t universal (Layzer 2008, Newig and Fritsch 2009). For participatory modeling processes, their ability to deliver on these results rests on stakeholder’s willingness to use and engage with the model. This willingness can be examined through the salience, credibility, and legitimacy framework (van Voorn et al. 2016). </w:t>
      </w:r>
    </w:p>
    <w:p w14:paraId="33312506" w14:textId="77777777" w:rsidR="00E863DF" w:rsidRPr="00EA1C09" w:rsidRDefault="00E863DF" w:rsidP="00E863DF">
      <w:pPr>
        <w:spacing w:before="0" w:after="0"/>
        <w:textAlignment w:val="baseline"/>
        <w:rPr>
          <w:rFonts w:eastAsia="Times New Roman" w:cs="Times New Roman"/>
          <w:color w:val="000000"/>
          <w:szCs w:val="24"/>
          <w:u w:val="single"/>
        </w:rPr>
      </w:pPr>
    </w:p>
    <w:p w14:paraId="6CA46C99" w14:textId="62C1784E" w:rsidR="00E863DF" w:rsidRPr="00E863DF" w:rsidRDefault="00E863DF" w:rsidP="00E863DF">
      <w:pPr>
        <w:spacing w:before="0" w:after="0"/>
        <w:textAlignment w:val="baseline"/>
        <w:rPr>
          <w:rFonts w:eastAsia="Times New Roman" w:cs="Times New Roman"/>
          <w:color w:val="000000"/>
          <w:szCs w:val="24"/>
          <w:u w:val="single"/>
        </w:rPr>
      </w:pPr>
      <w:r w:rsidRPr="00E863DF">
        <w:rPr>
          <w:rFonts w:eastAsia="Times New Roman" w:cs="Times New Roman"/>
          <w:color w:val="000000"/>
          <w:szCs w:val="24"/>
          <w:u w:val="single"/>
        </w:rPr>
        <w:t>A Social Network Approach to Attitude Formation </w:t>
      </w:r>
    </w:p>
    <w:p w14:paraId="7AE709A3"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t>Network literature has long argued that “attitudes are made, maintained, or modified” through interpersonal relationships and communication (Festinger 1954, Visser and Mirabile 2004, Erickson 1988, p. 99). Thus, to understand and describe how attitudes are formed, social networks are the “natural units of analysis” (Erickson 1988, p. 99). The relationships and interactions between the stakeholders involved in participatory modeling processes represent “networks” that can be formalized through a social network analysis approach (van der Hulst 2009). The application of a social network analysis framework to study participatory processes has been limited (Prell et al. 2009) and hasn’t been applied to a modeling process or longitudinally. Through the analysis of overall network structure and specific stakeholder roles during participatory modeling processes, we can better understand how the connections between actors during this process could impact the formation of their attitudes towards models. Specifically, brokerage roles within networks and overall levels of connectivity are examined to understand the impact of social network structure on attitude formation. </w:t>
      </w:r>
    </w:p>
    <w:p w14:paraId="6765267F" w14:textId="77777777" w:rsidR="00E863DF" w:rsidRPr="00EA1C09" w:rsidRDefault="00E863DF" w:rsidP="00E863DF">
      <w:pPr>
        <w:spacing w:before="0" w:after="0"/>
        <w:rPr>
          <w:rFonts w:eastAsia="Times New Roman" w:cs="Times New Roman"/>
          <w:i/>
          <w:iCs/>
          <w:color w:val="000000"/>
          <w:szCs w:val="24"/>
        </w:rPr>
      </w:pPr>
    </w:p>
    <w:p w14:paraId="0C69AD53" w14:textId="672090F0" w:rsidR="00E863DF" w:rsidRPr="00E863DF" w:rsidRDefault="00E863DF" w:rsidP="00E863DF">
      <w:pPr>
        <w:spacing w:before="0" w:after="0"/>
        <w:rPr>
          <w:rFonts w:eastAsia="Times New Roman" w:cs="Times New Roman"/>
          <w:szCs w:val="24"/>
          <w:u w:val="single"/>
        </w:rPr>
      </w:pPr>
      <w:r w:rsidRPr="00E863DF">
        <w:rPr>
          <w:rFonts w:eastAsia="Times New Roman" w:cs="Times New Roman"/>
          <w:iCs/>
          <w:color w:val="000000"/>
          <w:szCs w:val="24"/>
          <w:u w:val="single"/>
        </w:rPr>
        <w:t>Brokerage in Communication Networks</w:t>
      </w:r>
    </w:p>
    <w:p w14:paraId="4D2B0D69"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t xml:space="preserve">Brokers are individuals in a network that facilitate a transaction between two otherwise unconnected actors (Marsden 1982). This position is seen as powerful; brokers can control how information flows within a network, facilitating opportunities for interaction, or inhibiting the spread of knowledge and resources (Cvitanovic et al. 2017). The role brokers play is considered especially advantageous in networks with many isolated clusters or sub-groups, like participatory decision-making processes. Sub-groups in networks represent silos of knowledge and information that, if left unconnected, cannot benefit the overall network (Long et al. 2013). In these settings, brokers have the unique ability to create connections to these divergent sources of knowledge, breaking down silos and opening room for greater collaboration, innovation and understanding (Padula 2008, Long et al. 2013). All brokers, however, are not made the same. Gould and Fernandez (1989) used an ego-centric (an individual-focused) approach to divide the concept of brokerage into five distinct roles based on </w:t>
      </w:r>
      <w:r w:rsidRPr="00E863DF">
        <w:rPr>
          <w:rFonts w:eastAsia="Times New Roman" w:cs="Times New Roman"/>
          <w:i/>
          <w:iCs/>
          <w:color w:val="000000"/>
          <w:szCs w:val="24"/>
        </w:rPr>
        <w:t>who</w:t>
      </w:r>
      <w:r w:rsidRPr="00E863DF">
        <w:rPr>
          <w:rFonts w:eastAsia="Times New Roman" w:cs="Times New Roman"/>
          <w:color w:val="000000"/>
          <w:szCs w:val="24"/>
        </w:rPr>
        <w:t xml:space="preserve"> the individual is brokering communication between. Two roles, gatekeeper and liaison, could impact attitude formation towards scientific models. </w:t>
      </w:r>
    </w:p>
    <w:p w14:paraId="048AE47D" w14:textId="77777777" w:rsidR="00E863DF" w:rsidRPr="00EA1C09" w:rsidRDefault="00E863DF" w:rsidP="00E863DF">
      <w:pPr>
        <w:spacing w:before="0" w:after="0"/>
        <w:textAlignment w:val="baseline"/>
        <w:rPr>
          <w:rFonts w:eastAsia="Times New Roman" w:cs="Times New Roman"/>
          <w:color w:val="000000"/>
          <w:szCs w:val="24"/>
          <w:u w:val="single"/>
        </w:rPr>
      </w:pPr>
    </w:p>
    <w:p w14:paraId="07AE6132" w14:textId="22B7E9A3" w:rsidR="00E863DF" w:rsidRPr="00E863DF" w:rsidRDefault="00E863DF" w:rsidP="00E863DF">
      <w:pPr>
        <w:spacing w:before="0" w:after="0"/>
        <w:textAlignment w:val="baseline"/>
        <w:rPr>
          <w:rFonts w:eastAsia="Times New Roman" w:cs="Times New Roman"/>
          <w:color w:val="000000"/>
          <w:szCs w:val="24"/>
          <w:u w:val="single"/>
        </w:rPr>
      </w:pPr>
      <w:r w:rsidRPr="00E863DF">
        <w:rPr>
          <w:rFonts w:eastAsia="Times New Roman" w:cs="Times New Roman"/>
          <w:color w:val="000000"/>
          <w:szCs w:val="24"/>
          <w:u w:val="single"/>
        </w:rPr>
        <w:t>Breaking Down Brokerage: Gatekeepers and Liaisons </w:t>
      </w:r>
    </w:p>
    <w:p w14:paraId="47D36BCB"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t>A gatekeeper is an individual who, in an un-directed network, acts as the access point to their sub-group. These brokers represent the only path of connection in a network between their sub-group and an individual in a different sub-group (Figure 1). </w:t>
      </w:r>
    </w:p>
    <w:p w14:paraId="14DB202B" w14:textId="77777777" w:rsidR="00E863DF" w:rsidRPr="00E863DF" w:rsidRDefault="00E863DF" w:rsidP="00E863DF">
      <w:pPr>
        <w:spacing w:before="0" w:after="0"/>
        <w:rPr>
          <w:rFonts w:eastAsia="Times New Roman" w:cs="Times New Roman"/>
          <w:szCs w:val="24"/>
        </w:rPr>
      </w:pPr>
    </w:p>
    <w:p w14:paraId="356DC7CC" w14:textId="6F4F3398" w:rsidR="00E863DF" w:rsidRPr="00E863DF" w:rsidRDefault="00E863DF" w:rsidP="00E863DF">
      <w:pPr>
        <w:spacing w:before="0" w:after="0"/>
        <w:rPr>
          <w:rFonts w:eastAsia="Times New Roman" w:cs="Times New Roman"/>
          <w:szCs w:val="24"/>
        </w:rPr>
      </w:pPr>
      <w:r w:rsidRPr="00EA1C09">
        <w:rPr>
          <w:rFonts w:eastAsia="Times New Roman" w:cs="Times New Roman"/>
          <w:noProof/>
          <w:color w:val="000000"/>
          <w:szCs w:val="24"/>
          <w:bdr w:val="none" w:sz="0" w:space="0" w:color="auto" w:frame="1"/>
        </w:rPr>
        <w:lastRenderedPageBreak/>
        <w:drawing>
          <wp:inline distT="0" distB="0" distL="0" distR="0" wp14:anchorId="2CB5DD6E" wp14:editId="73ADD848">
            <wp:extent cx="2882900" cy="984250"/>
            <wp:effectExtent l="0" t="0" r="0" b="0"/>
            <wp:docPr id="3" name="Picture 3" descr="https://lh6.googleusercontent.com/kFTHzqJ5IqZt7K3BczNLgVviOH6vat79_PUDIh0pfUHX-s12aa7xlUaDl3nws7qJCEjzdow3ZXTD0n0G0EQY-16q5uLgZTKlBeCQEgiuM5hvZvOtIUli45pzLgrioBDBcbiqlE1KoX0IEnqO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kFTHzqJ5IqZt7K3BczNLgVviOH6vat79_PUDIh0pfUHX-s12aa7xlUaDl3nws7qJCEjzdow3ZXTD0n0G0EQY-16q5uLgZTKlBeCQEgiuM5hvZvOtIUli45pzLgrioBDBcbiqlE1KoX0IEnqO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900" cy="984250"/>
                    </a:xfrm>
                    <a:prstGeom prst="rect">
                      <a:avLst/>
                    </a:prstGeom>
                    <a:noFill/>
                    <a:ln>
                      <a:noFill/>
                    </a:ln>
                  </pic:spPr>
                </pic:pic>
              </a:graphicData>
            </a:graphic>
          </wp:inline>
        </w:drawing>
      </w:r>
    </w:p>
    <w:p w14:paraId="4F969D19" w14:textId="77777777" w:rsidR="00E863DF" w:rsidRPr="00E863DF" w:rsidRDefault="00E863DF" w:rsidP="00E863DF">
      <w:pPr>
        <w:spacing w:before="0" w:after="0"/>
        <w:rPr>
          <w:rFonts w:eastAsia="Times New Roman" w:cs="Times New Roman"/>
          <w:szCs w:val="24"/>
        </w:rPr>
      </w:pPr>
      <w:r w:rsidRPr="00E863DF">
        <w:rPr>
          <w:rFonts w:eastAsia="Times New Roman" w:cs="Times New Roman"/>
          <w:b/>
          <w:bCs/>
          <w:color w:val="000000"/>
          <w:szCs w:val="24"/>
        </w:rPr>
        <w:t>Figure 1</w:t>
      </w:r>
      <w:r w:rsidRPr="00E863DF">
        <w:rPr>
          <w:rFonts w:eastAsia="Times New Roman" w:cs="Times New Roman"/>
          <w:color w:val="000000"/>
          <w:szCs w:val="24"/>
        </w:rPr>
        <w:t>: Representation of a Gatekeeper brokerage role (B), where B and C are members of the same sub-group, and B acts as the only path of communication between A and C. In this position, B can decide whether to grant access to the outside information into the sub-group</w:t>
      </w:r>
    </w:p>
    <w:p w14:paraId="6015A691" w14:textId="77777777" w:rsidR="00E863DF" w:rsidRPr="00E863DF" w:rsidRDefault="00E863DF" w:rsidP="00E863DF">
      <w:pPr>
        <w:spacing w:before="0" w:after="0"/>
        <w:rPr>
          <w:rFonts w:eastAsia="Times New Roman" w:cs="Times New Roman"/>
          <w:szCs w:val="24"/>
        </w:rPr>
      </w:pPr>
    </w:p>
    <w:p w14:paraId="39A3E464"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t>From this intermediary position, gatekeepers can selectively grant access to and from their group, acting as a gate that either permits or hinders the spreading of information (Gould and Fernandez 1989). Limitations in awareness and availability of information has been noted as an important factor in attitude formation (Upham et al. 2009). By controlling this flow, gatekeepers can influence attitude development. A liaison represents a brokerage role where an actor links two different sub-groups, neither of which they are a member (Figure 2, Gould and Fernandez 1989). The liaison mediates and coordinates transactions, playing a key role in connecting otherwise disconnected groups. This type of brokering creates more points of access to different sources of information and individuals, again potentially impacting attitude formation. </w:t>
      </w:r>
    </w:p>
    <w:p w14:paraId="5F7D9064" w14:textId="77777777" w:rsidR="00E863DF" w:rsidRPr="00E863DF" w:rsidRDefault="00E863DF" w:rsidP="00E863DF">
      <w:pPr>
        <w:spacing w:before="0" w:after="0"/>
        <w:rPr>
          <w:rFonts w:eastAsia="Times New Roman" w:cs="Times New Roman"/>
          <w:szCs w:val="24"/>
        </w:rPr>
      </w:pPr>
    </w:p>
    <w:p w14:paraId="6F1931C7" w14:textId="6567B7CE" w:rsidR="00E863DF" w:rsidRPr="00E863DF" w:rsidRDefault="00E863DF" w:rsidP="00E863DF">
      <w:pPr>
        <w:spacing w:before="0" w:after="0"/>
        <w:rPr>
          <w:rFonts w:eastAsia="Times New Roman" w:cs="Times New Roman"/>
          <w:szCs w:val="24"/>
        </w:rPr>
      </w:pPr>
      <w:r w:rsidRPr="00EA1C09">
        <w:rPr>
          <w:rFonts w:eastAsia="Times New Roman" w:cs="Times New Roman"/>
          <w:noProof/>
          <w:color w:val="000000"/>
          <w:szCs w:val="24"/>
          <w:bdr w:val="none" w:sz="0" w:space="0" w:color="auto" w:frame="1"/>
        </w:rPr>
        <w:drawing>
          <wp:inline distT="0" distB="0" distL="0" distR="0" wp14:anchorId="57FC8626" wp14:editId="2919FF66">
            <wp:extent cx="2857500" cy="965200"/>
            <wp:effectExtent l="0" t="0" r="0" b="0"/>
            <wp:docPr id="2" name="Picture 2" descr="https://lh5.googleusercontent.com/TK1lIf6vZpX7BxwDF_vRRPW24Y1lpiN74xkfGOJ_B1z2YzgqLo-cWZIHU-IAoweQsNcrtHnZ0m_LJxf-yWy2GMhUjfTF9sSLBlU_pObvZ5idFd8VHTe51S_yg71zBlHEgVOlIgvGPxBlYNmw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TK1lIf6vZpX7BxwDF_vRRPW24Y1lpiN74xkfGOJ_B1z2YzgqLo-cWZIHU-IAoweQsNcrtHnZ0m_LJxf-yWy2GMhUjfTF9sSLBlU_pObvZ5idFd8VHTe51S_yg71zBlHEgVOlIgvGPxBlYNmwY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965200"/>
                    </a:xfrm>
                    <a:prstGeom prst="rect">
                      <a:avLst/>
                    </a:prstGeom>
                    <a:noFill/>
                    <a:ln>
                      <a:noFill/>
                    </a:ln>
                  </pic:spPr>
                </pic:pic>
              </a:graphicData>
            </a:graphic>
          </wp:inline>
        </w:drawing>
      </w:r>
    </w:p>
    <w:p w14:paraId="34979D40" w14:textId="77777777" w:rsidR="00E863DF" w:rsidRPr="00E863DF" w:rsidRDefault="00E863DF" w:rsidP="00E863DF">
      <w:pPr>
        <w:spacing w:before="0" w:after="0"/>
        <w:rPr>
          <w:rFonts w:eastAsia="Times New Roman" w:cs="Times New Roman"/>
          <w:szCs w:val="24"/>
        </w:rPr>
      </w:pPr>
      <w:r w:rsidRPr="00E863DF">
        <w:rPr>
          <w:rFonts w:eastAsia="Times New Roman" w:cs="Times New Roman"/>
          <w:b/>
          <w:bCs/>
          <w:color w:val="000000"/>
          <w:szCs w:val="24"/>
        </w:rPr>
        <w:t>Figure 2</w:t>
      </w:r>
      <w:r w:rsidRPr="00E863DF">
        <w:rPr>
          <w:rFonts w:eastAsia="Times New Roman" w:cs="Times New Roman"/>
          <w:color w:val="000000"/>
          <w:szCs w:val="24"/>
        </w:rPr>
        <w:t>: Representation of a Liaison brokerage role (B), where A, B, and C are all members of separate sub-groups. B’s role here is to provide a link between individuals in two different sub-groups, while not being a member of either group </w:t>
      </w:r>
    </w:p>
    <w:p w14:paraId="377860C4" w14:textId="77777777" w:rsidR="00E863DF" w:rsidRPr="00E863DF" w:rsidRDefault="00E863DF" w:rsidP="00E863DF">
      <w:pPr>
        <w:spacing w:before="0" w:after="0"/>
        <w:rPr>
          <w:rFonts w:eastAsia="Times New Roman" w:cs="Times New Roman"/>
          <w:szCs w:val="24"/>
        </w:rPr>
      </w:pPr>
    </w:p>
    <w:p w14:paraId="202501BE"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t>While there are potential attitude impacts network-wide or within a specific sub-group from these positions, brokers themselves can be impacted by their roles. Valente and Fujimoto (2010) suggested that individuals in these brokering roles are more receptive to attitude changes because they are the recipient of targeted communication. These brokers are being sought out for communication, which can have a more substantial influence on attitude formation. Brokers also have access to an expanded range of ways of knowing. Through connections beyond one stakeholder sub-group, brokers’ attitudes towards models may be influenced, depending on the nature of those connections (Beach 1997, Hargadon 2002). </w:t>
      </w:r>
    </w:p>
    <w:p w14:paraId="4141D607" w14:textId="77777777" w:rsidR="00E863DF" w:rsidRPr="00EA1C09" w:rsidRDefault="00E863DF" w:rsidP="00E863DF">
      <w:pPr>
        <w:spacing w:before="0" w:after="0"/>
        <w:textAlignment w:val="baseline"/>
        <w:rPr>
          <w:rFonts w:eastAsia="Times New Roman" w:cs="Times New Roman"/>
          <w:color w:val="000000"/>
          <w:szCs w:val="24"/>
          <w:u w:val="single"/>
        </w:rPr>
      </w:pPr>
    </w:p>
    <w:p w14:paraId="46C094E3" w14:textId="3A35E93F" w:rsidR="00E863DF" w:rsidRPr="00E863DF" w:rsidRDefault="00E863DF" w:rsidP="00E863DF">
      <w:pPr>
        <w:spacing w:before="0" w:after="0"/>
        <w:textAlignment w:val="baseline"/>
        <w:rPr>
          <w:rFonts w:eastAsia="Times New Roman" w:cs="Times New Roman"/>
          <w:color w:val="000000"/>
          <w:szCs w:val="24"/>
          <w:u w:val="single"/>
        </w:rPr>
      </w:pPr>
      <w:r w:rsidRPr="00E863DF">
        <w:rPr>
          <w:rFonts w:eastAsia="Times New Roman" w:cs="Times New Roman"/>
          <w:color w:val="000000"/>
          <w:szCs w:val="24"/>
          <w:u w:val="single"/>
        </w:rPr>
        <w:t>Degree Centrality</w:t>
      </w:r>
    </w:p>
    <w:p w14:paraId="651CB183"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t xml:space="preserve">The theory of brokerage posits that actors are influenced by the specific nature of their connections; it’s not just how many people you know, but </w:t>
      </w:r>
      <w:r w:rsidRPr="00E863DF">
        <w:rPr>
          <w:rFonts w:eastAsia="Times New Roman" w:cs="Times New Roman"/>
          <w:i/>
          <w:iCs/>
          <w:color w:val="000000"/>
          <w:szCs w:val="24"/>
        </w:rPr>
        <w:t>who</w:t>
      </w:r>
      <w:r w:rsidRPr="00E863DF">
        <w:rPr>
          <w:rFonts w:eastAsia="Times New Roman" w:cs="Times New Roman"/>
          <w:color w:val="000000"/>
          <w:szCs w:val="24"/>
        </w:rPr>
        <w:t xml:space="preserve"> you know. Conversely, the idea of degree centrality focuses on that concept of ‘how many’ people you know. The degree measure is the total number of nodes that an actor is connected to (Opsahl et al. 2010). Individuals with high degree scores are in prominent and visible positions within the network. Rogers (2003) found these high degree individuals to be opinion leaders. The nature of this leadership position can come with an expectation to uphold the status quo, limiting any changes in these actors’ attitudes (Becker 1970, Valente and Fujimoto 2010). </w:t>
      </w:r>
    </w:p>
    <w:p w14:paraId="1608FFEA" w14:textId="77777777" w:rsidR="00E863DF" w:rsidRPr="00EA1C09" w:rsidRDefault="00E863DF" w:rsidP="00E863DF">
      <w:pPr>
        <w:spacing w:before="0" w:after="0"/>
        <w:textAlignment w:val="baseline"/>
        <w:rPr>
          <w:rFonts w:eastAsia="Times New Roman" w:cs="Times New Roman"/>
          <w:color w:val="000000"/>
          <w:szCs w:val="24"/>
          <w:u w:val="single"/>
        </w:rPr>
      </w:pPr>
    </w:p>
    <w:p w14:paraId="18D2E1C2" w14:textId="58BE4279" w:rsidR="00E863DF" w:rsidRPr="00E863DF" w:rsidRDefault="00E863DF" w:rsidP="00E863DF">
      <w:pPr>
        <w:spacing w:before="0" w:after="0"/>
        <w:textAlignment w:val="baseline"/>
        <w:rPr>
          <w:rFonts w:eastAsia="Times New Roman" w:cs="Times New Roman"/>
          <w:color w:val="000000"/>
          <w:szCs w:val="24"/>
          <w:u w:val="single"/>
        </w:rPr>
      </w:pPr>
      <w:r w:rsidRPr="00E863DF">
        <w:rPr>
          <w:rFonts w:eastAsia="Times New Roman" w:cs="Times New Roman"/>
          <w:color w:val="000000"/>
          <w:szCs w:val="24"/>
          <w:u w:val="single"/>
        </w:rPr>
        <w:t>The OysterFutures Case </w:t>
      </w:r>
    </w:p>
    <w:p w14:paraId="6D2B89EB" w14:textId="77777777" w:rsidR="00E863DF" w:rsidRPr="00E863DF" w:rsidRDefault="00E863DF" w:rsidP="00E863DF">
      <w:pPr>
        <w:spacing w:before="0" w:after="0"/>
        <w:ind w:firstLine="720"/>
        <w:rPr>
          <w:rFonts w:eastAsia="Times New Roman" w:cs="Times New Roman"/>
          <w:szCs w:val="24"/>
        </w:rPr>
      </w:pPr>
      <w:r w:rsidRPr="00E863DF">
        <w:rPr>
          <w:rFonts w:eastAsia="Times New Roman" w:cs="Times New Roman"/>
          <w:color w:val="000000"/>
          <w:szCs w:val="24"/>
        </w:rPr>
        <w:t>OysterFutures was the participatory modeling setting in which we studied the longitudinal changes in stakeholders’ salience, credibility, and legitimacy attitudes towards scientific models. Over the course of nine facilitated, closed workshops, a diverse group of stakeholders iteratively developed a scientific model to forecast the effects of different management options on outcomes related to oyster abundance, harvest, and environmental performance measures. Using the model, stakeholders considered a variety of oyster management and policy options, including enforcement, rotational harvest, habitat modification and restoration, and combinations of options that included multiple management options in a single model run. Model runs fed into recommendations that were developed for the Maryland Department of Natural Resources (DNR), the agency in charge of Maryland fisheries management. </w:t>
      </w:r>
    </w:p>
    <w:p w14:paraId="7B65BC41" w14:textId="113BD2A1" w:rsidR="00DE23E8" w:rsidRDefault="00E863DF" w:rsidP="0013312C">
      <w:pPr>
        <w:spacing w:before="0" w:after="0"/>
        <w:ind w:firstLine="720"/>
        <w:rPr>
          <w:rFonts w:eastAsia="Times New Roman" w:cs="Times New Roman"/>
          <w:color w:val="000000"/>
          <w:szCs w:val="24"/>
        </w:rPr>
      </w:pPr>
      <w:r w:rsidRPr="00E863DF">
        <w:rPr>
          <w:rFonts w:eastAsia="Times New Roman" w:cs="Times New Roman"/>
          <w:color w:val="000000"/>
          <w:szCs w:val="24"/>
        </w:rPr>
        <w:t xml:space="preserve">During OysterFutures, facilitators emphasized that the scientific model was a tool to help stakeholders make decisions and was not the sole guiding force. The model was acting as a boundary object that aided facilitation; it was used to create linkages between environmental science and policy and between different stakeholder sub-group knowledge (White et al. 2008, Lejano and Ingram 2009, White et al. 2010). While boundary objects like scientific models can “foster integrative deliberation” (Lejano and Ingram 2009, p. 653), they are sometimes associated with “mutual misunderstanding”, where different stakeholder sub-groups don’t see the model in the same way (Borowski and Hare 2007 p. 1049). This can result in different attitudes towards models by different stakeholder groups, and therefore different levels of willingness to use the model to inform decision-making. </w:t>
      </w:r>
    </w:p>
    <w:p w14:paraId="1B8CC07C" w14:textId="43C2D5D0" w:rsidR="005274D1" w:rsidRDefault="005274D1" w:rsidP="005274D1">
      <w:pPr>
        <w:spacing w:before="0" w:after="0"/>
        <w:rPr>
          <w:rFonts w:eastAsia="Times New Roman" w:cs="Times New Roman"/>
          <w:color w:val="000000"/>
          <w:szCs w:val="24"/>
        </w:rPr>
      </w:pPr>
    </w:p>
    <w:p w14:paraId="2491534C" w14:textId="56F9F002" w:rsidR="005274D1" w:rsidRPr="00EA1C09" w:rsidRDefault="005274D1" w:rsidP="005274D1">
      <w:pPr>
        <w:spacing w:before="0" w:after="0"/>
        <w:rPr>
          <w:rFonts w:eastAsia="Times New Roman" w:cs="Times New Roman"/>
          <w:color w:val="000000"/>
          <w:szCs w:val="24"/>
          <w:u w:val="single"/>
        </w:rPr>
      </w:pPr>
      <w:r w:rsidRPr="00EA1C09">
        <w:rPr>
          <w:rFonts w:eastAsia="Times New Roman" w:cs="Times New Roman"/>
          <w:color w:val="000000"/>
          <w:szCs w:val="24"/>
          <w:u w:val="single"/>
        </w:rPr>
        <w:t>References</w:t>
      </w:r>
    </w:p>
    <w:p w14:paraId="2A58B426" w14:textId="77777777" w:rsidR="005274D1" w:rsidRDefault="005274D1" w:rsidP="005274D1">
      <w:pPr>
        <w:spacing w:before="0" w:after="0"/>
        <w:rPr>
          <w:rFonts w:ascii="Arial" w:hAnsi="Arial" w:cs="Arial"/>
          <w:color w:val="000000"/>
        </w:rPr>
      </w:pPr>
    </w:p>
    <w:p w14:paraId="0C2E9E34" w14:textId="16B054AC" w:rsidR="00870E3F" w:rsidRPr="00EA1C09" w:rsidRDefault="00870E3F" w:rsidP="005274D1">
      <w:pPr>
        <w:spacing w:before="0" w:after="0"/>
        <w:rPr>
          <w:rFonts w:cs="Times New Roman"/>
          <w:color w:val="000000"/>
          <w:szCs w:val="24"/>
        </w:rPr>
      </w:pPr>
      <w:r w:rsidRPr="00EA1C09">
        <w:rPr>
          <w:rFonts w:cs="Times New Roman"/>
          <w:color w:val="000000"/>
          <w:szCs w:val="24"/>
        </w:rPr>
        <w:t xml:space="preserve">Addison, SJ., &amp; Thorpe, SJ. (2004). Factors involved in the formation of attitudes towards those who are mentally ill. </w:t>
      </w:r>
      <w:r w:rsidRPr="00EA1C09">
        <w:rPr>
          <w:rFonts w:cs="Times New Roman"/>
          <w:i/>
          <w:iCs/>
          <w:color w:val="000000"/>
          <w:szCs w:val="24"/>
        </w:rPr>
        <w:t>Soc Psychiatry Psychiatr Epidemiol</w:t>
      </w:r>
      <w:r w:rsidRPr="00EA1C09">
        <w:rPr>
          <w:rFonts w:cs="Times New Roman"/>
          <w:color w:val="000000"/>
          <w:szCs w:val="24"/>
        </w:rPr>
        <w:t xml:space="preserve"> 39:228-234.</w:t>
      </w:r>
    </w:p>
    <w:p w14:paraId="05ACFECA" w14:textId="1E512828" w:rsidR="00870E3F" w:rsidRPr="00EA1C09" w:rsidRDefault="00870E3F" w:rsidP="005274D1">
      <w:pPr>
        <w:spacing w:before="0" w:after="0"/>
        <w:rPr>
          <w:rFonts w:cs="Times New Roman"/>
          <w:color w:val="000000"/>
          <w:szCs w:val="24"/>
        </w:rPr>
      </w:pPr>
    </w:p>
    <w:p w14:paraId="671812F3" w14:textId="65D3FEB7" w:rsidR="005D405E" w:rsidRPr="00EA1C09" w:rsidRDefault="005D405E" w:rsidP="005274D1">
      <w:pPr>
        <w:spacing w:before="0" w:after="0"/>
        <w:rPr>
          <w:rFonts w:cs="Times New Roman"/>
          <w:color w:val="000000"/>
          <w:szCs w:val="24"/>
        </w:rPr>
      </w:pPr>
      <w:r w:rsidRPr="00EA1C09">
        <w:rPr>
          <w:rFonts w:cs="Times New Roman"/>
          <w:color w:val="000000"/>
          <w:szCs w:val="24"/>
        </w:rPr>
        <w:t xml:space="preserve">Andersen, DF., Richardson, GP., &amp; Vennix, JAM. (1997). Group model building: Adding more science to the craft. </w:t>
      </w:r>
      <w:r w:rsidRPr="00EA1C09">
        <w:rPr>
          <w:rFonts w:cs="Times New Roman"/>
          <w:i/>
          <w:iCs/>
          <w:color w:val="000000"/>
          <w:szCs w:val="24"/>
        </w:rPr>
        <w:t>System Dynamics Review</w:t>
      </w:r>
      <w:r w:rsidRPr="00EA1C09">
        <w:rPr>
          <w:rFonts w:cs="Times New Roman"/>
          <w:color w:val="000000"/>
          <w:szCs w:val="24"/>
        </w:rPr>
        <w:t xml:space="preserve"> 13:187-201.</w:t>
      </w:r>
    </w:p>
    <w:p w14:paraId="10DFA92C" w14:textId="0F46CBE2" w:rsidR="007E3770" w:rsidRPr="00EA1C09" w:rsidRDefault="007E3770" w:rsidP="005274D1">
      <w:pPr>
        <w:spacing w:before="0" w:after="0"/>
        <w:rPr>
          <w:rFonts w:cs="Times New Roman"/>
          <w:color w:val="000000"/>
          <w:szCs w:val="24"/>
        </w:rPr>
      </w:pPr>
    </w:p>
    <w:p w14:paraId="04734159" w14:textId="080E0514" w:rsidR="007E3770" w:rsidRPr="00EA1C09" w:rsidRDefault="007E3770" w:rsidP="005274D1">
      <w:pPr>
        <w:spacing w:before="0" w:after="0"/>
        <w:rPr>
          <w:rFonts w:cs="Times New Roman"/>
          <w:color w:val="000000"/>
          <w:szCs w:val="24"/>
        </w:rPr>
      </w:pPr>
      <w:r w:rsidRPr="00EA1C09">
        <w:rPr>
          <w:rFonts w:cs="Times New Roman"/>
          <w:color w:val="000000"/>
          <w:szCs w:val="24"/>
        </w:rPr>
        <w:t>Barnhardt, R., &amp; Kawagley, AO. (2005).</w:t>
      </w:r>
      <w:r w:rsidRPr="00EA1C09">
        <w:rPr>
          <w:rFonts w:cs="Times New Roman"/>
          <w:i/>
          <w:iCs/>
          <w:color w:val="000000"/>
          <w:szCs w:val="24"/>
        </w:rPr>
        <w:t xml:space="preserve"> Indigenous Knowledge Systems and Alaska Native Ways of Knowing. </w:t>
      </w:r>
      <w:r w:rsidRPr="00EA1C09">
        <w:rPr>
          <w:rFonts w:cs="Times New Roman"/>
          <w:color w:val="000000"/>
          <w:szCs w:val="24"/>
        </w:rPr>
        <w:t>Anthropology and Education Quarterly 36(1):8-23.</w:t>
      </w:r>
    </w:p>
    <w:p w14:paraId="1CE57848" w14:textId="608552AD" w:rsidR="007E3770" w:rsidRPr="00EA1C09" w:rsidRDefault="007E3770" w:rsidP="005274D1">
      <w:pPr>
        <w:spacing w:before="0" w:after="0"/>
        <w:rPr>
          <w:rFonts w:cs="Times New Roman"/>
          <w:color w:val="000000"/>
          <w:szCs w:val="24"/>
        </w:rPr>
      </w:pPr>
    </w:p>
    <w:p w14:paraId="75C1975A" w14:textId="3BC93910"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Beach, LR. (1997). </w:t>
      </w:r>
      <w:r w:rsidRPr="00EA1C09">
        <w:rPr>
          <w:rFonts w:cs="Times New Roman"/>
          <w:i/>
          <w:iCs/>
          <w:color w:val="000000"/>
          <w:szCs w:val="24"/>
        </w:rPr>
        <w:t>The psychology of decision making: People in organizations</w:t>
      </w:r>
      <w:r w:rsidRPr="00EA1C09">
        <w:rPr>
          <w:rFonts w:cs="Times New Roman"/>
          <w:color w:val="000000"/>
          <w:szCs w:val="24"/>
        </w:rPr>
        <w:t>. Thousand Oaks: Sage.</w:t>
      </w:r>
    </w:p>
    <w:p w14:paraId="0752093D" w14:textId="7DA8C210" w:rsidR="007E3770" w:rsidRPr="00EA1C09" w:rsidRDefault="007E3770" w:rsidP="005274D1">
      <w:pPr>
        <w:spacing w:before="0" w:after="0"/>
        <w:rPr>
          <w:rFonts w:cs="Times New Roman"/>
          <w:color w:val="000000"/>
          <w:szCs w:val="24"/>
        </w:rPr>
      </w:pPr>
    </w:p>
    <w:p w14:paraId="4E29DFF0" w14:textId="4D392647" w:rsidR="00C56FE2" w:rsidRPr="00EA1C09" w:rsidRDefault="00C56FE2" w:rsidP="005274D1">
      <w:pPr>
        <w:spacing w:before="0" w:after="0"/>
        <w:rPr>
          <w:rFonts w:cs="Times New Roman"/>
          <w:color w:val="000000"/>
          <w:szCs w:val="24"/>
        </w:rPr>
      </w:pPr>
      <w:r w:rsidRPr="00EA1C09">
        <w:rPr>
          <w:rFonts w:cs="Times New Roman"/>
          <w:color w:val="000000"/>
          <w:szCs w:val="24"/>
        </w:rPr>
        <w:t xml:space="preserve">Becker, MH. (1970). Sociometric location and innovativeness: reformulation and extension of the diffusion model. </w:t>
      </w:r>
      <w:r w:rsidRPr="00EA1C09">
        <w:rPr>
          <w:rFonts w:cs="Times New Roman"/>
          <w:i/>
          <w:iCs/>
          <w:color w:val="000000"/>
          <w:szCs w:val="24"/>
        </w:rPr>
        <w:t xml:space="preserve">American Sociological Review </w:t>
      </w:r>
      <w:r w:rsidRPr="00EA1C09">
        <w:rPr>
          <w:rFonts w:cs="Times New Roman"/>
          <w:color w:val="000000"/>
          <w:szCs w:val="24"/>
        </w:rPr>
        <w:t>35:267-282.</w:t>
      </w:r>
    </w:p>
    <w:p w14:paraId="65EA847A" w14:textId="77777777" w:rsidR="00C56FE2" w:rsidRPr="00EA1C09" w:rsidRDefault="00C56FE2" w:rsidP="005274D1">
      <w:pPr>
        <w:spacing w:before="0" w:after="0"/>
        <w:rPr>
          <w:rFonts w:cs="Times New Roman"/>
          <w:color w:val="000000"/>
          <w:szCs w:val="24"/>
        </w:rPr>
      </w:pPr>
    </w:p>
    <w:p w14:paraId="2A084CAF" w14:textId="138FE0A2"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Berkes, F. (2009). Indigenous ways of knowing and the study of environmental change. </w:t>
      </w:r>
      <w:r w:rsidRPr="00EA1C09">
        <w:rPr>
          <w:rFonts w:cs="Times New Roman"/>
          <w:i/>
          <w:iCs/>
          <w:color w:val="000000"/>
          <w:szCs w:val="24"/>
        </w:rPr>
        <w:t>Journal of the Royal Society of New Zealand</w:t>
      </w:r>
      <w:r w:rsidRPr="00EA1C09">
        <w:rPr>
          <w:rFonts w:cs="Times New Roman"/>
          <w:color w:val="000000"/>
          <w:szCs w:val="24"/>
        </w:rPr>
        <w:t>. 39(4):151-156.</w:t>
      </w:r>
    </w:p>
    <w:p w14:paraId="11A963C5" w14:textId="02AE6697" w:rsidR="00C56FE2" w:rsidRPr="00EA1C09" w:rsidRDefault="00C56FE2" w:rsidP="005274D1">
      <w:pPr>
        <w:spacing w:before="0" w:after="0"/>
        <w:rPr>
          <w:rFonts w:cs="Times New Roman"/>
          <w:color w:val="000000"/>
          <w:szCs w:val="24"/>
        </w:rPr>
      </w:pPr>
    </w:p>
    <w:p w14:paraId="77A26F37" w14:textId="43996EAC" w:rsidR="00C56FE2" w:rsidRPr="00EA1C09" w:rsidRDefault="00C56FE2" w:rsidP="005274D1">
      <w:pPr>
        <w:spacing w:before="0" w:after="0"/>
        <w:rPr>
          <w:rFonts w:cs="Times New Roman"/>
          <w:color w:val="000000"/>
          <w:szCs w:val="24"/>
        </w:rPr>
      </w:pPr>
      <w:r w:rsidRPr="00EA1C09">
        <w:rPr>
          <w:rFonts w:cs="Times New Roman"/>
          <w:color w:val="000000"/>
          <w:szCs w:val="24"/>
        </w:rPr>
        <w:t xml:space="preserve">Borowski, I., &amp; Hare, M. (2007). Exploring the Gap Between Water Managers and Researchers: Difficulties of Model-Based Tools to Support Practical Water Management. </w:t>
      </w:r>
      <w:r w:rsidRPr="00EA1C09">
        <w:rPr>
          <w:rFonts w:cs="Times New Roman"/>
          <w:i/>
          <w:iCs/>
          <w:color w:val="000000"/>
          <w:szCs w:val="24"/>
        </w:rPr>
        <w:t>Water Resources Management</w:t>
      </w:r>
      <w:r w:rsidRPr="00EA1C09">
        <w:rPr>
          <w:rFonts w:cs="Times New Roman"/>
          <w:color w:val="000000"/>
          <w:szCs w:val="24"/>
        </w:rPr>
        <w:t xml:space="preserve"> 21(7):1049-1074.</w:t>
      </w:r>
    </w:p>
    <w:p w14:paraId="419F6E40" w14:textId="77777777" w:rsidR="005D405E" w:rsidRPr="00EA1C09" w:rsidRDefault="005D405E" w:rsidP="005274D1">
      <w:pPr>
        <w:spacing w:before="0" w:after="0"/>
        <w:rPr>
          <w:rFonts w:cs="Times New Roman"/>
          <w:color w:val="000000"/>
          <w:szCs w:val="24"/>
        </w:rPr>
      </w:pPr>
    </w:p>
    <w:p w14:paraId="2A7E4ED7" w14:textId="117E9ED1" w:rsidR="00870E3F" w:rsidRPr="00EA1C09" w:rsidRDefault="00870E3F" w:rsidP="005274D1">
      <w:pPr>
        <w:spacing w:before="0" w:after="0"/>
        <w:rPr>
          <w:rFonts w:cs="Times New Roman"/>
          <w:color w:val="000000"/>
          <w:szCs w:val="24"/>
        </w:rPr>
      </w:pPr>
      <w:r w:rsidRPr="00EA1C09">
        <w:rPr>
          <w:rFonts w:cs="Times New Roman"/>
          <w:color w:val="000000"/>
          <w:szCs w:val="24"/>
        </w:rPr>
        <w:lastRenderedPageBreak/>
        <w:t xml:space="preserve">Bottomley, PA., &amp; Doyle, JR. (1996). The formation of attitudes towards brand extensions: Testing and generalising Aaker and Keller’s model. </w:t>
      </w:r>
      <w:r w:rsidRPr="00EA1C09">
        <w:rPr>
          <w:rFonts w:cs="Times New Roman"/>
          <w:i/>
          <w:iCs/>
          <w:color w:val="000000"/>
          <w:szCs w:val="24"/>
        </w:rPr>
        <w:t xml:space="preserve">International Journal of Research in Marketing </w:t>
      </w:r>
      <w:r w:rsidRPr="00EA1C09">
        <w:rPr>
          <w:rFonts w:cs="Times New Roman"/>
          <w:color w:val="000000"/>
          <w:szCs w:val="24"/>
        </w:rPr>
        <w:t>13(4):365-377.</w:t>
      </w:r>
    </w:p>
    <w:p w14:paraId="2CCE6FE7" w14:textId="77777777" w:rsidR="00870E3F" w:rsidRPr="00EA1C09" w:rsidRDefault="00870E3F" w:rsidP="005274D1">
      <w:pPr>
        <w:spacing w:before="0" w:after="0"/>
        <w:rPr>
          <w:rFonts w:cs="Times New Roman"/>
          <w:color w:val="000000"/>
          <w:szCs w:val="24"/>
        </w:rPr>
      </w:pPr>
    </w:p>
    <w:p w14:paraId="104572CE" w14:textId="24E689A9" w:rsidR="00870E3F" w:rsidRPr="00EA1C09" w:rsidRDefault="00870E3F" w:rsidP="005274D1">
      <w:pPr>
        <w:spacing w:before="0" w:after="0"/>
        <w:rPr>
          <w:rFonts w:cs="Times New Roman"/>
          <w:color w:val="000000"/>
          <w:szCs w:val="24"/>
        </w:rPr>
      </w:pPr>
      <w:r w:rsidRPr="00EA1C09">
        <w:rPr>
          <w:rFonts w:cs="Times New Roman"/>
          <w:color w:val="000000"/>
          <w:szCs w:val="24"/>
        </w:rPr>
        <w:t xml:space="preserve">Cash, DW., Clark, WC., Alcock, F., Dickson, NM., Eckley, N., Guston, DH., Jager, J., &amp; Mitchell, RB. (2003). Knowledge systems for sustainable development. </w:t>
      </w:r>
      <w:r w:rsidRPr="00EA1C09">
        <w:rPr>
          <w:rFonts w:cs="Times New Roman"/>
          <w:i/>
          <w:iCs/>
          <w:color w:val="000000"/>
          <w:szCs w:val="24"/>
        </w:rPr>
        <w:t xml:space="preserve">PNAS </w:t>
      </w:r>
      <w:r w:rsidRPr="00EA1C09">
        <w:rPr>
          <w:rFonts w:cs="Times New Roman"/>
          <w:color w:val="000000"/>
          <w:szCs w:val="24"/>
        </w:rPr>
        <w:t>11(14):8086-8091.</w:t>
      </w:r>
    </w:p>
    <w:p w14:paraId="3B3BD456" w14:textId="44597124" w:rsidR="007E3770" w:rsidRPr="00EA1C09" w:rsidRDefault="007E3770" w:rsidP="005274D1">
      <w:pPr>
        <w:spacing w:before="0" w:after="0"/>
        <w:rPr>
          <w:rFonts w:cs="Times New Roman"/>
          <w:color w:val="000000"/>
          <w:szCs w:val="24"/>
        </w:rPr>
      </w:pPr>
    </w:p>
    <w:p w14:paraId="365658E1" w14:textId="504393AC"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Cvitanovic, C., Cunningham, R., Dowd, AM., Howden, SM., &amp; van Putten, EI. (2017). Using Social Network Analysis to Monitor and Assess the Effectiveness of Knowledge Brokers at Connecting Scientists and Decision-Makers: An Australian case study. </w:t>
      </w:r>
      <w:r w:rsidRPr="00EA1C09">
        <w:rPr>
          <w:rFonts w:cs="Times New Roman"/>
          <w:i/>
          <w:iCs/>
          <w:color w:val="000000"/>
          <w:szCs w:val="24"/>
        </w:rPr>
        <w:t>Environmental Policy and Governance</w:t>
      </w:r>
      <w:r w:rsidRPr="00EA1C09">
        <w:rPr>
          <w:rFonts w:cs="Times New Roman"/>
          <w:color w:val="000000"/>
          <w:szCs w:val="24"/>
        </w:rPr>
        <w:t xml:space="preserve"> 27(3):256-269. </w:t>
      </w:r>
    </w:p>
    <w:p w14:paraId="133B0581" w14:textId="6525FC0C" w:rsidR="00C82621" w:rsidRPr="00EA1C09" w:rsidRDefault="00C82621" w:rsidP="005274D1">
      <w:pPr>
        <w:spacing w:before="0" w:after="0"/>
        <w:rPr>
          <w:rFonts w:cs="Times New Roman"/>
          <w:color w:val="000000"/>
          <w:szCs w:val="24"/>
        </w:rPr>
      </w:pPr>
    </w:p>
    <w:p w14:paraId="7D43453A" w14:textId="772CEE08" w:rsidR="00C82621" w:rsidRPr="00EA1C09" w:rsidRDefault="00C82621" w:rsidP="005274D1">
      <w:pPr>
        <w:spacing w:before="0" w:after="0"/>
        <w:rPr>
          <w:rFonts w:cs="Times New Roman"/>
          <w:color w:val="000000"/>
          <w:szCs w:val="24"/>
        </w:rPr>
      </w:pPr>
      <w:r w:rsidRPr="00EA1C09">
        <w:rPr>
          <w:rFonts w:cs="Times New Roman"/>
          <w:color w:val="000000"/>
          <w:szCs w:val="24"/>
        </w:rPr>
        <w:t xml:space="preserve">Duncan, R. (2016). Ways of knowing – out-of-sync or incompatible? Framing water quality and farmers’ encounters with science in the regulation of non-point source pollution in the Canterbury region of New Zealand. </w:t>
      </w:r>
      <w:r w:rsidRPr="00EA1C09">
        <w:rPr>
          <w:rFonts w:cs="Times New Roman"/>
          <w:i/>
          <w:iCs/>
          <w:color w:val="000000"/>
          <w:szCs w:val="24"/>
        </w:rPr>
        <w:t>Environmental Science &amp; Policy</w:t>
      </w:r>
      <w:r w:rsidRPr="00EA1C09">
        <w:rPr>
          <w:rFonts w:cs="Times New Roman"/>
          <w:color w:val="000000"/>
          <w:szCs w:val="24"/>
        </w:rPr>
        <w:t xml:space="preserve"> 55:151-157.</w:t>
      </w:r>
    </w:p>
    <w:p w14:paraId="11B4A9C9" w14:textId="07C31831" w:rsidR="007E3770" w:rsidRPr="00EA1C09" w:rsidRDefault="007E3770" w:rsidP="005274D1">
      <w:pPr>
        <w:spacing w:before="0" w:after="0"/>
        <w:rPr>
          <w:rFonts w:cs="Times New Roman"/>
          <w:color w:val="000000"/>
          <w:szCs w:val="24"/>
        </w:rPr>
      </w:pPr>
    </w:p>
    <w:p w14:paraId="6283C48C" w14:textId="4A14AA12"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Erickson, B. (1988). The relational basis of attitudes. In </w:t>
      </w:r>
      <w:r w:rsidRPr="00EA1C09">
        <w:rPr>
          <w:rFonts w:cs="Times New Roman"/>
          <w:i/>
          <w:iCs/>
          <w:color w:val="000000"/>
          <w:szCs w:val="24"/>
        </w:rPr>
        <w:t>Social structures: A network approach</w:t>
      </w:r>
      <w:r w:rsidRPr="00EA1C09">
        <w:rPr>
          <w:rFonts w:cs="Times New Roman"/>
          <w:color w:val="000000"/>
          <w:szCs w:val="24"/>
        </w:rPr>
        <w:t>, ed. B. Wellman and S. D. Berkowitz, 99–121. Cambridge, UK: Cambridge University Press.</w:t>
      </w:r>
    </w:p>
    <w:p w14:paraId="2F57C0B2" w14:textId="3B4CEBFB" w:rsidR="00C82621" w:rsidRPr="00EA1C09" w:rsidRDefault="00C82621" w:rsidP="005274D1">
      <w:pPr>
        <w:spacing w:before="0" w:after="0"/>
        <w:rPr>
          <w:rFonts w:cs="Times New Roman"/>
          <w:color w:val="000000"/>
          <w:szCs w:val="24"/>
        </w:rPr>
      </w:pPr>
    </w:p>
    <w:p w14:paraId="1105D128" w14:textId="10346F34" w:rsidR="00C82621" w:rsidRPr="00EA1C09" w:rsidRDefault="00C82621" w:rsidP="005274D1">
      <w:pPr>
        <w:spacing w:before="0" w:after="0"/>
        <w:rPr>
          <w:rFonts w:cs="Times New Roman"/>
          <w:color w:val="000000"/>
          <w:szCs w:val="24"/>
        </w:rPr>
      </w:pPr>
      <w:r w:rsidRPr="00EA1C09">
        <w:rPr>
          <w:rFonts w:cs="Times New Roman"/>
          <w:color w:val="000000"/>
          <w:szCs w:val="24"/>
        </w:rPr>
        <w:t xml:space="preserve">Falconi, SM., &amp; Palmer, RN. (2017). An interdisciplinary framework for participatory modeling design and evaluation – What makes models effective participatory decision tools? </w:t>
      </w:r>
      <w:r w:rsidRPr="00EA1C09">
        <w:rPr>
          <w:rFonts w:cs="Times New Roman"/>
          <w:i/>
          <w:iCs/>
          <w:color w:val="000000"/>
          <w:szCs w:val="24"/>
        </w:rPr>
        <w:t>Water Resour. Res.</w:t>
      </w:r>
      <w:r w:rsidRPr="00EA1C09">
        <w:rPr>
          <w:rFonts w:cs="Times New Roman"/>
          <w:color w:val="000000"/>
          <w:szCs w:val="24"/>
        </w:rPr>
        <w:t xml:space="preserve"> 53:1625-1645.</w:t>
      </w:r>
    </w:p>
    <w:p w14:paraId="469ADF01" w14:textId="2194FB2F" w:rsidR="007E3770" w:rsidRPr="00EA1C09" w:rsidRDefault="007E3770" w:rsidP="005274D1">
      <w:pPr>
        <w:spacing w:before="0" w:after="0"/>
        <w:rPr>
          <w:rFonts w:cs="Times New Roman"/>
          <w:color w:val="000000"/>
          <w:szCs w:val="24"/>
        </w:rPr>
      </w:pPr>
    </w:p>
    <w:p w14:paraId="6B750D3E" w14:textId="011FA8D1"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Festinger, L. (1954). A theory of social comparison processes. </w:t>
      </w:r>
      <w:r w:rsidRPr="00EA1C09">
        <w:rPr>
          <w:rFonts w:cs="Times New Roman"/>
          <w:i/>
          <w:iCs/>
          <w:color w:val="000000"/>
          <w:szCs w:val="24"/>
        </w:rPr>
        <w:t>Human Relations</w:t>
      </w:r>
      <w:r w:rsidRPr="00EA1C09">
        <w:rPr>
          <w:rFonts w:cs="Times New Roman"/>
          <w:color w:val="000000"/>
          <w:szCs w:val="24"/>
        </w:rPr>
        <w:t xml:space="preserve"> 7:117-140.</w:t>
      </w:r>
    </w:p>
    <w:p w14:paraId="369C0BC1" w14:textId="39A8FFC4" w:rsidR="007E3770" w:rsidRPr="00EA1C09" w:rsidRDefault="007E3770" w:rsidP="005274D1">
      <w:pPr>
        <w:spacing w:before="0" w:after="0"/>
        <w:rPr>
          <w:rFonts w:cs="Times New Roman"/>
          <w:color w:val="000000"/>
          <w:szCs w:val="24"/>
        </w:rPr>
      </w:pPr>
    </w:p>
    <w:p w14:paraId="2368E316" w14:textId="452BE08A"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Fischer, AP., &amp; Jasny, L. (2017). Capacity to adapt to environmental change: evidence from a network of organizations concerned with increasing wildfire rick. </w:t>
      </w:r>
      <w:r w:rsidRPr="00EA1C09">
        <w:rPr>
          <w:rFonts w:cs="Times New Roman"/>
          <w:i/>
          <w:iCs/>
          <w:color w:val="000000"/>
          <w:szCs w:val="24"/>
        </w:rPr>
        <w:t>Ecology and Society</w:t>
      </w:r>
      <w:r w:rsidRPr="00EA1C09">
        <w:rPr>
          <w:rFonts w:cs="Times New Roman"/>
          <w:color w:val="000000"/>
          <w:szCs w:val="24"/>
        </w:rPr>
        <w:t xml:space="preserve"> 22(1):23.</w:t>
      </w:r>
    </w:p>
    <w:p w14:paraId="1E593F96" w14:textId="5D382549" w:rsidR="00C82621" w:rsidRPr="00EA1C09" w:rsidRDefault="00C82621" w:rsidP="005274D1">
      <w:pPr>
        <w:spacing w:before="0" w:after="0"/>
        <w:rPr>
          <w:rFonts w:cs="Times New Roman"/>
          <w:color w:val="000000"/>
          <w:szCs w:val="24"/>
        </w:rPr>
      </w:pPr>
    </w:p>
    <w:p w14:paraId="4DFB3F8E" w14:textId="74D3C412" w:rsidR="00C82621" w:rsidRPr="00EA1C09" w:rsidRDefault="00C82621" w:rsidP="005274D1">
      <w:pPr>
        <w:spacing w:before="0" w:after="0"/>
        <w:rPr>
          <w:rFonts w:cs="Times New Roman"/>
          <w:color w:val="000000"/>
          <w:szCs w:val="24"/>
        </w:rPr>
      </w:pPr>
      <w:r w:rsidRPr="00EA1C09">
        <w:rPr>
          <w:rFonts w:cs="Times New Roman"/>
          <w:color w:val="000000"/>
          <w:szCs w:val="24"/>
        </w:rPr>
        <w:t xml:space="preserve">Gould, RV., &amp; Fernandez, RM. (1989). Structures of Mediation: A Formal Approach to Brokerage in Transaction Networks. </w:t>
      </w:r>
      <w:r w:rsidRPr="00EA1C09">
        <w:rPr>
          <w:rFonts w:cs="Times New Roman"/>
          <w:i/>
          <w:iCs/>
          <w:color w:val="000000"/>
          <w:szCs w:val="24"/>
        </w:rPr>
        <w:t>Sociological Methodology</w:t>
      </w:r>
      <w:r w:rsidRPr="00EA1C09">
        <w:rPr>
          <w:rFonts w:cs="Times New Roman"/>
          <w:color w:val="000000"/>
          <w:szCs w:val="24"/>
        </w:rPr>
        <w:t xml:space="preserve"> 19:89-126.</w:t>
      </w:r>
    </w:p>
    <w:p w14:paraId="4D7DDD59" w14:textId="14EB8F03" w:rsidR="00870E3F" w:rsidRPr="00EA1C09" w:rsidRDefault="00870E3F" w:rsidP="005274D1">
      <w:pPr>
        <w:spacing w:before="0" w:after="0"/>
        <w:rPr>
          <w:rFonts w:cs="Times New Roman"/>
          <w:color w:val="000000"/>
          <w:szCs w:val="24"/>
        </w:rPr>
      </w:pPr>
    </w:p>
    <w:p w14:paraId="2BDA1931" w14:textId="576CFBC5" w:rsidR="00870E3F" w:rsidRPr="00EA1C09" w:rsidRDefault="00870E3F" w:rsidP="005274D1">
      <w:pPr>
        <w:spacing w:before="0" w:after="0"/>
        <w:rPr>
          <w:rFonts w:cs="Times New Roman"/>
          <w:color w:val="000000"/>
          <w:szCs w:val="24"/>
        </w:rPr>
      </w:pPr>
      <w:r w:rsidRPr="00EA1C09">
        <w:rPr>
          <w:rFonts w:cs="Times New Roman"/>
          <w:color w:val="000000"/>
          <w:szCs w:val="24"/>
        </w:rPr>
        <w:t xml:space="preserve">Happer, C., &amp; Philo, G. (2016). New approaches to understanding the role of the news media in the formation of public attitudes and behaviours on climate change. </w:t>
      </w:r>
      <w:r w:rsidRPr="00EA1C09">
        <w:rPr>
          <w:rFonts w:cs="Times New Roman"/>
          <w:i/>
          <w:iCs/>
          <w:color w:val="000000"/>
          <w:szCs w:val="24"/>
        </w:rPr>
        <w:t xml:space="preserve">European Journal of Communication </w:t>
      </w:r>
      <w:r w:rsidRPr="00EA1C09">
        <w:rPr>
          <w:rFonts w:cs="Times New Roman"/>
          <w:color w:val="000000"/>
          <w:szCs w:val="24"/>
        </w:rPr>
        <w:t>31(2):136-151</w:t>
      </w:r>
      <w:r w:rsidR="005D405E" w:rsidRPr="00EA1C09">
        <w:rPr>
          <w:rFonts w:cs="Times New Roman"/>
          <w:color w:val="000000"/>
          <w:szCs w:val="24"/>
        </w:rPr>
        <w:t>.</w:t>
      </w:r>
    </w:p>
    <w:p w14:paraId="0B03AC15" w14:textId="01D9B65A" w:rsidR="007E3770" w:rsidRPr="00EA1C09" w:rsidRDefault="007E3770" w:rsidP="005274D1">
      <w:pPr>
        <w:spacing w:before="0" w:after="0"/>
        <w:rPr>
          <w:rFonts w:cs="Times New Roman"/>
          <w:color w:val="000000"/>
          <w:szCs w:val="24"/>
        </w:rPr>
      </w:pPr>
    </w:p>
    <w:p w14:paraId="1835470E" w14:textId="29DA463D"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Hargadon, AB. (2002). Brokering Knowledge: Linking Learning and Innovation. </w:t>
      </w:r>
      <w:r w:rsidRPr="00EA1C09">
        <w:rPr>
          <w:rFonts w:cs="Times New Roman"/>
          <w:i/>
          <w:iCs/>
          <w:color w:val="000000"/>
          <w:szCs w:val="24"/>
        </w:rPr>
        <w:t>Organizational Behavior</w:t>
      </w:r>
      <w:r w:rsidRPr="00EA1C09">
        <w:rPr>
          <w:rFonts w:cs="Times New Roman"/>
          <w:color w:val="000000"/>
          <w:szCs w:val="24"/>
        </w:rPr>
        <w:t xml:space="preserve"> 24:41-85.</w:t>
      </w:r>
    </w:p>
    <w:p w14:paraId="720DE69E" w14:textId="59249EF5" w:rsidR="005D405E" w:rsidRPr="00EA1C09" w:rsidRDefault="005D405E" w:rsidP="005274D1">
      <w:pPr>
        <w:spacing w:before="0" w:after="0"/>
        <w:rPr>
          <w:rFonts w:cs="Times New Roman"/>
          <w:color w:val="000000"/>
          <w:szCs w:val="24"/>
        </w:rPr>
      </w:pPr>
    </w:p>
    <w:p w14:paraId="6CF3054D" w14:textId="444F8607" w:rsidR="005D405E" w:rsidRPr="00EA1C09" w:rsidRDefault="005D405E" w:rsidP="005274D1">
      <w:pPr>
        <w:spacing w:before="0" w:after="0"/>
        <w:rPr>
          <w:rFonts w:cs="Times New Roman"/>
          <w:color w:val="000000"/>
          <w:szCs w:val="24"/>
        </w:rPr>
      </w:pPr>
      <w:r w:rsidRPr="00EA1C09">
        <w:rPr>
          <w:rFonts w:cs="Times New Roman"/>
          <w:color w:val="000000"/>
          <w:szCs w:val="24"/>
        </w:rPr>
        <w:t xml:space="preserve">Henly-Shepard, S., Gray, SA., &amp; Cox, LJ. (2015). The use of participatory modeling to promote social learning and facilitate community disaster planning. </w:t>
      </w:r>
      <w:r w:rsidRPr="00EA1C09">
        <w:rPr>
          <w:rFonts w:cs="Times New Roman"/>
          <w:i/>
          <w:iCs/>
          <w:color w:val="000000"/>
          <w:szCs w:val="24"/>
        </w:rPr>
        <w:t>Environmental Science and Policy</w:t>
      </w:r>
      <w:r w:rsidRPr="00EA1C09">
        <w:rPr>
          <w:rFonts w:cs="Times New Roman"/>
          <w:color w:val="000000"/>
          <w:szCs w:val="24"/>
        </w:rPr>
        <w:t xml:space="preserve"> 45:109-122.</w:t>
      </w:r>
    </w:p>
    <w:p w14:paraId="39D5A205" w14:textId="1B6A0C39" w:rsidR="007E3770" w:rsidRPr="00EA1C09" w:rsidRDefault="007E3770" w:rsidP="005274D1">
      <w:pPr>
        <w:spacing w:before="0" w:after="0"/>
        <w:rPr>
          <w:rFonts w:cs="Times New Roman"/>
          <w:color w:val="000000"/>
          <w:szCs w:val="24"/>
        </w:rPr>
      </w:pPr>
    </w:p>
    <w:p w14:paraId="4E63B1B6" w14:textId="365AE673"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Lane, D. (1994). Modeling as learning: A consultancy methodology for enhancing learning in management teams. In </w:t>
      </w:r>
      <w:r w:rsidRPr="00EA1C09">
        <w:rPr>
          <w:rFonts w:cs="Times New Roman"/>
          <w:i/>
          <w:iCs/>
          <w:color w:val="000000"/>
          <w:szCs w:val="24"/>
        </w:rPr>
        <w:t>Modeling for learning organisations</w:t>
      </w:r>
      <w:r w:rsidRPr="00EA1C09">
        <w:rPr>
          <w:rFonts w:cs="Times New Roman"/>
          <w:color w:val="000000"/>
          <w:szCs w:val="24"/>
        </w:rPr>
        <w:t>. Portland, Oregon: Productivity Press.</w:t>
      </w:r>
    </w:p>
    <w:p w14:paraId="05B7B8CE" w14:textId="77777777" w:rsidR="00870E3F" w:rsidRPr="00EA1C09" w:rsidRDefault="00870E3F" w:rsidP="005274D1">
      <w:pPr>
        <w:spacing w:before="0" w:after="0"/>
        <w:rPr>
          <w:rFonts w:cs="Times New Roman"/>
          <w:color w:val="000000"/>
          <w:szCs w:val="24"/>
        </w:rPr>
      </w:pPr>
    </w:p>
    <w:p w14:paraId="6EA9B933" w14:textId="7BDD03A2" w:rsidR="005274D1" w:rsidRPr="00EA1C09" w:rsidRDefault="005274D1" w:rsidP="005274D1">
      <w:pPr>
        <w:spacing w:before="0" w:after="0"/>
        <w:rPr>
          <w:rFonts w:cs="Times New Roman"/>
          <w:color w:val="000000"/>
          <w:szCs w:val="24"/>
        </w:rPr>
      </w:pPr>
      <w:r w:rsidRPr="00EA1C09">
        <w:rPr>
          <w:rFonts w:cs="Times New Roman"/>
          <w:color w:val="000000"/>
          <w:szCs w:val="24"/>
        </w:rPr>
        <w:t xml:space="preserve">Layzer, JA. (2008). </w:t>
      </w:r>
      <w:r w:rsidRPr="00EA1C09">
        <w:rPr>
          <w:rFonts w:cs="Times New Roman"/>
          <w:i/>
          <w:iCs/>
          <w:color w:val="000000"/>
          <w:szCs w:val="24"/>
        </w:rPr>
        <w:t>National Experiments: Ecosystem-Based Management and the Environment</w:t>
      </w:r>
      <w:r w:rsidRPr="00EA1C09">
        <w:rPr>
          <w:rFonts w:cs="Times New Roman"/>
          <w:color w:val="000000"/>
          <w:szCs w:val="24"/>
        </w:rPr>
        <w:t>. MIT Press, Cambridge, MA.</w:t>
      </w:r>
    </w:p>
    <w:p w14:paraId="68E15D27" w14:textId="77CEE01D" w:rsidR="00870E3F" w:rsidRPr="00EA1C09" w:rsidRDefault="00870E3F" w:rsidP="005274D1">
      <w:pPr>
        <w:spacing w:before="0" w:after="0"/>
        <w:rPr>
          <w:rFonts w:cs="Times New Roman"/>
          <w:color w:val="000000"/>
          <w:szCs w:val="24"/>
        </w:rPr>
      </w:pPr>
    </w:p>
    <w:p w14:paraId="5678AF85" w14:textId="70C5C33C" w:rsidR="00870E3F" w:rsidRPr="00EA1C09" w:rsidRDefault="00870E3F" w:rsidP="005274D1">
      <w:pPr>
        <w:spacing w:before="0" w:after="0"/>
        <w:rPr>
          <w:rFonts w:cs="Times New Roman"/>
          <w:color w:val="000000"/>
          <w:szCs w:val="24"/>
        </w:rPr>
      </w:pPr>
      <w:r w:rsidRPr="00EA1C09">
        <w:rPr>
          <w:rFonts w:cs="Times New Roman"/>
          <w:color w:val="000000"/>
          <w:szCs w:val="24"/>
        </w:rPr>
        <w:t xml:space="preserve">Lejano, RP., &amp; Ingram, H. (2009). Collaborative networks and new ways of knowing. </w:t>
      </w:r>
      <w:r w:rsidRPr="00EA1C09">
        <w:rPr>
          <w:rFonts w:cs="Times New Roman"/>
          <w:i/>
          <w:iCs/>
          <w:color w:val="000000"/>
          <w:szCs w:val="24"/>
        </w:rPr>
        <w:t>Environmental Science &amp; Policy</w:t>
      </w:r>
      <w:r w:rsidRPr="00EA1C09">
        <w:rPr>
          <w:rFonts w:cs="Times New Roman"/>
          <w:color w:val="000000"/>
          <w:szCs w:val="24"/>
        </w:rPr>
        <w:t xml:space="preserve"> 12:653-662.</w:t>
      </w:r>
    </w:p>
    <w:p w14:paraId="6DDFBE38" w14:textId="35DC5707" w:rsidR="007E3770" w:rsidRPr="00EA1C09" w:rsidRDefault="007E3770" w:rsidP="005274D1">
      <w:pPr>
        <w:spacing w:before="0" w:after="0"/>
        <w:rPr>
          <w:rFonts w:cs="Times New Roman"/>
          <w:color w:val="000000"/>
          <w:szCs w:val="24"/>
        </w:rPr>
      </w:pPr>
    </w:p>
    <w:p w14:paraId="6103819B" w14:textId="13FE4DA7"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Long, JC., Cunningham, FC., &amp; Braithwaite, J. (2013). Bridges, brokers and boundary spanners in collaborative networks: a systematic review. </w:t>
      </w:r>
      <w:r w:rsidRPr="00EA1C09">
        <w:rPr>
          <w:rFonts w:cs="Times New Roman"/>
          <w:i/>
          <w:iCs/>
          <w:color w:val="000000"/>
          <w:szCs w:val="24"/>
        </w:rPr>
        <w:t>BMC Health Services Research</w:t>
      </w:r>
      <w:r w:rsidRPr="00EA1C09">
        <w:rPr>
          <w:rFonts w:cs="Times New Roman"/>
          <w:color w:val="000000"/>
          <w:szCs w:val="24"/>
        </w:rPr>
        <w:t xml:space="preserve"> 13:158.</w:t>
      </w:r>
    </w:p>
    <w:p w14:paraId="34CD490F" w14:textId="71B72301" w:rsidR="007E3770" w:rsidRPr="00EA1C09" w:rsidRDefault="007E3770" w:rsidP="005274D1">
      <w:pPr>
        <w:spacing w:before="0" w:after="0"/>
        <w:rPr>
          <w:rFonts w:cs="Times New Roman"/>
          <w:color w:val="000000"/>
          <w:szCs w:val="24"/>
        </w:rPr>
      </w:pPr>
    </w:p>
    <w:p w14:paraId="19C6CECF" w14:textId="3C6ED0CA"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Marsden, PV. (1982). “Brokerage Behavior in Restricted Exchange Networks” In: </w:t>
      </w:r>
      <w:r w:rsidRPr="00EA1C09">
        <w:rPr>
          <w:rFonts w:cs="Times New Roman"/>
          <w:i/>
          <w:iCs/>
          <w:color w:val="000000"/>
          <w:szCs w:val="24"/>
        </w:rPr>
        <w:t>Social Structure and Network Analysis</w:t>
      </w:r>
      <w:r w:rsidRPr="00EA1C09">
        <w:rPr>
          <w:rFonts w:cs="Times New Roman"/>
          <w:color w:val="000000"/>
          <w:szCs w:val="24"/>
        </w:rPr>
        <w:t>. (eds) PV Marsden, N. Lin. p. 201-218. Beverly Hills, CA. Sage Publications.</w:t>
      </w:r>
    </w:p>
    <w:p w14:paraId="7DAC80BB" w14:textId="04C1E196" w:rsidR="00870E3F" w:rsidRPr="00EA1C09" w:rsidRDefault="00870E3F" w:rsidP="005274D1">
      <w:pPr>
        <w:spacing w:before="0" w:after="0"/>
        <w:rPr>
          <w:rFonts w:cs="Times New Roman"/>
          <w:color w:val="000000"/>
          <w:szCs w:val="24"/>
        </w:rPr>
      </w:pPr>
    </w:p>
    <w:p w14:paraId="1CF7F9F5" w14:textId="3815F466" w:rsidR="00870E3F" w:rsidRPr="00EA1C09" w:rsidRDefault="00870E3F" w:rsidP="005274D1">
      <w:pPr>
        <w:spacing w:before="0" w:after="0"/>
        <w:rPr>
          <w:rFonts w:cs="Times New Roman"/>
          <w:color w:val="000000"/>
          <w:szCs w:val="24"/>
        </w:rPr>
      </w:pPr>
      <w:r w:rsidRPr="00EA1C09">
        <w:rPr>
          <w:rFonts w:cs="Times New Roman"/>
          <w:color w:val="000000"/>
          <w:szCs w:val="24"/>
        </w:rPr>
        <w:t xml:space="preserve">Miller, TR., Baird, TD., Littlefield, CM., Kofinas, G., Stuart Chapin III, F., &amp; Redman, CL. (2008). Epistemological Pluralism: Reorganizing Interdisciplinary Research. </w:t>
      </w:r>
      <w:r w:rsidRPr="00EA1C09">
        <w:rPr>
          <w:rFonts w:cs="Times New Roman"/>
          <w:i/>
          <w:iCs/>
          <w:color w:val="000000"/>
          <w:szCs w:val="24"/>
        </w:rPr>
        <w:t>Ecology and Society</w:t>
      </w:r>
      <w:r w:rsidRPr="00EA1C09">
        <w:rPr>
          <w:rFonts w:cs="Times New Roman"/>
          <w:color w:val="000000"/>
          <w:szCs w:val="24"/>
        </w:rPr>
        <w:t xml:space="preserve"> 13(2): 46.</w:t>
      </w:r>
    </w:p>
    <w:p w14:paraId="3D4DCB04" w14:textId="367D8722" w:rsidR="00870E3F" w:rsidRPr="00EA1C09" w:rsidRDefault="00870E3F" w:rsidP="005274D1">
      <w:pPr>
        <w:spacing w:before="0" w:after="0"/>
        <w:rPr>
          <w:rFonts w:cs="Times New Roman"/>
          <w:color w:val="000000"/>
          <w:szCs w:val="24"/>
        </w:rPr>
      </w:pPr>
    </w:p>
    <w:p w14:paraId="08B5E8BD" w14:textId="6D388D8C" w:rsidR="00870E3F" w:rsidRPr="00EA1C09" w:rsidRDefault="00870E3F" w:rsidP="005274D1">
      <w:pPr>
        <w:spacing w:before="0" w:after="0"/>
        <w:rPr>
          <w:rFonts w:cs="Times New Roman"/>
          <w:color w:val="000000"/>
          <w:szCs w:val="24"/>
        </w:rPr>
      </w:pPr>
      <w:r w:rsidRPr="00EA1C09">
        <w:rPr>
          <w:rFonts w:cs="Times New Roman"/>
          <w:color w:val="000000"/>
          <w:szCs w:val="24"/>
        </w:rPr>
        <w:t>Moser, SC., &amp; Dilling, L. (2010). Communicating climate change: Opportunities and challenges for closing the science-action gap. In: R Norgaard, D Schlosberg &amp; J Dryzek (eds) The Oxford Handbook of Climate Change and Society. p. 161-174. Oxford, UK. Oxford University Press.</w:t>
      </w:r>
    </w:p>
    <w:p w14:paraId="1A2875CE" w14:textId="61E681E6" w:rsidR="005274D1" w:rsidRPr="00EA1C09" w:rsidRDefault="005274D1" w:rsidP="005274D1">
      <w:pPr>
        <w:spacing w:before="0" w:after="0"/>
        <w:rPr>
          <w:rFonts w:cs="Times New Roman"/>
          <w:color w:val="000000"/>
          <w:szCs w:val="24"/>
        </w:rPr>
      </w:pPr>
    </w:p>
    <w:p w14:paraId="631246E5" w14:textId="4F78D516" w:rsidR="005274D1" w:rsidRPr="00EA1C09" w:rsidRDefault="005274D1" w:rsidP="005274D1">
      <w:pPr>
        <w:spacing w:before="0" w:after="0"/>
        <w:rPr>
          <w:rFonts w:cs="Times New Roman"/>
          <w:color w:val="000000"/>
          <w:szCs w:val="24"/>
        </w:rPr>
      </w:pPr>
      <w:r w:rsidRPr="00EA1C09">
        <w:rPr>
          <w:rFonts w:cs="Times New Roman"/>
          <w:color w:val="000000"/>
          <w:szCs w:val="24"/>
        </w:rPr>
        <w:t xml:space="preserve">Newig, J., &amp; Fritsch, O. (2009). Environmental governance: participatory, multi-level - and effective? </w:t>
      </w:r>
      <w:r w:rsidRPr="00EA1C09">
        <w:rPr>
          <w:rFonts w:cs="Times New Roman"/>
          <w:i/>
          <w:iCs/>
          <w:color w:val="000000"/>
          <w:szCs w:val="24"/>
        </w:rPr>
        <w:t>Env. Pol. Gov.</w:t>
      </w:r>
      <w:r w:rsidRPr="00EA1C09">
        <w:rPr>
          <w:rFonts w:cs="Times New Roman"/>
          <w:color w:val="000000"/>
          <w:szCs w:val="24"/>
        </w:rPr>
        <w:t xml:space="preserve"> 19:197-214.</w:t>
      </w:r>
    </w:p>
    <w:p w14:paraId="699395D1" w14:textId="3B388466" w:rsidR="007E3770" w:rsidRPr="00EA1C09" w:rsidRDefault="007E3770" w:rsidP="005274D1">
      <w:pPr>
        <w:spacing w:before="0" w:after="0"/>
        <w:rPr>
          <w:rFonts w:cs="Times New Roman"/>
          <w:color w:val="000000"/>
          <w:szCs w:val="24"/>
        </w:rPr>
      </w:pPr>
    </w:p>
    <w:p w14:paraId="023C0298" w14:textId="6D07DFE2"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Opsahl, T., Agneessens, F., &amp; Skvoretz, J. (2010). Node centrality in weighted networks: Generalizing degree and shortest path. </w:t>
      </w:r>
      <w:r w:rsidRPr="00EA1C09">
        <w:rPr>
          <w:rFonts w:cs="Times New Roman"/>
          <w:i/>
          <w:iCs/>
          <w:color w:val="000000"/>
          <w:szCs w:val="24"/>
        </w:rPr>
        <w:t>Social Networks</w:t>
      </w:r>
      <w:r w:rsidRPr="00EA1C09">
        <w:rPr>
          <w:rFonts w:cs="Times New Roman"/>
          <w:color w:val="000000"/>
          <w:szCs w:val="24"/>
        </w:rPr>
        <w:t xml:space="preserve"> 32:245-251.</w:t>
      </w:r>
    </w:p>
    <w:p w14:paraId="4E543BF6" w14:textId="65367D5D" w:rsidR="007E3770" w:rsidRPr="00EA1C09" w:rsidRDefault="007E3770" w:rsidP="005274D1">
      <w:pPr>
        <w:spacing w:before="0" w:after="0"/>
        <w:rPr>
          <w:rFonts w:cs="Times New Roman"/>
          <w:color w:val="000000"/>
          <w:szCs w:val="24"/>
        </w:rPr>
      </w:pPr>
    </w:p>
    <w:p w14:paraId="76745430" w14:textId="5FC153D6" w:rsidR="007E3770" w:rsidRPr="00EA1C09" w:rsidRDefault="007E3770" w:rsidP="005274D1">
      <w:pPr>
        <w:spacing w:before="0" w:after="0"/>
        <w:rPr>
          <w:rFonts w:cs="Times New Roman"/>
          <w:color w:val="000000"/>
          <w:szCs w:val="24"/>
        </w:rPr>
      </w:pPr>
      <w:r w:rsidRPr="00EA1C09">
        <w:rPr>
          <w:rFonts w:cs="Times New Roman"/>
          <w:color w:val="000000"/>
          <w:szCs w:val="24"/>
        </w:rPr>
        <w:t>Padula, G. (2008). Enhancing the innovation performance of firms by balancing cohesiveness and bridging ties.</w:t>
      </w:r>
      <w:r w:rsidRPr="00EA1C09">
        <w:rPr>
          <w:rFonts w:cs="Times New Roman"/>
          <w:i/>
          <w:iCs/>
          <w:color w:val="000000"/>
          <w:szCs w:val="24"/>
        </w:rPr>
        <w:t xml:space="preserve"> Long Range Plann</w:t>
      </w:r>
      <w:r w:rsidRPr="00EA1C09">
        <w:rPr>
          <w:rFonts w:cs="Times New Roman"/>
          <w:color w:val="000000"/>
          <w:szCs w:val="24"/>
        </w:rPr>
        <w:t xml:space="preserve"> 41:395-419.</w:t>
      </w:r>
    </w:p>
    <w:p w14:paraId="47AB7E2B" w14:textId="00804924" w:rsidR="00870E3F" w:rsidRPr="00EA1C09" w:rsidRDefault="00870E3F" w:rsidP="005274D1">
      <w:pPr>
        <w:spacing w:before="0" w:after="0"/>
        <w:rPr>
          <w:rFonts w:cs="Times New Roman"/>
          <w:color w:val="000000"/>
          <w:szCs w:val="24"/>
        </w:rPr>
      </w:pPr>
    </w:p>
    <w:p w14:paraId="5482A1D3" w14:textId="6B58C7E9" w:rsidR="00870E3F" w:rsidRPr="00EA1C09" w:rsidRDefault="00870E3F" w:rsidP="005274D1">
      <w:pPr>
        <w:spacing w:before="0" w:after="0"/>
        <w:rPr>
          <w:rFonts w:cs="Times New Roman"/>
          <w:color w:val="000000"/>
          <w:szCs w:val="24"/>
        </w:rPr>
      </w:pPr>
      <w:r w:rsidRPr="00EA1C09">
        <w:rPr>
          <w:rFonts w:cs="Times New Roman"/>
          <w:color w:val="000000"/>
          <w:szCs w:val="24"/>
        </w:rPr>
        <w:t xml:space="preserve">Pahl-Wostl, C. (2002). Participative and stakeholder-based policy design, evaluation and modeling processes. </w:t>
      </w:r>
      <w:r w:rsidRPr="00EA1C09">
        <w:rPr>
          <w:rFonts w:cs="Times New Roman"/>
          <w:i/>
          <w:iCs/>
          <w:color w:val="000000"/>
          <w:szCs w:val="24"/>
        </w:rPr>
        <w:t>Integr Assess</w:t>
      </w:r>
      <w:r w:rsidRPr="00EA1C09">
        <w:rPr>
          <w:rFonts w:cs="Times New Roman"/>
          <w:color w:val="000000"/>
          <w:szCs w:val="24"/>
        </w:rPr>
        <w:t xml:space="preserve"> 3(1):3-14.</w:t>
      </w:r>
    </w:p>
    <w:p w14:paraId="47FA2AD5" w14:textId="401B232F" w:rsidR="007E3770" w:rsidRPr="00EA1C09" w:rsidRDefault="007E3770" w:rsidP="005274D1">
      <w:pPr>
        <w:spacing w:before="0" w:after="0"/>
        <w:rPr>
          <w:rFonts w:cs="Times New Roman"/>
          <w:color w:val="000000"/>
          <w:szCs w:val="24"/>
        </w:rPr>
      </w:pPr>
    </w:p>
    <w:p w14:paraId="6C218EE0" w14:textId="4A95A4D2"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Paolisso, M., &amp; Dery, N. (2010). A Cultural Model Assessment of Oyster Restoration Alternatives for the Chesapeake Bay. </w:t>
      </w:r>
      <w:r w:rsidRPr="00EA1C09">
        <w:rPr>
          <w:rFonts w:cs="Times New Roman"/>
          <w:i/>
          <w:iCs/>
          <w:color w:val="000000"/>
          <w:szCs w:val="24"/>
        </w:rPr>
        <w:t>Human Organization</w:t>
      </w:r>
      <w:r w:rsidRPr="00EA1C09">
        <w:rPr>
          <w:rFonts w:cs="Times New Roman"/>
          <w:color w:val="000000"/>
          <w:szCs w:val="24"/>
        </w:rPr>
        <w:t xml:space="preserve"> 69(2):169-179.</w:t>
      </w:r>
    </w:p>
    <w:p w14:paraId="47DF1B17" w14:textId="6798889E" w:rsidR="007E3770" w:rsidRPr="00EA1C09" w:rsidRDefault="007E3770" w:rsidP="005274D1">
      <w:pPr>
        <w:spacing w:before="0" w:after="0"/>
        <w:rPr>
          <w:rFonts w:cs="Times New Roman"/>
          <w:color w:val="000000"/>
          <w:szCs w:val="24"/>
        </w:rPr>
      </w:pPr>
    </w:p>
    <w:p w14:paraId="61BDF3A8" w14:textId="765B1D5E"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Prell, C.., Hubacek, K., &amp; Reed, M. (2009). Stakeholder analysis and social network analysis in natural resources management. </w:t>
      </w:r>
      <w:r w:rsidRPr="00EA1C09">
        <w:rPr>
          <w:rFonts w:cs="Times New Roman"/>
          <w:i/>
          <w:iCs/>
          <w:color w:val="000000"/>
          <w:szCs w:val="24"/>
        </w:rPr>
        <w:t>Society &amp; Natural Resources</w:t>
      </w:r>
      <w:r w:rsidRPr="00EA1C09">
        <w:rPr>
          <w:rFonts w:cs="Times New Roman"/>
          <w:color w:val="000000"/>
          <w:szCs w:val="24"/>
        </w:rPr>
        <w:t xml:space="preserve"> 22(6):501-518.</w:t>
      </w:r>
    </w:p>
    <w:p w14:paraId="243ECC39" w14:textId="0BB362F6" w:rsidR="00870E3F" w:rsidRPr="00EA1C09" w:rsidRDefault="00870E3F" w:rsidP="005274D1">
      <w:pPr>
        <w:spacing w:before="0" w:after="0"/>
        <w:rPr>
          <w:rFonts w:cs="Times New Roman"/>
          <w:color w:val="000000"/>
          <w:szCs w:val="24"/>
        </w:rPr>
      </w:pPr>
    </w:p>
    <w:p w14:paraId="145B25F6" w14:textId="682E1485" w:rsidR="00870E3F" w:rsidRPr="00EA1C09" w:rsidRDefault="00870E3F" w:rsidP="005274D1">
      <w:pPr>
        <w:spacing w:before="0" w:after="0"/>
        <w:rPr>
          <w:rFonts w:cs="Times New Roman"/>
          <w:color w:val="000000"/>
          <w:szCs w:val="24"/>
        </w:rPr>
      </w:pPr>
      <w:r w:rsidRPr="00EA1C09">
        <w:rPr>
          <w:rFonts w:cs="Times New Roman"/>
          <w:color w:val="000000"/>
          <w:szCs w:val="24"/>
        </w:rPr>
        <w:t xml:space="preserve">Reed, MS. (2008). Stakeholder participation for environmental management: A literature review. </w:t>
      </w:r>
      <w:r w:rsidRPr="00EA1C09">
        <w:rPr>
          <w:rFonts w:cs="Times New Roman"/>
          <w:i/>
          <w:iCs/>
          <w:color w:val="000000"/>
          <w:szCs w:val="24"/>
        </w:rPr>
        <w:t>Biological Conservation</w:t>
      </w:r>
      <w:r w:rsidRPr="00EA1C09">
        <w:rPr>
          <w:rFonts w:cs="Times New Roman"/>
          <w:color w:val="000000"/>
          <w:szCs w:val="24"/>
        </w:rPr>
        <w:t xml:space="preserve"> 141(10):2417-2431.</w:t>
      </w:r>
    </w:p>
    <w:p w14:paraId="4AD613F3" w14:textId="1EE04340" w:rsidR="007E3770" w:rsidRPr="00EA1C09" w:rsidRDefault="007E3770" w:rsidP="005274D1">
      <w:pPr>
        <w:spacing w:before="0" w:after="0"/>
        <w:rPr>
          <w:rFonts w:cs="Times New Roman"/>
          <w:color w:val="000000"/>
          <w:szCs w:val="24"/>
        </w:rPr>
      </w:pPr>
    </w:p>
    <w:p w14:paraId="1C809F41" w14:textId="0793F7A2"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Rogers, EM. (2003). </w:t>
      </w:r>
      <w:r w:rsidRPr="00EA1C09">
        <w:rPr>
          <w:rFonts w:cs="Times New Roman"/>
          <w:i/>
          <w:iCs/>
          <w:color w:val="000000"/>
          <w:szCs w:val="24"/>
        </w:rPr>
        <w:t>Diffusion of Innovations</w:t>
      </w:r>
      <w:r w:rsidRPr="00EA1C09">
        <w:rPr>
          <w:rFonts w:cs="Times New Roman"/>
          <w:color w:val="000000"/>
          <w:szCs w:val="24"/>
        </w:rPr>
        <w:t>, 5th ed. The Free Press, New York, NY.</w:t>
      </w:r>
    </w:p>
    <w:p w14:paraId="006BC03D" w14:textId="77777777" w:rsidR="00870E3F" w:rsidRPr="00EA1C09" w:rsidRDefault="00870E3F" w:rsidP="005274D1">
      <w:pPr>
        <w:spacing w:before="0" w:after="0"/>
        <w:rPr>
          <w:rFonts w:cs="Times New Roman"/>
          <w:color w:val="000000"/>
          <w:szCs w:val="24"/>
        </w:rPr>
      </w:pPr>
    </w:p>
    <w:p w14:paraId="7BE82645" w14:textId="6F35DCFD" w:rsidR="00870E3F" w:rsidRPr="00EA1C09" w:rsidRDefault="00870E3F" w:rsidP="005274D1">
      <w:pPr>
        <w:spacing w:before="0" w:after="0"/>
        <w:rPr>
          <w:rFonts w:cs="Times New Roman"/>
          <w:color w:val="000000"/>
          <w:szCs w:val="24"/>
        </w:rPr>
      </w:pPr>
      <w:r w:rsidRPr="00EA1C09">
        <w:rPr>
          <w:rFonts w:cs="Times New Roman"/>
          <w:color w:val="000000"/>
          <w:szCs w:val="24"/>
        </w:rPr>
        <w:t xml:space="preserve">Rouwette, E., Korzilius, J., Vennix, J., &amp; Jacobs, E. (2002). Group model building effectiveness: a review of assessment studies. </w:t>
      </w:r>
      <w:r w:rsidRPr="00EA1C09">
        <w:rPr>
          <w:rFonts w:cs="Times New Roman"/>
          <w:i/>
          <w:iCs/>
          <w:color w:val="000000"/>
          <w:szCs w:val="24"/>
        </w:rPr>
        <w:t>Syst. Dynam. Rev.</w:t>
      </w:r>
      <w:r w:rsidRPr="00EA1C09">
        <w:rPr>
          <w:rFonts w:cs="Times New Roman"/>
          <w:color w:val="000000"/>
          <w:szCs w:val="24"/>
        </w:rPr>
        <w:t xml:space="preserve"> 18(1):5-45.</w:t>
      </w:r>
    </w:p>
    <w:p w14:paraId="2E778CDE" w14:textId="599C7CEC" w:rsidR="00870E3F" w:rsidRPr="00EA1C09" w:rsidRDefault="00870E3F" w:rsidP="005274D1">
      <w:pPr>
        <w:spacing w:before="0" w:after="0"/>
        <w:rPr>
          <w:rFonts w:cs="Times New Roman"/>
          <w:color w:val="000000"/>
          <w:szCs w:val="24"/>
        </w:rPr>
      </w:pPr>
    </w:p>
    <w:p w14:paraId="637141D9" w14:textId="1ED059AF" w:rsidR="00870E3F" w:rsidRPr="00EA1C09" w:rsidRDefault="00870E3F" w:rsidP="005274D1">
      <w:pPr>
        <w:spacing w:before="0" w:after="0"/>
        <w:rPr>
          <w:rFonts w:cs="Times New Roman"/>
          <w:color w:val="000000"/>
          <w:szCs w:val="24"/>
        </w:rPr>
      </w:pPr>
      <w:r w:rsidRPr="00EA1C09">
        <w:rPr>
          <w:rFonts w:cs="Times New Roman"/>
          <w:color w:val="000000"/>
          <w:szCs w:val="24"/>
        </w:rPr>
        <w:t xml:space="preserve">Rouwette, E., Vennix, J., &amp; van Mullekom, T. (2011). Modeling as persuasion: the impact of group model building on attitudes and behavior. </w:t>
      </w:r>
      <w:r w:rsidRPr="00EA1C09">
        <w:rPr>
          <w:rFonts w:cs="Times New Roman"/>
          <w:i/>
          <w:iCs/>
          <w:color w:val="000000"/>
          <w:szCs w:val="24"/>
        </w:rPr>
        <w:t>Syst. Dynam. Rev.</w:t>
      </w:r>
      <w:r w:rsidRPr="00EA1C09">
        <w:rPr>
          <w:rFonts w:cs="Times New Roman"/>
          <w:color w:val="000000"/>
          <w:szCs w:val="24"/>
        </w:rPr>
        <w:t xml:space="preserve"> 27(1):1-21.</w:t>
      </w:r>
    </w:p>
    <w:p w14:paraId="360EDA92" w14:textId="77777777" w:rsidR="00870E3F" w:rsidRPr="00EA1C09" w:rsidRDefault="00870E3F" w:rsidP="005274D1">
      <w:pPr>
        <w:spacing w:before="0" w:after="0"/>
        <w:rPr>
          <w:rFonts w:cs="Times New Roman"/>
          <w:color w:val="000000"/>
          <w:szCs w:val="24"/>
        </w:rPr>
      </w:pPr>
    </w:p>
    <w:p w14:paraId="3FE5B5E9" w14:textId="24B867B7" w:rsidR="005D405E" w:rsidRPr="00EA1C09" w:rsidRDefault="005D405E" w:rsidP="005274D1">
      <w:pPr>
        <w:spacing w:before="0" w:after="0"/>
        <w:rPr>
          <w:rFonts w:cs="Times New Roman"/>
          <w:color w:val="000000"/>
          <w:szCs w:val="24"/>
        </w:rPr>
      </w:pPr>
      <w:r w:rsidRPr="00EA1C09">
        <w:rPr>
          <w:rFonts w:cs="Times New Roman"/>
          <w:color w:val="000000"/>
          <w:szCs w:val="24"/>
        </w:rPr>
        <w:t xml:space="preserve">Scholz, G., Dewulf, A., &amp; Pahl-Wostl, C. (2014). An Analytical Framework of Social Learning Facilitated by Participatory Methods. </w:t>
      </w:r>
      <w:r w:rsidRPr="00EA1C09">
        <w:rPr>
          <w:rFonts w:cs="Times New Roman"/>
          <w:i/>
          <w:iCs/>
          <w:color w:val="000000"/>
          <w:szCs w:val="24"/>
        </w:rPr>
        <w:t>Syst Pract Action Res</w:t>
      </w:r>
      <w:r w:rsidRPr="00EA1C09">
        <w:rPr>
          <w:rFonts w:cs="Times New Roman"/>
          <w:color w:val="000000"/>
          <w:szCs w:val="24"/>
        </w:rPr>
        <w:t xml:space="preserve"> 27:575-591.</w:t>
      </w:r>
    </w:p>
    <w:p w14:paraId="7BF02BA3" w14:textId="77777777" w:rsidR="005D405E" w:rsidRPr="00EA1C09" w:rsidRDefault="005D405E" w:rsidP="005274D1">
      <w:pPr>
        <w:spacing w:before="0" w:after="0"/>
        <w:rPr>
          <w:rFonts w:cs="Times New Roman"/>
          <w:color w:val="000000"/>
          <w:szCs w:val="24"/>
        </w:rPr>
      </w:pPr>
    </w:p>
    <w:p w14:paraId="497B6302" w14:textId="722B2325" w:rsidR="00870E3F" w:rsidRPr="00EA1C09" w:rsidRDefault="00870E3F" w:rsidP="005274D1">
      <w:pPr>
        <w:spacing w:before="0" w:after="0"/>
        <w:rPr>
          <w:rFonts w:cs="Times New Roman"/>
          <w:color w:val="000000"/>
          <w:szCs w:val="24"/>
        </w:rPr>
      </w:pPr>
      <w:r w:rsidRPr="00EA1C09">
        <w:rPr>
          <w:rFonts w:cs="Times New Roman"/>
          <w:color w:val="000000"/>
          <w:szCs w:val="24"/>
        </w:rPr>
        <w:t xml:space="preserve">Shenk, T., &amp; Franklin, A. (eds). (2001). </w:t>
      </w:r>
      <w:r w:rsidRPr="00EA1C09">
        <w:rPr>
          <w:rFonts w:cs="Times New Roman"/>
          <w:i/>
          <w:iCs/>
          <w:color w:val="000000"/>
          <w:szCs w:val="24"/>
        </w:rPr>
        <w:t>Modeling in natural resources management: development, interpretation, and application</w:t>
      </w:r>
      <w:r w:rsidRPr="00EA1C09">
        <w:rPr>
          <w:rFonts w:cs="Times New Roman"/>
          <w:color w:val="000000"/>
          <w:szCs w:val="24"/>
        </w:rPr>
        <w:t>. Island Press, Washington, DC.</w:t>
      </w:r>
    </w:p>
    <w:p w14:paraId="6BADFA49" w14:textId="5218C3F0" w:rsidR="00870E3F" w:rsidRPr="00EA1C09" w:rsidRDefault="00870E3F" w:rsidP="005274D1">
      <w:pPr>
        <w:spacing w:before="0" w:after="0"/>
        <w:rPr>
          <w:rFonts w:cs="Times New Roman"/>
          <w:color w:val="000000"/>
          <w:szCs w:val="24"/>
        </w:rPr>
      </w:pPr>
    </w:p>
    <w:p w14:paraId="1B21ACF9" w14:textId="655D3D3F" w:rsidR="00870E3F" w:rsidRPr="00EA1C09" w:rsidRDefault="00870E3F" w:rsidP="005274D1">
      <w:pPr>
        <w:spacing w:before="0" w:after="0"/>
        <w:rPr>
          <w:rFonts w:cs="Times New Roman"/>
          <w:color w:val="000000"/>
          <w:szCs w:val="24"/>
        </w:rPr>
      </w:pPr>
      <w:r w:rsidRPr="00EA1C09">
        <w:rPr>
          <w:rFonts w:cs="Times New Roman"/>
          <w:color w:val="000000"/>
          <w:szCs w:val="24"/>
        </w:rPr>
        <w:t xml:space="preserve">Stenseth, T., Bråten, I., &amp; Strømsø, HI. (2016). Investigating interest and knowledge as predictors of students’ attitudes towards socio-scientific issues. </w:t>
      </w:r>
      <w:r w:rsidRPr="00EA1C09">
        <w:rPr>
          <w:rFonts w:cs="Times New Roman"/>
          <w:i/>
          <w:iCs/>
          <w:color w:val="000000"/>
          <w:szCs w:val="24"/>
        </w:rPr>
        <w:t>Learning and Individual Differences</w:t>
      </w:r>
      <w:r w:rsidRPr="00EA1C09">
        <w:rPr>
          <w:rFonts w:cs="Times New Roman"/>
          <w:color w:val="000000"/>
          <w:szCs w:val="24"/>
        </w:rPr>
        <w:t xml:space="preserve"> 47:274-280.</w:t>
      </w:r>
    </w:p>
    <w:p w14:paraId="45037899" w14:textId="2CD02053" w:rsidR="00C82621" w:rsidRPr="00EA1C09" w:rsidRDefault="00C82621" w:rsidP="005274D1">
      <w:pPr>
        <w:spacing w:before="0" w:after="0"/>
        <w:rPr>
          <w:rFonts w:cs="Times New Roman"/>
          <w:color w:val="000000"/>
          <w:szCs w:val="24"/>
        </w:rPr>
      </w:pPr>
    </w:p>
    <w:p w14:paraId="4774DAEE" w14:textId="3EA05705" w:rsidR="00C82621" w:rsidRPr="00EA1C09" w:rsidRDefault="00C82621" w:rsidP="005274D1">
      <w:pPr>
        <w:spacing w:before="0" w:after="0"/>
        <w:rPr>
          <w:rFonts w:cs="Times New Roman"/>
          <w:color w:val="000000"/>
          <w:szCs w:val="24"/>
        </w:rPr>
      </w:pPr>
      <w:r w:rsidRPr="00EA1C09">
        <w:rPr>
          <w:rFonts w:cs="Times New Roman"/>
          <w:color w:val="000000"/>
          <w:szCs w:val="24"/>
        </w:rPr>
        <w:t xml:space="preserve">Upham, P., Whitmarsh, L., Poortinga, W., Purdam, K., Darnton, A., McLachlan, C., &amp; Devine-Wright, P. (2009). Public Attitudes to Environmental Change: a selective review of theory and practice. A Research synthesis for the Living with Environmental Change Programme. Research Councils UK. Accessed at: </w:t>
      </w:r>
      <w:hyperlink r:id="rId10" w:history="1">
        <w:r w:rsidRPr="00EA1C09">
          <w:rPr>
            <w:rStyle w:val="Hyperlink"/>
            <w:rFonts w:cs="Times New Roman"/>
            <w:color w:val="000000"/>
            <w:szCs w:val="24"/>
          </w:rPr>
          <w:t>https://esrc.ukri.org/files/public-engagement/public-dialogues/full-report-public-attitudes-to-environmental-change/</w:t>
        </w:r>
      </w:hyperlink>
      <w:r w:rsidRPr="00EA1C09">
        <w:rPr>
          <w:rFonts w:cs="Times New Roman"/>
          <w:color w:val="000000"/>
          <w:szCs w:val="24"/>
        </w:rPr>
        <w:t>.</w:t>
      </w:r>
    </w:p>
    <w:p w14:paraId="12F67083" w14:textId="77777777" w:rsidR="005274D1" w:rsidRPr="00EA1C09" w:rsidRDefault="005274D1" w:rsidP="005274D1">
      <w:pPr>
        <w:spacing w:before="0" w:after="0"/>
        <w:rPr>
          <w:rFonts w:cs="Times New Roman"/>
          <w:color w:val="000000"/>
          <w:szCs w:val="24"/>
        </w:rPr>
      </w:pPr>
    </w:p>
    <w:p w14:paraId="26583D58" w14:textId="7C6672B7" w:rsidR="00C82621" w:rsidRPr="00EA1C09" w:rsidRDefault="00C82621" w:rsidP="005274D1">
      <w:pPr>
        <w:spacing w:before="0" w:after="0"/>
        <w:rPr>
          <w:rFonts w:cs="Times New Roman"/>
          <w:color w:val="000000"/>
          <w:szCs w:val="24"/>
        </w:rPr>
      </w:pPr>
      <w:r w:rsidRPr="00EA1C09">
        <w:rPr>
          <w:rFonts w:cs="Times New Roman"/>
          <w:color w:val="000000"/>
          <w:szCs w:val="24"/>
        </w:rPr>
        <w:t>Valente, TW., &amp; Fujimoto, K. (2010). Bridging: Locating critical connectors in a network. S</w:t>
      </w:r>
      <w:r w:rsidRPr="00EA1C09">
        <w:rPr>
          <w:rFonts w:cs="Times New Roman"/>
          <w:i/>
          <w:iCs/>
          <w:color w:val="000000"/>
          <w:szCs w:val="24"/>
        </w:rPr>
        <w:t>ocial Networks</w:t>
      </w:r>
      <w:r w:rsidRPr="00EA1C09">
        <w:rPr>
          <w:rFonts w:cs="Times New Roman"/>
          <w:color w:val="000000"/>
          <w:szCs w:val="24"/>
        </w:rPr>
        <w:t xml:space="preserve"> 32:212-220.</w:t>
      </w:r>
    </w:p>
    <w:p w14:paraId="014BBF62" w14:textId="19C4A4CD" w:rsidR="007E3770" w:rsidRPr="00EA1C09" w:rsidRDefault="007E3770" w:rsidP="005274D1">
      <w:pPr>
        <w:spacing w:before="0" w:after="0"/>
        <w:rPr>
          <w:rFonts w:cs="Times New Roman"/>
          <w:color w:val="000000"/>
          <w:szCs w:val="24"/>
        </w:rPr>
      </w:pPr>
    </w:p>
    <w:p w14:paraId="27F31CB9" w14:textId="0921B04B"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Van der Hulst, RC. (2009). Introduction to Social Network Analysis (SNA) as an investigative tool. </w:t>
      </w:r>
      <w:r w:rsidRPr="00EA1C09">
        <w:rPr>
          <w:rFonts w:cs="Times New Roman"/>
          <w:i/>
          <w:iCs/>
          <w:color w:val="000000"/>
          <w:szCs w:val="24"/>
        </w:rPr>
        <w:t xml:space="preserve">Trends Org Crim </w:t>
      </w:r>
      <w:r w:rsidRPr="00EA1C09">
        <w:rPr>
          <w:rFonts w:cs="Times New Roman"/>
          <w:color w:val="000000"/>
          <w:szCs w:val="24"/>
        </w:rPr>
        <w:t>12:101-121.</w:t>
      </w:r>
    </w:p>
    <w:p w14:paraId="694CD6DB" w14:textId="77777777" w:rsidR="00C82621" w:rsidRPr="00EA1C09" w:rsidRDefault="00C82621" w:rsidP="005274D1">
      <w:pPr>
        <w:spacing w:before="0" w:after="0"/>
        <w:rPr>
          <w:rFonts w:cs="Times New Roman"/>
          <w:color w:val="000000"/>
          <w:szCs w:val="24"/>
        </w:rPr>
      </w:pPr>
    </w:p>
    <w:p w14:paraId="700F436D" w14:textId="797CBF71" w:rsidR="005274D1" w:rsidRPr="00EA1C09" w:rsidRDefault="005274D1" w:rsidP="005274D1">
      <w:pPr>
        <w:spacing w:before="0" w:after="0"/>
        <w:rPr>
          <w:rFonts w:cs="Times New Roman"/>
          <w:color w:val="000000"/>
          <w:szCs w:val="24"/>
        </w:rPr>
      </w:pPr>
      <w:r w:rsidRPr="00EA1C09">
        <w:rPr>
          <w:rFonts w:cs="Times New Roman"/>
          <w:color w:val="000000"/>
          <w:szCs w:val="24"/>
        </w:rPr>
        <w:t xml:space="preserve">Van Voorn, GAK., Verburg, RW., Kunseler, EM., Vader, J., &amp; Janssen, PHM. (2016). A checklist for model credibility, salience, and legitimacy to improve information transfer in environmental policy assessments. </w:t>
      </w:r>
      <w:r w:rsidRPr="00EA1C09">
        <w:rPr>
          <w:rFonts w:cs="Times New Roman"/>
          <w:i/>
          <w:iCs/>
          <w:color w:val="000000"/>
          <w:szCs w:val="24"/>
        </w:rPr>
        <w:t>Environmental Modelling &amp; Software</w:t>
      </w:r>
      <w:r w:rsidRPr="00EA1C09">
        <w:rPr>
          <w:rFonts w:cs="Times New Roman"/>
          <w:color w:val="000000"/>
          <w:szCs w:val="24"/>
        </w:rPr>
        <w:t xml:space="preserve"> 83:224-236.</w:t>
      </w:r>
    </w:p>
    <w:p w14:paraId="41C95819" w14:textId="655F7668" w:rsidR="007E3770" w:rsidRPr="00EA1C09" w:rsidRDefault="007E3770" w:rsidP="005274D1">
      <w:pPr>
        <w:spacing w:before="0" w:after="0"/>
        <w:rPr>
          <w:rFonts w:cs="Times New Roman"/>
          <w:color w:val="000000"/>
          <w:szCs w:val="24"/>
        </w:rPr>
      </w:pPr>
    </w:p>
    <w:p w14:paraId="1A4E6081" w14:textId="64E525A0" w:rsidR="007E3770" w:rsidRPr="00EA1C09" w:rsidRDefault="007E3770" w:rsidP="005274D1">
      <w:pPr>
        <w:spacing w:before="0" w:after="0"/>
        <w:rPr>
          <w:rFonts w:cs="Times New Roman"/>
          <w:color w:val="000000"/>
          <w:szCs w:val="24"/>
        </w:rPr>
      </w:pPr>
      <w:r w:rsidRPr="00EA1C09">
        <w:rPr>
          <w:rFonts w:cs="Times New Roman"/>
          <w:color w:val="000000"/>
          <w:szCs w:val="24"/>
        </w:rPr>
        <w:t xml:space="preserve">Visser, PS., &amp; Mirabile, RR. (2004). Attitudes in the Social Context: The Impact of Social Network Composition on Individual-Level Attitude Strength. </w:t>
      </w:r>
      <w:r w:rsidRPr="00EA1C09">
        <w:rPr>
          <w:rFonts w:cs="Times New Roman"/>
          <w:i/>
          <w:iCs/>
          <w:color w:val="000000"/>
          <w:szCs w:val="24"/>
        </w:rPr>
        <w:t xml:space="preserve">Journal of Personality and Social Psychology </w:t>
      </w:r>
      <w:r w:rsidRPr="00EA1C09">
        <w:rPr>
          <w:rFonts w:cs="Times New Roman"/>
          <w:color w:val="000000"/>
          <w:szCs w:val="24"/>
        </w:rPr>
        <w:t>87(6):779-795.</w:t>
      </w:r>
    </w:p>
    <w:p w14:paraId="3EA4030C" w14:textId="77777777" w:rsidR="005274D1" w:rsidRPr="00EA1C09" w:rsidRDefault="005274D1" w:rsidP="005274D1">
      <w:pPr>
        <w:spacing w:before="0" w:after="0"/>
        <w:rPr>
          <w:rFonts w:cs="Times New Roman"/>
          <w:color w:val="000000"/>
          <w:szCs w:val="24"/>
        </w:rPr>
      </w:pPr>
    </w:p>
    <w:p w14:paraId="7214DA0C" w14:textId="02392008" w:rsidR="00C82621" w:rsidRPr="00EA1C09" w:rsidRDefault="00C82621" w:rsidP="005274D1">
      <w:pPr>
        <w:spacing w:before="0" w:after="0"/>
        <w:rPr>
          <w:rFonts w:cs="Times New Roman"/>
          <w:color w:val="000000"/>
          <w:szCs w:val="24"/>
        </w:rPr>
      </w:pPr>
      <w:r w:rsidRPr="00EA1C09">
        <w:rPr>
          <w:rFonts w:cs="Times New Roman"/>
          <w:color w:val="000000"/>
          <w:szCs w:val="24"/>
        </w:rPr>
        <w:t xml:space="preserve">Voinov, A., &amp; Gaddis, E. (2008). Lessons for successful participatory watershed modeling: A perspective from modeling practitioners. </w:t>
      </w:r>
      <w:r w:rsidRPr="00EA1C09">
        <w:rPr>
          <w:rFonts w:cs="Times New Roman"/>
          <w:i/>
          <w:iCs/>
          <w:color w:val="000000"/>
          <w:szCs w:val="24"/>
        </w:rPr>
        <w:t>Ecological Modeling</w:t>
      </w:r>
      <w:r w:rsidRPr="00EA1C09">
        <w:rPr>
          <w:rFonts w:cs="Times New Roman"/>
          <w:color w:val="000000"/>
          <w:szCs w:val="24"/>
        </w:rPr>
        <w:t xml:space="preserve"> 216(2):197-207.</w:t>
      </w:r>
    </w:p>
    <w:p w14:paraId="5287B96D" w14:textId="18885711" w:rsidR="00C82621" w:rsidRPr="00EA1C09" w:rsidRDefault="00C82621" w:rsidP="005274D1">
      <w:pPr>
        <w:spacing w:before="0" w:after="0"/>
        <w:rPr>
          <w:rFonts w:cs="Times New Roman"/>
          <w:color w:val="000000"/>
          <w:szCs w:val="24"/>
        </w:rPr>
      </w:pPr>
    </w:p>
    <w:p w14:paraId="4180EDD5" w14:textId="434EA5EB" w:rsidR="00C82621" w:rsidRPr="00EA1C09" w:rsidRDefault="00C82621" w:rsidP="005274D1">
      <w:pPr>
        <w:spacing w:before="0" w:after="0"/>
        <w:rPr>
          <w:rFonts w:cs="Times New Roman"/>
          <w:color w:val="000000"/>
          <w:szCs w:val="24"/>
        </w:rPr>
      </w:pPr>
      <w:r w:rsidRPr="00EA1C09">
        <w:rPr>
          <w:rFonts w:cs="Times New Roman"/>
          <w:color w:val="000000"/>
          <w:szCs w:val="24"/>
        </w:rPr>
        <w:t>Voinov, A., Seppelt, R., Reis, S., Nabel, J., &amp; Shokravi, S. (2014). Values in socio-environmental modelling: Persuasion for action or excuse for inaction.</w:t>
      </w:r>
      <w:r w:rsidRPr="00EA1C09">
        <w:rPr>
          <w:rFonts w:cs="Times New Roman"/>
          <w:i/>
          <w:iCs/>
          <w:color w:val="000000"/>
          <w:szCs w:val="24"/>
        </w:rPr>
        <w:t xml:space="preserve"> Environmental Modelling &amp; Software </w:t>
      </w:r>
      <w:r w:rsidRPr="00EA1C09">
        <w:rPr>
          <w:rFonts w:cs="Times New Roman"/>
          <w:color w:val="000000"/>
          <w:szCs w:val="24"/>
        </w:rPr>
        <w:t>53:207-212.</w:t>
      </w:r>
    </w:p>
    <w:p w14:paraId="3B3FFDCA" w14:textId="77777777" w:rsidR="00C82621" w:rsidRPr="00EA1C09" w:rsidRDefault="00C82621" w:rsidP="005274D1">
      <w:pPr>
        <w:spacing w:before="0" w:after="0"/>
        <w:rPr>
          <w:rFonts w:cs="Times New Roman"/>
          <w:color w:val="000000"/>
          <w:szCs w:val="24"/>
        </w:rPr>
      </w:pPr>
    </w:p>
    <w:p w14:paraId="536B6050" w14:textId="3CA64A93" w:rsidR="00870E3F" w:rsidRPr="00EA1C09" w:rsidRDefault="00870E3F" w:rsidP="005274D1">
      <w:pPr>
        <w:spacing w:before="0" w:after="0"/>
        <w:rPr>
          <w:rFonts w:cs="Times New Roman"/>
          <w:color w:val="000000"/>
          <w:szCs w:val="24"/>
        </w:rPr>
      </w:pPr>
      <w:r w:rsidRPr="00EA1C09">
        <w:rPr>
          <w:rFonts w:cs="Times New Roman"/>
          <w:color w:val="000000"/>
          <w:szCs w:val="24"/>
        </w:rPr>
        <w:t xml:space="preserve">White, D., Corley, EA., &amp; White, MS. (2008). Water Managers’ Perceptions of the Science-Policy Interface in Phoenix, Arizona: Implications for an Emerging Boundary Organization. </w:t>
      </w:r>
      <w:r w:rsidRPr="00EA1C09">
        <w:rPr>
          <w:rFonts w:cs="Times New Roman"/>
          <w:i/>
          <w:iCs/>
          <w:color w:val="000000"/>
          <w:szCs w:val="24"/>
        </w:rPr>
        <w:t>Society &amp; Natural Resources</w:t>
      </w:r>
      <w:r w:rsidRPr="00EA1C09">
        <w:rPr>
          <w:rFonts w:cs="Times New Roman"/>
          <w:color w:val="000000"/>
          <w:szCs w:val="24"/>
        </w:rPr>
        <w:t xml:space="preserve"> 21:230-243.</w:t>
      </w:r>
    </w:p>
    <w:p w14:paraId="689BD365" w14:textId="77777777" w:rsidR="00870E3F" w:rsidRPr="00EA1C09" w:rsidRDefault="00870E3F" w:rsidP="005274D1">
      <w:pPr>
        <w:spacing w:before="0" w:after="0"/>
        <w:rPr>
          <w:rFonts w:cs="Times New Roman"/>
          <w:color w:val="000000"/>
          <w:szCs w:val="24"/>
        </w:rPr>
      </w:pPr>
    </w:p>
    <w:p w14:paraId="24BD4D0D" w14:textId="5FC02016" w:rsidR="00870E3F" w:rsidRPr="00EA1C09" w:rsidRDefault="00870E3F" w:rsidP="005274D1">
      <w:pPr>
        <w:spacing w:before="0" w:after="0"/>
        <w:rPr>
          <w:rFonts w:cs="Times New Roman"/>
          <w:color w:val="000000"/>
          <w:szCs w:val="24"/>
        </w:rPr>
      </w:pPr>
      <w:r w:rsidRPr="00EA1C09">
        <w:rPr>
          <w:rFonts w:cs="Times New Roman"/>
          <w:color w:val="000000"/>
          <w:szCs w:val="24"/>
        </w:rPr>
        <w:t xml:space="preserve">White, DD., Wutich, A., Larson, KL., Gober, P., Lant, T., &amp; Senneville, C. (2010). Credibility, salience, and legitimacy of boundary objects: water managers’ assessment of a simulation model in an immersive decision theater. </w:t>
      </w:r>
      <w:r w:rsidRPr="00EA1C09">
        <w:rPr>
          <w:rFonts w:cs="Times New Roman"/>
          <w:i/>
          <w:iCs/>
          <w:color w:val="000000"/>
          <w:szCs w:val="24"/>
        </w:rPr>
        <w:t>Science and Public Policy</w:t>
      </w:r>
      <w:r w:rsidRPr="00EA1C09">
        <w:rPr>
          <w:rFonts w:cs="Times New Roman"/>
          <w:color w:val="000000"/>
          <w:szCs w:val="24"/>
        </w:rPr>
        <w:t xml:space="preserve"> 37(3):219-232.</w:t>
      </w:r>
    </w:p>
    <w:p w14:paraId="5EAF6FB9" w14:textId="77777777" w:rsidR="00870E3F" w:rsidRPr="00EA1C09" w:rsidRDefault="00870E3F" w:rsidP="005274D1">
      <w:pPr>
        <w:spacing w:before="0" w:after="0"/>
        <w:rPr>
          <w:rFonts w:cs="Times New Roman"/>
          <w:color w:val="000000"/>
          <w:szCs w:val="24"/>
        </w:rPr>
      </w:pPr>
    </w:p>
    <w:p w14:paraId="4D7968D9" w14:textId="3413A74D" w:rsidR="005274D1" w:rsidRPr="00EA1C09" w:rsidRDefault="005274D1" w:rsidP="005274D1">
      <w:pPr>
        <w:spacing w:before="0" w:after="0"/>
        <w:rPr>
          <w:rFonts w:cs="Times New Roman"/>
          <w:color w:val="000000"/>
          <w:szCs w:val="24"/>
        </w:rPr>
      </w:pPr>
      <w:r w:rsidRPr="00EA1C09">
        <w:rPr>
          <w:rFonts w:cs="Times New Roman"/>
          <w:color w:val="000000"/>
          <w:szCs w:val="24"/>
        </w:rPr>
        <w:t xml:space="preserve">Wilson, D. (2009). In S Jentoft, M Bavinck (eds.) </w:t>
      </w:r>
      <w:r w:rsidRPr="00EA1C09">
        <w:rPr>
          <w:rFonts w:cs="Times New Roman"/>
          <w:i/>
          <w:iCs/>
          <w:color w:val="000000"/>
          <w:szCs w:val="24"/>
        </w:rPr>
        <w:t>The Paradoxes of Transparency - Science and the Ecosystem Approach to Fisheries Management in Europe</w:t>
      </w:r>
      <w:r w:rsidRPr="00EA1C09">
        <w:rPr>
          <w:rFonts w:cs="Times New Roman"/>
          <w:color w:val="000000"/>
          <w:szCs w:val="24"/>
        </w:rPr>
        <w:t>. Amsterdam University Press.</w:t>
      </w:r>
    </w:p>
    <w:p w14:paraId="7105F449" w14:textId="523B1317" w:rsidR="007E3770" w:rsidRPr="00EA1C09" w:rsidRDefault="007E3770" w:rsidP="005274D1">
      <w:pPr>
        <w:spacing w:before="0" w:after="0"/>
        <w:rPr>
          <w:rFonts w:cs="Times New Roman"/>
          <w:color w:val="000000"/>
          <w:szCs w:val="24"/>
        </w:rPr>
      </w:pPr>
    </w:p>
    <w:p w14:paraId="3F583764" w14:textId="57B1E5A2" w:rsidR="007E3770" w:rsidRPr="00EA1C09" w:rsidRDefault="007E3770" w:rsidP="005274D1">
      <w:pPr>
        <w:spacing w:before="0" w:after="0"/>
        <w:rPr>
          <w:rFonts w:eastAsia="Times New Roman" w:cs="Times New Roman"/>
          <w:szCs w:val="24"/>
        </w:rPr>
      </w:pPr>
      <w:r w:rsidRPr="00EA1C09">
        <w:rPr>
          <w:rFonts w:cs="Times New Roman"/>
          <w:color w:val="000000"/>
          <w:szCs w:val="24"/>
        </w:rPr>
        <w:lastRenderedPageBreak/>
        <w:t xml:space="preserve">Yuan, YC., &amp; Gay, G. (2006). Homophily of Network Ties and Bonding and Bridging Social Capital in Computer-Mediated Distributed Teams. </w:t>
      </w:r>
      <w:r w:rsidRPr="00EA1C09">
        <w:rPr>
          <w:rFonts w:cs="Times New Roman"/>
          <w:i/>
          <w:iCs/>
          <w:color w:val="000000"/>
          <w:szCs w:val="24"/>
        </w:rPr>
        <w:t xml:space="preserve">Journal of Computer-Mediated Communication </w:t>
      </w:r>
      <w:r w:rsidRPr="00EA1C09">
        <w:rPr>
          <w:rFonts w:cs="Times New Roman"/>
          <w:color w:val="000000"/>
          <w:szCs w:val="24"/>
        </w:rPr>
        <w:t>11:1062-1084.</w:t>
      </w:r>
    </w:p>
    <w:sectPr w:rsidR="007E3770" w:rsidRPr="00EA1C09" w:rsidSect="0013312C">
      <w:headerReference w:type="even" r:id="rId11"/>
      <w:footerReference w:type="even" r:id="rId12"/>
      <w:footerReference w:type="default" r:id="rId13"/>
      <w:headerReference w:type="first" r:id="rId14"/>
      <w:pgSz w:w="12240" w:h="15840"/>
      <w:pgMar w:top="1138" w:right="1181" w:bottom="1138" w:left="1282"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2504F" w14:textId="77777777" w:rsidR="00C44A9B" w:rsidRDefault="00C44A9B" w:rsidP="00117666">
      <w:pPr>
        <w:spacing w:after="0"/>
      </w:pPr>
      <w:r>
        <w:separator/>
      </w:r>
    </w:p>
  </w:endnote>
  <w:endnote w:type="continuationSeparator" w:id="0">
    <w:p w14:paraId="1EDEA11E" w14:textId="77777777" w:rsidR="00C44A9B" w:rsidRDefault="00C44A9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98E73EA"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A1C09">
                            <w:rPr>
                              <w:noProof/>
                              <w:color w:val="000000" w:themeColor="text1"/>
                              <w:szCs w:val="40"/>
                            </w:rPr>
                            <w:t>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98E73EA"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A1C09">
                      <w:rPr>
                        <w:noProof/>
                        <w:color w:val="000000" w:themeColor="text1"/>
                        <w:szCs w:val="40"/>
                      </w:rPr>
                      <w:t>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AF81BB6"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A1C09">
                            <w:rPr>
                              <w:noProof/>
                              <w:color w:val="000000" w:themeColor="text1"/>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AF81BB6"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A1C09">
                      <w:rPr>
                        <w:noProof/>
                        <w:color w:val="000000" w:themeColor="text1"/>
                        <w:szCs w:val="40"/>
                      </w:rPr>
                      <w:t>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4773B" w14:textId="77777777" w:rsidR="00C44A9B" w:rsidRDefault="00C44A9B" w:rsidP="00117666">
      <w:pPr>
        <w:spacing w:after="0"/>
      </w:pPr>
      <w:r>
        <w:separator/>
      </w:r>
    </w:p>
  </w:footnote>
  <w:footnote w:type="continuationSeparator" w:id="0">
    <w:p w14:paraId="6C3C5AE0" w14:textId="77777777" w:rsidR="00C44A9B" w:rsidRDefault="00C44A9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52268"/>
    <w:multiLevelType w:val="multilevel"/>
    <w:tmpl w:val="449C6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107019"/>
    <w:multiLevelType w:val="multilevel"/>
    <w:tmpl w:val="5E706C6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3B4039"/>
    <w:multiLevelType w:val="multilevel"/>
    <w:tmpl w:val="3C22491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C51026"/>
    <w:multiLevelType w:val="multilevel"/>
    <w:tmpl w:val="5D14460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AA74FF"/>
    <w:multiLevelType w:val="multilevel"/>
    <w:tmpl w:val="4802D8A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85A50"/>
    <w:multiLevelType w:val="hybridMultilevel"/>
    <w:tmpl w:val="C9C65D88"/>
    <w:lvl w:ilvl="0" w:tplc="6EF41872">
      <w:start w:val="1"/>
      <w:numFmt w:val="decimal"/>
      <w:lvlText w:val="%1"/>
      <w:lvlJc w:val="left"/>
      <w:pPr>
        <w:ind w:left="882" w:hanging="480"/>
        <w:jc w:val="right"/>
      </w:pPr>
      <w:rPr>
        <w:rFonts w:ascii="Times New Roman" w:eastAsia="Times New Roman" w:hAnsi="Times New Roman" w:cs="Times New Roman" w:hint="default"/>
        <w:spacing w:val="-7"/>
        <w:w w:val="100"/>
        <w:sz w:val="24"/>
        <w:szCs w:val="24"/>
      </w:rPr>
    </w:lvl>
    <w:lvl w:ilvl="1" w:tplc="3B0A71E4">
      <w:numFmt w:val="bullet"/>
      <w:lvlText w:val="•"/>
      <w:lvlJc w:val="left"/>
      <w:pPr>
        <w:ind w:left="1906" w:hanging="480"/>
      </w:pPr>
      <w:rPr>
        <w:rFonts w:hint="default"/>
      </w:rPr>
    </w:lvl>
    <w:lvl w:ilvl="2" w:tplc="A5CE7CEE">
      <w:numFmt w:val="bullet"/>
      <w:lvlText w:val="•"/>
      <w:lvlJc w:val="left"/>
      <w:pPr>
        <w:ind w:left="2932" w:hanging="480"/>
      </w:pPr>
      <w:rPr>
        <w:rFonts w:hint="default"/>
      </w:rPr>
    </w:lvl>
    <w:lvl w:ilvl="3" w:tplc="2F1EE34E">
      <w:numFmt w:val="bullet"/>
      <w:lvlText w:val="•"/>
      <w:lvlJc w:val="left"/>
      <w:pPr>
        <w:ind w:left="3958" w:hanging="480"/>
      </w:pPr>
      <w:rPr>
        <w:rFonts w:hint="default"/>
      </w:rPr>
    </w:lvl>
    <w:lvl w:ilvl="4" w:tplc="BCE67EE2">
      <w:numFmt w:val="bullet"/>
      <w:lvlText w:val="•"/>
      <w:lvlJc w:val="left"/>
      <w:pPr>
        <w:ind w:left="4984" w:hanging="480"/>
      </w:pPr>
      <w:rPr>
        <w:rFonts w:hint="default"/>
      </w:rPr>
    </w:lvl>
    <w:lvl w:ilvl="5" w:tplc="47DAF8DC">
      <w:numFmt w:val="bullet"/>
      <w:lvlText w:val="•"/>
      <w:lvlJc w:val="left"/>
      <w:pPr>
        <w:ind w:left="6010" w:hanging="480"/>
      </w:pPr>
      <w:rPr>
        <w:rFonts w:hint="default"/>
      </w:rPr>
    </w:lvl>
    <w:lvl w:ilvl="6" w:tplc="B30C7556">
      <w:numFmt w:val="bullet"/>
      <w:lvlText w:val="•"/>
      <w:lvlJc w:val="left"/>
      <w:pPr>
        <w:ind w:left="7036" w:hanging="480"/>
      </w:pPr>
      <w:rPr>
        <w:rFonts w:hint="default"/>
      </w:rPr>
    </w:lvl>
    <w:lvl w:ilvl="7" w:tplc="C44E9724">
      <w:numFmt w:val="bullet"/>
      <w:lvlText w:val="•"/>
      <w:lvlJc w:val="left"/>
      <w:pPr>
        <w:ind w:left="8062" w:hanging="480"/>
      </w:pPr>
      <w:rPr>
        <w:rFonts w:hint="default"/>
      </w:rPr>
    </w:lvl>
    <w:lvl w:ilvl="8" w:tplc="A51A7D52">
      <w:numFmt w:val="bullet"/>
      <w:lvlText w:val="•"/>
      <w:lvlJc w:val="left"/>
      <w:pPr>
        <w:ind w:left="9088" w:hanging="480"/>
      </w:pPr>
      <w:rPr>
        <w:rFonts w:hint="default"/>
      </w:rPr>
    </w:lvl>
  </w:abstractNum>
  <w:abstractNum w:abstractNumId="11" w15:restartNumberingAfterBreak="0">
    <w:nsid w:val="64E60EF1"/>
    <w:multiLevelType w:val="multilevel"/>
    <w:tmpl w:val="C30C1D4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4" w15:restartNumberingAfterBreak="0">
    <w:nsid w:val="7BFD7A0B"/>
    <w:multiLevelType w:val="multilevel"/>
    <w:tmpl w:val="449C6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5"/>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0"/>
  </w:num>
  <w:num w:numId="21">
    <w:abstractNumId w:val="2"/>
  </w:num>
  <w:num w:numId="22">
    <w:abstractNumId w:val="6"/>
    <w:lvlOverride w:ilvl="1">
      <w:lvl w:ilvl="1">
        <w:numFmt w:val="decimal"/>
        <w:lvlText w:val="%2."/>
        <w:lvlJc w:val="left"/>
      </w:lvl>
    </w:lvlOverride>
  </w:num>
  <w:num w:numId="23">
    <w:abstractNumId w:val="7"/>
    <w:lvlOverride w:ilvl="1">
      <w:lvl w:ilvl="1">
        <w:numFmt w:val="decimal"/>
        <w:lvlText w:val="%2."/>
        <w:lvlJc w:val="left"/>
      </w:lvl>
    </w:lvlOverride>
  </w:num>
  <w:num w:numId="24">
    <w:abstractNumId w:val="8"/>
    <w:lvlOverride w:ilvl="1">
      <w:lvl w:ilvl="1">
        <w:numFmt w:val="decimal"/>
        <w:lvlText w:val="%2."/>
        <w:lvlJc w:val="left"/>
      </w:lvl>
    </w:lvlOverride>
  </w:num>
  <w:num w:numId="25">
    <w:abstractNumId w:val="4"/>
    <w:lvlOverride w:ilvl="1">
      <w:lvl w:ilvl="1">
        <w:numFmt w:val="decimal"/>
        <w:lvlText w:val="%2."/>
        <w:lvlJc w:val="left"/>
      </w:lvl>
    </w:lvlOverride>
  </w:num>
  <w:num w:numId="26">
    <w:abstractNumId w:val="11"/>
    <w:lvlOverride w:ilvl="1">
      <w:lvl w:ilvl="1">
        <w:numFmt w:val="decimal"/>
        <w:lvlText w:val="%2."/>
        <w:lvlJc w:val="left"/>
      </w:lvl>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105FD9"/>
    <w:rsid w:val="00117666"/>
    <w:rsid w:val="0013312C"/>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274D1"/>
    <w:rsid w:val="00593EEA"/>
    <w:rsid w:val="005A5EEE"/>
    <w:rsid w:val="005D405E"/>
    <w:rsid w:val="006375C7"/>
    <w:rsid w:val="00654E8F"/>
    <w:rsid w:val="00660D05"/>
    <w:rsid w:val="006820B1"/>
    <w:rsid w:val="006B7D14"/>
    <w:rsid w:val="00701727"/>
    <w:rsid w:val="0070566C"/>
    <w:rsid w:val="00714C50"/>
    <w:rsid w:val="00725A7D"/>
    <w:rsid w:val="007501BE"/>
    <w:rsid w:val="00790BB3"/>
    <w:rsid w:val="007C206C"/>
    <w:rsid w:val="007E3770"/>
    <w:rsid w:val="00817DD6"/>
    <w:rsid w:val="0083759F"/>
    <w:rsid w:val="00870E3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36427"/>
    <w:rsid w:val="00C44A9B"/>
    <w:rsid w:val="00C52A7B"/>
    <w:rsid w:val="00C56BAF"/>
    <w:rsid w:val="00C56FE2"/>
    <w:rsid w:val="00C679AA"/>
    <w:rsid w:val="00C75972"/>
    <w:rsid w:val="00C82621"/>
    <w:rsid w:val="00CD066B"/>
    <w:rsid w:val="00CE4FEE"/>
    <w:rsid w:val="00D060CF"/>
    <w:rsid w:val="00DB59C3"/>
    <w:rsid w:val="00DC259A"/>
    <w:rsid w:val="00DE23E8"/>
    <w:rsid w:val="00E52377"/>
    <w:rsid w:val="00E537AD"/>
    <w:rsid w:val="00E64E17"/>
    <w:rsid w:val="00E863DF"/>
    <w:rsid w:val="00E866C9"/>
    <w:rsid w:val="00EA1C0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1"/>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BodyText">
    <w:name w:val="Body Text"/>
    <w:basedOn w:val="Normal"/>
    <w:link w:val="BodyTextChar"/>
    <w:uiPriority w:val="1"/>
    <w:qFormat/>
    <w:rsid w:val="00E863DF"/>
    <w:pPr>
      <w:widowControl w:val="0"/>
      <w:autoSpaceDE w:val="0"/>
      <w:autoSpaceDN w:val="0"/>
      <w:spacing w:before="0" w:after="0"/>
      <w:ind w:left="882" w:hanging="722"/>
    </w:pPr>
    <w:rPr>
      <w:rFonts w:eastAsia="Times New Roman" w:cs="Times New Roman"/>
      <w:szCs w:val="24"/>
    </w:rPr>
  </w:style>
  <w:style w:type="character" w:customStyle="1" w:styleId="BodyTextChar">
    <w:name w:val="Body Text Char"/>
    <w:basedOn w:val="DefaultParagraphFont"/>
    <w:link w:val="BodyText"/>
    <w:uiPriority w:val="1"/>
    <w:rsid w:val="00E863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039">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41131068">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8203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rc.ukri.org/files/public-engagement/public-dialogues/full-report-public-attitudes-to-environmental-chang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370E06-4821-4E10-9151-EF95A10F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117</TotalTime>
  <Pages>9</Pages>
  <Words>3443</Words>
  <Characters>21589</Characters>
  <Application>Microsoft Office Word</Application>
  <DocSecurity>0</DocSecurity>
  <Lines>385</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Taylor Goelz</cp:lastModifiedBy>
  <cp:revision>8</cp:revision>
  <cp:lastPrinted>2013-10-03T12:51:00Z</cp:lastPrinted>
  <dcterms:created xsi:type="dcterms:W3CDTF">2020-06-05T17:18:00Z</dcterms:created>
  <dcterms:modified xsi:type="dcterms:W3CDTF">2020-06-15T19:46:00Z</dcterms:modified>
</cp:coreProperties>
</file>